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orkcast-business-plan"/>
      <w:r>
        <w:t xml:space="preserve">Forkcast — Business Plan</w:t>
      </w:r>
      <w:bookmarkEnd w:id="20"/>
    </w:p>
    <w:p>
      <w:pPr>
        <w:pStyle w:val="FirstParagraph"/>
      </w:pPr>
      <w:r>
        <w:rPr>
          <w:b/>
        </w:rPr>
        <w:t xml:space="preserve">The trust layer for restaurant nutrition decisions.</w:t>
      </w:r>
      <w:r>
        <w:t xml:space="preserve"> </w:t>
      </w:r>
      <w:r>
        <w:t xml:space="preserve">Forkcast tells diners what to order</w:t>
      </w:r>
      <w:r>
        <w:t xml:space="preserve"> </w:t>
      </w:r>
      <w:r>
        <w:rPr>
          <w:i/>
        </w:rPr>
        <w:t xml:space="preserve">before</w:t>
      </w:r>
      <w:r>
        <w:t xml:space="preserve"> </w:t>
      </w:r>
      <w:r>
        <w:t xml:space="preserve">they order — scored against their own body and goals — then closes the loop: order, confirm, log, measure. It is the only product connecting pre-order decision support, verified independent-restaurant nutrition data, and post-order confirmed logging.</w:t>
      </w:r>
    </w:p>
    <w:p>
      <w:pPr>
        <w:pStyle w:val="BodyText"/>
      </w:pPr>
      <w:r>
        <w:rPr>
          <w:i/>
        </w:rPr>
        <w:t xml:space="preserve">Version 2.0 — July 2026. Prepared for pre-seed conversations and as part of the founders’ evidence record. All market figures are sourced (CDC, USDA ERS, AHRQ, peer-reviewed literature, company filings/press; see</w:t>
      </w:r>
      <w:r>
        <w:rPr>
          <w:i/>
        </w:rPr>
        <w:t xml:space="preserve"> </w:t>
      </w:r>
      <w:r>
        <w:rPr>
          <w:rStyle w:val="VerbatimChar"/>
          <w:i/>
        </w:rPr>
        <w:t xml:space="preserve">RESEARCH.md</w:t>
      </w:r>
      <w:r>
        <w:rPr>
          <w:i/>
        </w:rPr>
        <w:t xml:space="preserve">); competitive claims from live site captures dated July 15, 2026 (see</w:t>
      </w:r>
      <w:r>
        <w:rPr>
          <w:i/>
        </w:rPr>
        <w:t xml:space="preserve"> </w:t>
      </w:r>
      <w:r>
        <w:rPr>
          <w:rStyle w:val="VerbatimChar"/>
          <w:i/>
        </w:rPr>
        <w:t xml:space="preserve">COMPETITIVE_SCAN_2026-07.md</w:t>
      </w:r>
      <w:r>
        <w:rPr>
          <w:i/>
        </w:rPr>
        <w:t xml:space="preserve">). Nothing in this document claims users, partners, revenue, or outcomes that do not exist.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the-answer-first"/>
      <w:r>
        <w:t xml:space="preserve">0. The answer first</w:t>
      </w:r>
      <w:bookmarkEnd w:id="21"/>
    </w:p>
    <w:p>
      <w:pPr>
        <w:pStyle w:val="FirstParagraph"/>
      </w:pPr>
      <w:r>
        <w:rPr>
          <w:b/>
        </w:rPr>
        <w:t xml:space="preserve">Americans eat out more than ever, decide blind, and every existing app reacts only after the plate is empty.</w:t>
      </w:r>
      <w:r>
        <w:t xml:space="preserve"> </w:t>
      </w:r>
      <w:r>
        <w:t xml:space="preserve">The category leader for</w:t>
      </w:r>
      <w:r>
        <w:t xml:space="preserve"> </w:t>
      </w:r>
      <w:r>
        <w:t xml:space="preserve">“</w:t>
      </w:r>
      <w:r>
        <w:t xml:space="preserve">eat out healthy</w:t>
      </w:r>
      <w:r>
        <w:t xml:space="preserve">”</w:t>
      </w:r>
      <w:r>
        <w:t xml:space="preserve"> </w:t>
      </w:r>
      <w:r>
        <w:t xml:space="preserve">markets AI guesses across 22 million locations as facts; the logging giants own the aftermath; the delivery marketplaces own the transaction. Nobody owns the</w:t>
      </w:r>
      <w:r>
        <w:t xml:space="preserve"> </w:t>
      </w:r>
      <w:r>
        <w:rPr>
          <w:i/>
        </w:rPr>
        <w:t xml:space="preserve">decision</w:t>
      </w:r>
      <w:r>
        <w:t xml:space="preserve"> </w:t>
      </w:r>
      <w:r>
        <w:t xml:space="preserve">— and nobody at all serves the ~65% of U.S. restaurants that are independent and exempt from federal menu labeling.</w:t>
      </w:r>
    </w:p>
    <w:p>
      <w:pPr>
        <w:pStyle w:val="BodyText"/>
      </w:pPr>
      <w:r>
        <w:rPr>
          <w:b/>
        </w:rPr>
        <w:t xml:space="preserve">Forkcast owns the decision, and earns the right to with honesty no competitor structurally can match:</w:t>
      </w:r>
      <w:r>
        <w:t xml:space="preserve"> </w:t>
      </w:r>
      <w:r>
        <w:t xml:space="preserve">every nutrition number carries its source and a ± range, restaurants review and correct their own data through a versioned public process, sponsored placement can never touch the score, and the personal calorie target itself recalibrates from the user’s own measured energy balance. The full product — decision → order → restaurant terminal → confirmed log → adaptive measurement —</w:t>
      </w:r>
      <w:r>
        <w:t xml:space="preserve"> </w:t>
      </w:r>
      <w:r>
        <w:rPr>
          <w:b/>
        </w:rPr>
        <w:t xml:space="preserve">exists and works today</w:t>
      </w:r>
      <w:r>
        <w:t xml:space="preserve"> </w:t>
      </w:r>
      <w:r>
        <w:t xml:space="preserve">(this repository, 38+ dated commits, live demo).</w:t>
      </w:r>
    </w:p>
    <w:p>
      <w:pPr>
        <w:pStyle w:val="BodyText"/>
      </w:pPr>
      <w:r>
        <w:rPr>
          <w:b/>
        </w:rPr>
        <w:t xml:space="preserve">The ask: ~$1.0–1.5M pre-seed SAFE (~$5–6M post) plus non-dilutive SBIR</w:t>
      </w:r>
      <w:r>
        <w:t xml:space="preserve">, to run the Boston pilot against six pre-registered metrics, convert the first independent restaurants into verified partners, and prove retention economics.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df58d04560caa5c3bc882b5bd619cd9216a599b"/>
      <w:r>
        <w:t xml:space="preserve">1. Situation — eating out is where American diets are decided</w:t>
      </w:r>
      <w:bookmarkEnd w:id="22"/>
    </w:p>
    <w:tbl>
      <w:tblPr>
        <w:tblStyle w:val="Table"/>
        <w:tblW w:type="pct" w:w="5000.0"/>
        <w:tblLook w:firstRow="1"/>
        <w:tblBorders>
          <w:top w:val="single" w:sz="4" w:color="CCCCCC"/>
          <w:bottom w:val="single" w:sz="4" w:color="CCCCCC"/>
          <w:insideH w:val="single" w:sz="4" w:color="CCCCCC"/>
        </w:tblBorders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Fact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Figure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Source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Food spending eaten away from home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58.5%</w:t>
            </w:r>
            <w:r>
              <w:rPr>
                <w:rFonts w:ascii="Helvetica Neue" w:hAnsi="Helvetica Neue"/>
                <w:sz w:val="19"/>
              </w:rPr>
              <w:t xml:space="preserve"> </w:t>
            </w:r>
            <w:r>
              <w:rPr>
                <w:rFonts w:ascii="Helvetica Neue" w:hAnsi="Helvetica Neue"/>
                <w:sz w:val="19"/>
              </w:rPr>
              <w:t xml:space="preserve">(record; $4,485/capita, +12% YoY)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USDA ERS Food Expenditure Series, 2024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Daily calories from food away from home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~1/3 of adults’ calories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USDA ERS / NHANES (directional)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Restaurant vs. home meal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+~200 kcal, +~350 mg sodium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USDA ERS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Diners who underestimate restaurant calories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~2 in 3</w:t>
            </w:r>
            <w:r>
              <w:rPr>
                <w:rFonts w:ascii="Helvetica Neue" w:hAnsi="Helvetica Neue"/>
                <w:sz w:val="19"/>
              </w:rPr>
              <w:t xml:space="preserve">; ~25% by 500+ kcal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USDA / NHANES, 2024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Behavior change from mandatory calorie labels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~24 fewer kcal/transaction</w:t>
            </w:r>
            <w:r>
              <w:rPr>
                <w:rFonts w:ascii="Helvetica Neue" w:hAnsi="Helvetica Neue"/>
                <w:sz w:val="19"/>
              </w:rPr>
              <w:t xml:space="preserve"> </w:t>
            </w:r>
            <w:r>
              <w:rPr>
                <w:rFonts w:ascii="Helvetica Neue" w:hAnsi="Helvetica Neue"/>
                <w:sz w:val="19"/>
              </w:rPr>
              <w:t xml:space="preserve">(often null in fast food)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Peer-reviewed labeling literature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U.S. adult obesity / overweight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40.3% obese + 31.7% overweight ≈ 72%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CDC NCHS, 2024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Diet-related disease cost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~$334B/yr</w:t>
            </w:r>
            <w:r>
              <w:rPr>
                <w:rFonts w:ascii="Helvetica Neue" w:hAnsi="Helvetica Neue"/>
                <w:sz w:val="19"/>
              </w:rPr>
              <w:t xml:space="preserve">; obesity ~</w:t>
            </w:r>
            <m:oMath>
              <m:r>
                <m:t>173</m:t>
              </m:r>
              <m:r>
                <m:t>B</m:t>
              </m:r>
              <m:r>
                <m:t>/</m:t>
              </m:r>
              <m:r>
                <m:t>y</m:t>
              </m:r>
              <m:r>
                <m:t>r</m:t>
              </m:r>
              <m:r>
                <m:t>(</m:t>
              </m:r>
              <m:r>
                <m:t>2019</m:t>
              </m:r>
            </m:oMath>
            <w:r>
              <w:rPr>
                <w:rFonts w:ascii="Helvetica Neue" w:hAnsi="Helvetica Neue"/>
                <w:sz w:val="19"/>
              </w:rPr>
              <w:t xml:space="preserve">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CDC; AHRQ MEPS</w:t>
            </w:r>
          </w:p>
        </w:tc>
      </w:tr>
    </w:tbl>
    <w:p>
      <w:pPr>
        <w:pStyle w:val="Heading2"/>
      </w:pPr>
      <w:bookmarkStart w:id="23" w:name="X765e7d77fb4251ece2226ee49618e0178bb27e4"/>
      <w:r>
        <w:t xml:space="preserve">2. Complication — three structural failures nobody has fixed</w:t>
      </w:r>
      <w:bookmarkEnd w:id="23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data doesn’t exist where people actually eat.</w:t>
      </w:r>
      <w:r>
        <w:t xml:space="preserve"> </w:t>
      </w:r>
      <w:r>
        <w:t xml:space="preserve">FDA menu labeling (21 CFR 101.11) binds only 20+-location chains. The independent majority of U.S. restaurants publish nothing, and no commercial database covers them — the structural gap at the center of this plan.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timing is wrong everywhere.</w:t>
      </w:r>
      <w:r>
        <w:t xml:space="preserve"> </w:t>
      </w:r>
      <w:r>
        <w:t xml:space="preserve">Logging apps (MyFitnessPal: 220M registered, ~30M MAU) act after eating — accounting, not coaching — with 70–80% of calorie-app users quitting within two weeks. Labels act at the menu but move behavior ~24 kcal. Delivery apps act at the transaction with zero nutrition intelligence.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new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AI menu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entrants sell certainty they don’t have.</w:t>
      </w:r>
      <w:r>
        <w:t xml:space="preserve"> </w:t>
      </w:r>
      <w:r>
        <w:t xml:space="preserve">MenuFit (live capture, July 2026):</w:t>
      </w:r>
      <w:r>
        <w:t xml:space="preserve"> </w:t>
      </w:r>
      <w:r>
        <w:t xml:space="preserve">“</w:t>
      </w:r>
      <w:r>
        <w:t xml:space="preserve">#1 App For Eating Out Healthy,</w:t>
      </w:r>
      <w:r>
        <w:t xml:space="preserve">”</w:t>
      </w:r>
      <w:r>
        <w:t xml:space="preserve"> </w:t>
      </w:r>
      <w:r>
        <w:t xml:space="preserve">22.3M locations, meals that</w:t>
      </w:r>
      <w:r>
        <w:t xml:space="preserve"> </w:t>
      </w:r>
      <w:r>
        <w:t xml:space="preserve">“</w:t>
      </w:r>
      <w:r>
        <w:t xml:space="preserve">perfectly align with your macros</w:t>
      </w:r>
      <w:r>
        <w:t xml:space="preserve">”</w:t>
      </w:r>
      <w:r>
        <w:t xml:space="preserve"> </w:t>
      </w:r>
      <w:r>
        <w:t xml:space="preserve">— no sources, no error ranges, no correction mechanism, no restaurant participation, no web product, and a recommendation that dead-ends (no order, no log). Credibility is the category’s open flank.</w:t>
      </w:r>
    </w:p>
    <w:p>
      <w:pPr>
        <w:pStyle w:val="Heading2"/>
      </w:pPr>
      <w:bookmarkStart w:id="24" w:name="resolution-the-trust-layer-already-built"/>
      <w:r>
        <w:t xml:space="preserve">3. Resolution — the trust layer, already built</w:t>
      </w:r>
      <w:bookmarkEnd w:id="24"/>
    </w:p>
    <w:p>
      <w:pPr>
        <w:pStyle w:val="FirstParagraph"/>
      </w:pPr>
      <w:r>
        <w:t xml:space="preserve">Forkcast turns a health profile (Mifflin-St Jeor BMR → activity-scaled TDEE → goal-adjusted targets; ISSN macros; CDC BMI classes; allergies and conditions) into an explainable per-dish</w:t>
      </w:r>
      <w:r>
        <w:t xml:space="preserve"> </w:t>
      </w:r>
      <w:r>
        <w:rPr>
          <w:b/>
        </w:rPr>
        <w:t xml:space="preserve">Fit Score</w:t>
      </w:r>
      <w:r>
        <w:t xml:space="preserve">, ranks every nearby menu around what’s left of the user’s day, and then — unlike every competitor —</w:t>
      </w:r>
      <w:r>
        <w:t xml:space="preserve"> </w:t>
      </w:r>
      <w:r>
        <w:rPr>
          <w:b/>
        </w:rPr>
        <w:t xml:space="preserve">finishes the job</w:t>
      </w:r>
      <w:r>
        <w:t xml:space="preserve">:</w:t>
      </w:r>
    </w:p>
    <w:p>
      <w:pPr>
        <w:pStyle w:val="BodyText"/>
      </w:pPr>
      <w:r>
        <w:rPr>
          <w:b/>
        </w:rPr>
        <w:t xml:space="preserve">plan → discover → compare → order → restaurant accepts → confirm portions → log with evidence → measure → recalibrate</w:t>
      </w:r>
    </w:p>
    <w:p>
      <w:pPr>
        <w:pStyle w:val="Heading3"/>
      </w:pPr>
      <w:bookmarkStart w:id="25" w:name="Xe113aa267a5023941a1440a2a03f96f5d479bfe"/>
      <w:r>
        <w:t xml:space="preserve">As built (dated commits in this repository, July 2026)</w:t>
      </w:r>
      <w:bookmarkEnd w:id="25"/>
    </w:p>
    <w:tbl>
      <w:tblPr>
        <w:tblStyle w:val="Table"/>
        <w:tblW w:type="pct" w:w="5000.0"/>
        <w:tblLook w:firstRow="1"/>
        <w:tblBorders>
          <w:top w:val="single" w:sz="4" w:color="CCCCCC"/>
          <w:bottom w:val="single" w:sz="4" w:color="CCCCCC"/>
          <w:insideH w:val="single" w:sz="4" w:color="CCCCCC"/>
        </w:tblBorders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Capability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Why it matters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Fit Score engine + condition/allergen personalization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Live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Explainable, safety-aware ranking; allergen matches excluded from recommendations, condition advisories on every dish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Full ordering loop: basket → checkout → tracking →</w:t>
            </w:r>
            <w:r>
              <w:rPr>
                <w:rFonts w:ascii="Helvetica Neue" w:hAnsi="Helvetica Neue"/>
                <w:sz w:val="19"/>
              </w:rPr>
              <w:t xml:space="preserve"> </w:t>
            </w:r>
            <w:r>
              <w:rPr>
                <w:rFonts w:ascii="Helvetica Neue" w:hAnsi="Helvetica Neue"/>
                <w:sz w:val="19"/>
              </w:rPr>
              <w:t xml:space="preserve">“</w:t>
            </w:r>
            <w:r>
              <w:rPr>
                <w:rFonts w:ascii="Helvetica Neue" w:hAnsi="Helvetica Neue"/>
                <w:sz w:val="19"/>
              </w:rPr>
              <w:t xml:space="preserve">Log this meal?</w:t>
            </w:r>
            <w:r>
              <w:rPr>
                <w:rFonts w:ascii="Helvetica Neue" w:hAnsi="Helvetica Neue"/>
                <w:sz w:val="19"/>
              </w:rPr>
              <w:t xml:space="preserve">”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Live</w:t>
            </w:r>
            <w:r>
              <w:rPr>
                <w:rFonts w:ascii="Helvetica Neue" w:hAnsi="Helvetica Neue"/>
                <w:sz w:val="19"/>
              </w:rPr>
              <w:t xml:space="preserve"> </w:t>
            </w:r>
            <w:r>
              <w:rPr>
                <w:rFonts w:ascii="Helvetica Neue" w:hAnsi="Helvetica Neue"/>
                <w:sz w:val="19"/>
              </w:rPr>
              <w:t xml:space="preserve">(payments/delivery integrations honestly labeled prototype)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The decision connects to the record; every logged restaurant meal carries an order reference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Restaurant partner terminal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Live</w:t>
            </w:r>
            <w:r>
              <w:rPr>
                <w:rFonts w:ascii="Helvetica Neue" w:hAnsi="Helvetica Neue"/>
                <w:sz w:val="19"/>
              </w:rPr>
              <w:t xml:space="preserve"> </w:t>
            </w:r>
            <w:r>
              <w:rPr>
                <w:rFonts w:ascii="Helvetica Neue" w:hAnsi="Helvetica Neue"/>
                <w:sz w:val="19"/>
              </w:rPr>
              <w:t xml:space="preserve">(demo-labeled)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Order queue with customer allergy flags, prep quotes, and</w:t>
            </w:r>
            <w:r>
              <w:rPr>
                <w:rFonts w:ascii="Helvetica Neue" w:hAnsi="Helvetica Neue"/>
                <w:sz w:val="19"/>
              </w:rPr>
              <w:t xml:space="preserve"> </w:t>
            </w:r>
            <w:r>
              <w:rPr>
                <w:rFonts w:ascii="Helvetica Neue" w:hAnsi="Helvetica Neue"/>
                <w:b/>
                <w:sz w:val="19"/>
              </w:rPr>
              <w:t xml:space="preserve">versioned, timestamped menu corrections</w:t>
            </w:r>
            <w:r>
              <w:rPr>
                <w:rFonts w:ascii="Helvetica Neue" w:hAnsi="Helvetica Neue"/>
                <w:sz w:val="19"/>
              </w:rPr>
              <w:t xml:space="preserve"> </w:t>
            </w:r>
            <w:r>
              <w:rPr>
                <w:rFonts w:ascii="Helvetica Neue" w:hAnsi="Helvetica Neue"/>
                <w:sz w:val="19"/>
              </w:rPr>
              <w:t xml:space="preserve">that surface publicly on dish pages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Three-tier data provenance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Live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i/>
                <w:sz w:val="19"/>
              </w:rPr>
              <w:t xml:space="preserve">Partner-verified</w:t>
            </w:r>
            <w:r>
              <w:rPr>
                <w:rFonts w:ascii="Helvetica Neue" w:hAnsi="Helvetica Neue"/>
                <w:sz w:val="19"/>
              </w:rPr>
              <w:t xml:space="preserve"> </w:t>
            </w:r>
            <w:r>
              <w:rPr>
                <w:rFonts w:ascii="Helvetica Neue" w:hAnsi="Helvetica Neue"/>
                <w:sz w:val="19"/>
              </w:rPr>
              <w:t xml:space="preserve">/</w:t>
            </w:r>
            <w:r>
              <w:rPr>
                <w:rFonts w:ascii="Helvetica Neue" w:hAnsi="Helvetica Neue"/>
                <w:sz w:val="19"/>
              </w:rPr>
              <w:t xml:space="preserve"> </w:t>
            </w:r>
            <w:r>
              <w:rPr>
                <w:rFonts w:ascii="Helvetica Neue" w:hAnsi="Helvetica Neue"/>
                <w:i/>
                <w:sz w:val="19"/>
              </w:rPr>
              <w:t xml:space="preserve">Restaurant-published</w:t>
            </w:r>
            <w:r>
              <w:rPr>
                <w:rFonts w:ascii="Helvetica Neue" w:hAnsi="Helvetica Neue"/>
                <w:sz w:val="19"/>
              </w:rPr>
              <w:t xml:space="preserve"> </w:t>
            </w:r>
            <w:r>
              <w:rPr>
                <w:rFonts w:ascii="Helvetica Neue" w:hAnsi="Helvetica Neue"/>
                <w:sz w:val="19"/>
              </w:rPr>
              <w:t xml:space="preserve">(Sweetgreen menu captured live July 2026; The Halal Guys’ published guide) /</w:t>
            </w:r>
            <w:r>
              <w:rPr>
                <w:rFonts w:ascii="Helvetica Neue" w:hAnsi="Helvetica Neue"/>
                <w:sz w:val="19"/>
              </w:rPr>
              <w:t xml:space="preserve"> </w:t>
            </w:r>
            <w:r>
              <w:rPr>
                <w:rFonts w:ascii="Helvetica Neue" w:hAnsi="Helvetica Neue"/>
                <w:i/>
                <w:sz w:val="19"/>
              </w:rPr>
              <w:t xml:space="preserve">Estimated ±15%</w:t>
            </w:r>
            <w:r>
              <w:rPr>
                <w:rFonts w:ascii="Helvetica Neue" w:hAnsi="Helvetica Neue"/>
                <w:sz w:val="19"/>
              </w:rPr>
              <w:t xml:space="preserve"> </w:t>
            </w:r>
            <w:r>
              <w:rPr>
                <w:rFonts w:ascii="Helvetica Neue" w:hAnsi="Helvetica Neue"/>
                <w:sz w:val="19"/>
              </w:rPr>
              <w:t xml:space="preserve">(real Boston independents, labeled)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Adaptive metabolic calibration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Live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Target TDEE back-calculated from the user’s own logged intake + weight change (energy balance), confidence-blended — the state-of-the-art approach, attached to restaurant decisions no adaptive app has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Evidence system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Live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Exportable meal log with source/portion/confidence per entry;</w:t>
            </w:r>
            <w:r>
              <w:rPr>
                <w:rFonts w:ascii="Helvetica Neue" w:hAnsi="Helvetica Neue"/>
                <w:sz w:val="19"/>
              </w:rPr>
              <w:t xml:space="preserve"> </w:t>
            </w:r>
            <w:r>
              <w:rPr>
                <w:rStyle w:val="VerbatimChar"/>
                <w:rFonts w:ascii="Helvetica Neue" w:hAnsi="Helvetica Neue"/>
                <w:sz w:val="19"/>
              </w:rPr>
              <w:t xml:space="preserve">/impact</w:t>
            </w:r>
            <w:r>
              <w:rPr>
                <w:rFonts w:ascii="Helvetica Neue" w:hAnsi="Helvetica Neue"/>
                <w:sz w:val="19"/>
              </w:rPr>
              <w:t xml:space="preserve"> </w:t>
            </w:r>
            <w:r>
              <w:rPr>
                <w:rFonts w:ascii="Helvetica Neue" w:hAnsi="Helvetica Neue"/>
                <w:sz w:val="19"/>
              </w:rPr>
              <w:t xml:space="preserve">page with six pre-registered pilot metrics and a public source ledger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Role-based accounts (diner / restaurant), web-first with shareable dish pages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Live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Two-sided from day one; the app-only competitors have no web surface at all</w:t>
            </w:r>
          </w:p>
        </w:tc>
      </w:tr>
    </w:tbl>
    <w:p>
      <w:pPr>
        <w:pStyle w:val="BodyText"/>
      </w:pPr>
      <w:r>
        <w:rPr>
          <w:b/>
        </w:rPr>
        <w:t xml:space="preserve">What is deliberately</w:t>
      </w:r>
      <w:r>
        <w:rPr>
          <w:b/>
        </w:rPr>
        <w:t xml:space="preserve"> </w:t>
      </w:r>
      <w:r>
        <w:rPr>
          <w:i/>
          <w:b/>
        </w:rPr>
        <w:t xml:space="preserve">not</w:t>
      </w:r>
      <w:r>
        <w:rPr>
          <w:b/>
        </w:rPr>
        <w:t xml:space="preserve"> </w:t>
      </w:r>
      <w:r>
        <w:rPr>
          <w:b/>
        </w:rPr>
        <w:t xml:space="preserve">built:</w:t>
      </w:r>
      <w:r>
        <w:t xml:space="preserve"> </w:t>
      </w:r>
      <w:r>
        <w:t xml:space="preserve">payment processing, live delivery dispatch, and partner handoff links — all shown as clearly-labeled integration states, never simulated as real. Kitchen status is simulated and labeled until a terminal claims the order.</w:t>
      </w:r>
    </w:p>
    <w:p>
      <w:pPr>
        <w:pStyle w:val="Heading2"/>
      </w:pPr>
      <w:bookmarkStart w:id="26" w:name="market"/>
      <w:r>
        <w:t xml:space="preserve">4. Market</w:t>
      </w:r>
      <w:bookmarkEnd w:id="26"/>
    </w:p>
    <w:p>
      <w:pPr>
        <w:pStyle w:val="FirstParagraph"/>
      </w:pPr>
      <w:r>
        <w:rPr>
          <w:i/>
        </w:rPr>
        <w:t xml:space="preserve">U.S.-only; reasoning explicit so each number can be challenged (full derivations in</w:t>
      </w:r>
      <w:r>
        <w:rPr>
          <w:i/>
        </w:rPr>
        <w:t xml:space="preserve"> </w:t>
      </w:r>
      <w:r>
        <w:rPr>
          <w:rStyle w:val="VerbatimChar"/>
          <w:i/>
        </w:rPr>
        <w:t xml:space="preserve">RESEARCH.md</w:t>
      </w:r>
      <w:r>
        <w:rPr>
          <w:i/>
        </w:rP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TAM ≈ $11.1B/yr.</w:t>
      </w:r>
      <w:r>
        <w:t xml:space="preserve"> </w:t>
      </w:r>
      <w:r>
        <w:t xml:space="preserve">~186M U.S. adults with elevated BMI (≈72% of 258M adults; CDC 2024) × ~$60 blended annual consumer ARPU (anchored between MyFitnessPal Premium $79.99/yr and Cal AI $29.99/yr). Triangulates with the independently sized calorie-tracking app market ($5.5–14B, 2025; 12–20% CAGR).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SAM ≈ $3.3B/yr.</w:t>
      </w:r>
      <w:r>
        <w:t xml:space="preserve"> </w:t>
      </w:r>
      <w:r>
        <w:t xml:space="preserve">~55.7M goal-oriented active dieters who eat out often (~30% of the elevated-BMI pool) × $60.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SOM ≈ $40–90M ARR (5-yr).</w:t>
      </w:r>
      <w:r>
        <w:t xml:space="preserve"> </w:t>
      </w:r>
      <w:r>
        <w:t xml:space="preserve">0.5–2.0% of SAM (0.28–1.1M payers; 1% ≈ $33M consumer ARR) plus restaurant retail-media and B2B2C legs.</w:t>
      </w:r>
      <w:r>
        <w:t xml:space="preserve"> </w:t>
      </w:r>
      <w:r>
        <w:rPr>
          <w:b/>
        </w:rPr>
        <w:t xml:space="preserve">Retention-bound, not demand-bound.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Velocity proof:</w:t>
      </w:r>
      <w:r>
        <w:t xml:space="preserve"> </w:t>
      </w:r>
      <w:r>
        <w:t xml:space="preserve">Cal AI reached ~15M downloads and $30M+ ARR in under two years before MyFitnessPal acquired it (Dec 2025).</w:t>
      </w:r>
    </w:p>
    <w:p>
      <w:pPr>
        <w:pStyle w:val="Heading2"/>
      </w:pPr>
      <w:bookmarkStart w:id="27" w:name="Xba514d99c1870338b1c37c28145c091a28b73ff"/>
      <w:r>
        <w:t xml:space="preserve">5. Competition — and the flank they all leave open</w:t>
      </w:r>
      <w:bookmarkEnd w:id="27"/>
    </w:p>
    <w:tbl>
      <w:tblPr>
        <w:tblStyle w:val="Table"/>
        <w:tblW w:type="pct" w:w="5000.0"/>
        <w:tblLook w:firstRow="1"/>
        <w:tblBorders>
          <w:top w:val="single" w:sz="4" w:color="CCCCCC"/>
          <w:bottom w:val="single" w:sz="4" w:color="CCCCCC"/>
          <w:insideH w:val="single" w:sz="4" w:color="CCCCCC"/>
        </w:tblBorders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Player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Owns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Structurally absent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MenuFit / PlateMate / Nuuro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“</w:t>
            </w:r>
            <w:r>
              <w:rPr>
                <w:rFonts w:ascii="Helvetica Neue" w:hAnsi="Helvetica Neue"/>
                <w:sz w:val="19"/>
              </w:rPr>
              <w:t xml:space="preserve">Know what to order</w:t>
            </w:r>
            <w:r>
              <w:rPr>
                <w:rFonts w:ascii="Helvetica Neue" w:hAnsi="Helvetica Neue"/>
                <w:sz w:val="19"/>
              </w:rPr>
              <w:t xml:space="preserve">”</w:t>
            </w:r>
            <w:r>
              <w:rPr>
                <w:rFonts w:ascii="Helvetica Neue" w:hAnsi="Helvetica Neue"/>
                <w:sz w:val="19"/>
              </w:rPr>
              <w:t xml:space="preserve"> </w:t>
            </w:r>
            <w:r>
              <w:rPr>
                <w:rFonts w:ascii="Helvetica Neue" w:hAnsi="Helvetica Neue"/>
                <w:sz w:val="19"/>
              </w:rPr>
              <w:t xml:space="preserve">positioning; AI menu scoring; influencer GTM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Sources, error ranges, corrections, restaurant participation, ordering/logging loop, web presence; guilt-based fitness framing excludes the health-condition market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MyFitnessPal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Retrospective logging at scale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Acts after eating; restaurant data is its weakest (same dish 400–1,200 kcal); 70–80% two-week churn; first revenue decline (−5.7%, 2025)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DoorDash / Uber Eats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Ordering logistics, merchant graph, $1B+ ads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Zero personal-nutrition intelligence; sponsored placement</w:t>
            </w:r>
            <w:r>
              <w:rPr>
                <w:rFonts w:ascii="Helvetica Neue" w:hAnsi="Helvetica Neue"/>
                <w:sz w:val="19"/>
              </w:rPr>
              <w:t xml:space="preserve"> </w:t>
            </w:r>
            <w:r>
              <w:rPr>
                <w:rFonts w:ascii="Helvetica Neue" w:hAnsi="Helvetica Neue"/>
                <w:i/>
                <w:sz w:val="19"/>
              </w:rPr>
              <w:t xml:space="preserve">is</w:t>
            </w:r>
            <w:r>
              <w:rPr>
                <w:rFonts w:ascii="Helvetica Neue" w:hAnsi="Helvetica Neue"/>
                <w:sz w:val="19"/>
              </w:rPr>
              <w:t xml:space="preserve"> </w:t>
            </w:r>
            <w:r>
              <w:rPr>
                <w:rFonts w:ascii="Helvetica Neue" w:hAnsi="Helvetica Neue"/>
                <w:sz w:val="19"/>
              </w:rPr>
              <w:t xml:space="preserve">the product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Sweetgreen / CAVA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Excellent single-brand transparency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Can’t be brand-agnostic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Foodsmart / Nourish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Payer-funded dietitian care (2.2M members / $1B+ valuation)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Care delivery, not the moment of ordering</w:t>
            </w:r>
          </w:p>
        </w:tc>
      </w:tr>
    </w:tbl>
    <w:p>
      <w:pPr>
        <w:pStyle w:val="BodyText"/>
      </w:pPr>
      <w:r>
        <w:rPr>
          <w:b/>
        </w:rPr>
        <w:t xml:space="preserve">The whitespace in one line:</w:t>
      </w:r>
      <w:r>
        <w:t xml:space="preserve"> </w:t>
      </w:r>
      <w:r>
        <w:rPr>
          <w:i/>
        </w:rPr>
        <w:t xml:space="preserve">nobody connects pre-order decision support, verified independent-restaurant data, and post-order confirmed logging — and nobody can prove their numbers.</w:t>
      </w:r>
    </w:p>
    <w:p>
      <w:pPr>
        <w:pStyle w:val="BodyText"/>
      </w:pPr>
      <w:r>
        <w:rPr>
          <w:b/>
        </w:rPr>
        <w:t xml:space="preserve">The moat compounds through participation:</w:t>
      </w:r>
      <w:r>
        <w:t xml:space="preserve"> </w:t>
      </w:r>
      <w:r>
        <w:t xml:space="preserve">every restaurant that verifies its menu, every versioned correction, every order-confirmed meal (ground truth vs. estimate — a validation dataset no retrospective logger can construct), and every calibration cycle makes the data asset harder to replicate than any vision model.</w:t>
      </w:r>
    </w:p>
    <w:p>
      <w:pPr>
        <w:pStyle w:val="Heading2"/>
      </w:pPr>
      <w:bookmarkStart w:id="28" w:name="business-model-three-legs-sequenced"/>
      <w:r>
        <w:t xml:space="preserve">6. Business model — three legs, sequenced</w:t>
      </w:r>
      <w:bookmarkEnd w:id="28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Consumer subscription (launch) — priced to win.</w:t>
      </w:r>
      <w:r>
        <w:t xml:space="preserve"> </w:t>
      </w:r>
      <w:r>
        <w:t xml:space="preserve">The closed loop is</w:t>
      </w:r>
      <w:r>
        <w:t xml:space="preserve"> </w:t>
      </w:r>
      <w:r>
        <w:rPr>
          <w:b/>
        </w:rPr>
        <w:t xml:space="preserve">free forever</w:t>
      </w:r>
      <w:r>
        <w:t xml:space="preserve"> </w:t>
      </w:r>
      <w:r>
        <w:t xml:space="preserve">(charging for logging is the incumbents’ most-hated move, and free order volume feeds the restaurant leg). Premium — calibration, analytics, unlimited photo AI, condition packs — at</w:t>
      </w:r>
      <w:r>
        <w:t xml:space="preserve"> </w:t>
      </w:r>
      <w:r>
        <w:rPr>
          <w:b/>
        </w:rPr>
        <w:t xml:space="preserve">$4.99/mo or $39.99/yr</w:t>
      </w:r>
      <w:r>
        <w:t xml:space="preserve">: half of MyFitnessPal’s annual, 4–14× under every incumbent monthly, priced just below the accuracy-monetizers (MacroFactor $71.99/yr) whose model proves trust holds price. Gate growth on</w:t>
      </w:r>
      <w:r>
        <w:t xml:space="preserve"> </w:t>
      </w:r>
      <w:r>
        <w:rPr>
          <w:b/>
        </w:rPr>
        <w:t xml:space="preserve">LTV:CAC ≥ 3:1, ~6-month payback</w:t>
      </w:r>
      <w:r>
        <w:t xml:space="preserve">, funded by a ~$0-CAC channel no logger has: restaurant-partner co-marketing.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Restaurant leg — every dollar earned (incentive ladder).</w:t>
      </w:r>
      <w:r>
        <w:t xml:space="preserve"> </w:t>
      </w:r>
      <w:r>
        <w:t xml:space="preserve">Rung 1:</w:t>
      </w:r>
      <w:r>
        <w:t xml:space="preserve"> </w:t>
      </w:r>
      <w:r>
        <w:rPr>
          <w:b/>
        </w:rPr>
        <w:t xml:space="preserve">Verified Partner is free forever</w:t>
      </w:r>
      <w:r>
        <w:t xml:space="preserve"> </w:t>
      </w:r>
      <w:r>
        <w:t xml:space="preserve">(terminal, allergy flags, corrections, badge) — their participation improves our data asset. Rung 2:</w:t>
      </w:r>
      <w:r>
        <w:t xml:space="preserve"> </w:t>
      </w:r>
      <w:r>
        <w:rPr>
          <w:b/>
        </w:rPr>
        <w:t xml:space="preserve">6% commission on Forkcast-originated pickup orders</w:t>
      </w:r>
      <w:r>
        <w:t xml:space="preserve"> </w:t>
      </w:r>
      <w:r>
        <w:t xml:space="preserve">— against the 15–30% they already pay marketplaces, we are the cheap, health-intent channel; they pay only when we deliver a customer. Rung 3: optional</w:t>
      </w:r>
      <w:r>
        <w:t xml:space="preserve"> </w:t>
      </w:r>
      <w:r>
        <w:rPr>
          <w:b/>
        </w:rPr>
        <w:t xml:space="preserve">featured placement from $99/mo</w:t>
      </w:r>
      <w:r>
        <w:t xml:space="preserve">, bought after the order channel proves volume — and</w:t>
      </w:r>
      <w:r>
        <w:t xml:space="preserve"> </w:t>
      </w:r>
      <w:r>
        <w:rPr>
          <w:b/>
        </w:rPr>
        <w:t xml:space="preserve">never affecting Fit Scores</w:t>
      </w:r>
      <w:r>
        <w:t xml:space="preserve">. Blended yield ~$1,050/location/yr.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B2B2C covered nutrition (durable).</w:t>
      </w:r>
      <w:r>
        <w:t xml:space="preserve"> </w:t>
      </w:r>
      <w:r>
        <w:t xml:space="preserve">Payer/employer contracts on broadly-covered medical nutrition therapy (CPT 97802–97804); GLP-1 companion programs; Medicaid expansion treated as optionality, not thesis.</w:t>
      </w:r>
    </w:p>
    <w:p>
      <w:pPr>
        <w:pStyle w:val="FirstParagraph"/>
      </w:pPr>
      <w:r>
        <w:t xml:space="preserve">Full assumptions, five-year build, unit economics, and scenarios:</w:t>
      </w:r>
      <w:r>
        <w:t xml:space="preserve"> </w:t>
      </w:r>
      <w:r>
        <w:rPr>
          <w:rStyle w:val="VerbatimChar"/>
        </w:rPr>
        <w:t xml:space="preserve">FINANCIAL_MODEL.md</w:t>
      </w:r>
      <w:r>
        <w:t xml:space="preserve">.</w:t>
      </w:r>
    </w:p>
    <w:p>
      <w:pPr>
        <w:pStyle w:val="Heading2"/>
      </w:pPr>
      <w:bookmarkStart w:id="29" w:name="Xe5b62c9d198b1fe4eddeea7c0e8e9ae59a1336e"/>
      <w:r>
        <w:t xml:space="preserve">7. Go-to-market — density, then proof, then scale</w:t>
      </w:r>
      <w:bookmarkEnd w:id="29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Phase 1 (months 0–12): Boston density.</w:t>
      </w:r>
      <w:r>
        <w:t xml:space="preserve"> </w:t>
      </w:r>
      <w:r>
        <w:t xml:space="preserve">Chains seeded from published disclosures (the Sweetgreen/Halal Guys pattern, already demonstrated); independents digitized block-by-block under the documented collection protocol (</w:t>
      </w:r>
      <w:r>
        <w:rPr>
          <w:rStyle w:val="VerbatimChar"/>
        </w:rPr>
        <w:t xml:space="preserve">MENU_COLLECTION.md</w:t>
      </w:r>
      <w:r>
        <w:t xml:space="preserve">: source → digitize → estimate → owner-verify → maintain). Consumer acquisition via TikTok/influencer (the Cal AI playbook) aimed at GLP-1 and goal-oriented audiences — with trust-first, guilt-free positioning the incumbents ceded.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The pilot is pre-registered.</w:t>
      </w:r>
      <w:r>
        <w:t xml:space="preserve"> </w:t>
      </w:r>
      <w:r>
        <w:t xml:space="preserve">Six metrics were defined</w:t>
      </w:r>
      <w:r>
        <w:t xml:space="preserve"> </w:t>
      </w:r>
      <w:r>
        <w:rPr>
          <w:i/>
        </w:rPr>
        <w:t xml:space="preserve">before</w:t>
      </w:r>
      <w:r>
        <w:t xml:space="preserve"> </w:t>
      </w:r>
      <w:r>
        <w:t xml:space="preserve">measurement and are published at</w:t>
      </w:r>
      <w:r>
        <w:t xml:space="preserve"> </w:t>
      </w:r>
      <w:r>
        <w:rPr>
          <w:rStyle w:val="VerbatimChar"/>
        </w:rPr>
        <w:t xml:space="preserve">/impact</w:t>
      </w:r>
      <w:r>
        <w:t xml:space="preserve">: pre-order decision rate, verified-menu coverage, correction turnaround, logged-meal accuracy (order ground truth vs. estimates), independent-restaurant onboarding cost, and diet-quality delta. Definitions don’t move after the fact.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Phase 2 (12–30 mo):</w:t>
      </w:r>
      <w:r>
        <w:t xml:space="preserve"> </w:t>
      </w:r>
      <w:r>
        <w:t xml:space="preserve">convert coverage into retail-media; raise seed on retention + featured-restaurant proof (AI took 62% of 2025 digital-health VC).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Phase 3 (30 mo+):</w:t>
      </w:r>
      <w:r>
        <w:t xml:space="preserve"> </w:t>
      </w:r>
      <w:r>
        <w:t xml:space="preserve">payer/employer contracts on covered MNT.</w:t>
      </w:r>
    </w:p>
    <w:p>
      <w:pPr>
        <w:pStyle w:val="Heading2"/>
      </w:pPr>
      <w:bookmarkStart w:id="30" w:name="funding-strategy"/>
      <w:r>
        <w:t xml:space="preserve">8. Funding strategy</w:t>
      </w:r>
      <w:bookmarkEnd w:id="30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Pre-seed:</w:t>
      </w:r>
      <w:r>
        <w:t xml:space="preserve"> </w:t>
      </w:r>
      <w:r>
        <w:t xml:space="preserve">~$1.0–1.5M SAFE (~$5–6M post) — mid-range of 2024–26 norms, defensible with a working product and pilot protocol.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Non-dilutive:</w:t>
      </w:r>
      <w:r>
        <w:t xml:space="preserve"> </w:t>
      </w:r>
      <w:r>
        <w:t xml:space="preserve">NIH/NIDDK, USDA-NIFA, and NSF SBIR (Phase I ~$150–300k / $125–175k / ~$275k; Phase II $1–2M).</w:t>
      </w:r>
      <w:r>
        <w:t xml:space="preserve"> </w:t>
      </w:r>
      <w:r>
        <w:rPr>
          <w:i/>
        </w:rPr>
        <w:t xml:space="preserve">SBIR/STTR lapsed Oct 2025, reauthorized Apr 2026 — verify solicitation calendars.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Seed (~$4–6M) at months 12–18</w:t>
      </w:r>
      <w:r>
        <w:t xml:space="preserve"> </w:t>
      </w:r>
      <w:r>
        <w:t xml:space="preserve">on retention + featured-cohort proof;</w:t>
      </w:r>
      <w:r>
        <w:t xml:space="preserve"> </w:t>
      </w:r>
      <w:r>
        <w:rPr>
          <w:b/>
        </w:rPr>
        <w:t xml:space="preserve">Series A (~$15–25M)</w:t>
      </w:r>
      <w:r>
        <w:t xml:space="preserve"> </w:t>
      </w:r>
      <w:r>
        <w:t xml:space="preserve">for GTM and the payer leg.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Why now:</w:t>
      </w:r>
      <w:r>
        <w:t xml:space="preserve"> </w:t>
      </w:r>
      <w:r>
        <w:t xml:space="preserve">the GLP-1/food-as-medicine funding wave (Nourish $70M Series B at $1B+; Foodsmart $200M; Fay, Berry Street $50M each) rewards exactly this evidence-first nutrition positioning.</w:t>
      </w:r>
    </w:p>
    <w:p>
      <w:pPr>
        <w:pStyle w:val="Heading2"/>
      </w:pPr>
      <w:bookmarkStart w:id="31" w:name="milestones-next-18-months"/>
      <w:r>
        <w:t xml:space="preserve">9. Milestones — next 18 months</w:t>
      </w:r>
      <w:bookmarkEnd w:id="31"/>
    </w:p>
    <w:tbl>
      <w:tblPr>
        <w:tblStyle w:val="Table"/>
        <w:tblW w:type="pct" w:w="5000.0"/>
        <w:tblLook w:firstRow="1"/>
        <w:tblBorders>
          <w:top w:val="single" w:sz="4" w:color="CCCCCC"/>
          <w:bottom w:val="single" w:sz="4" w:color="CCCCCC"/>
          <w:insideH w:val="single" w:sz="4" w:color="CCCCCC"/>
        </w:tblBorders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Milestone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Target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Status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Working end-to-end product (decision → order → log → measure)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—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Done, July 2026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Published-nutrition chain seeding demonstrated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—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Done</w:t>
            </w:r>
            <w:r>
              <w:rPr>
                <w:rFonts w:ascii="Helvetica Neue" w:hAnsi="Helvetica Neue"/>
                <w:sz w:val="19"/>
              </w:rPr>
              <w:t xml:space="preserve"> </w:t>
            </w:r>
            <w:r>
              <w:rPr>
                <w:rFonts w:ascii="Helvetica Neue" w:hAnsi="Helvetica Neue"/>
                <w:sz w:val="19"/>
              </w:rPr>
              <w:t xml:space="preserve">(Sweetgreen, Halal Guys)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Pilot metrics pre-registered publicly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—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Done</w:t>
            </w:r>
            <w:r>
              <w:rPr>
                <w:rFonts w:ascii="Helvetica Neue" w:hAnsi="Helvetica Neue"/>
                <w:sz w:val="19"/>
              </w:rPr>
              <w:t xml:space="preserve"> </w:t>
            </w:r>
            <w:r>
              <w:rPr>
                <w:rFonts w:ascii="Helvetica Neue" w:hAnsi="Helvetica Neue"/>
                <w:sz w:val="19"/>
              </w:rPr>
              <w:t xml:space="preserve">(</w:t>
            </w:r>
            <w:r>
              <w:rPr>
                <w:rStyle w:val="VerbatimChar"/>
                <w:rFonts w:ascii="Helvetica Neue" w:hAnsi="Helvetica Neue"/>
                <w:sz w:val="19"/>
              </w:rPr>
              <w:t xml:space="preserve">/impact</w:t>
            </w:r>
            <w:r>
              <w:rPr>
                <w:rFonts w:ascii="Helvetica Neue" w:hAnsi="Helvetica Neue"/>
                <w:sz w:val="19"/>
              </w:rPr>
              <w:t xml:space="preserve">)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Backend (cross-device accounts, live terminal sync)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Month 1–2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Next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Catalog: 20+ restaurants incl. verified independents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Month 3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13 today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First 3–5 owner-verified partner restaurants (letters + correction logs)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Month 4–6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—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D30 retention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&gt;35%</w:t>
            </w:r>
            <w:r>
              <w:rPr>
                <w:rFonts w:ascii="Helvetica Neue" w:hAnsi="Helvetica Neue"/>
                <w:sz w:val="19"/>
              </w:rPr>
              <w:t xml:space="preserve"> </w:t>
            </w:r>
            <w:r>
              <w:rPr>
                <w:rFonts w:ascii="Helvetica Neue" w:hAnsi="Helvetica Neue"/>
                <w:sz w:val="19"/>
              </w:rPr>
              <w:t xml:space="preserve">(vs. ~30% category)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—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Featured-restaurant cohort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150+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—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Paying subscribers (Boston)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~3,000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—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SBIR Phase I submitted/awarded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Month 9–12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—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Seed raised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Month 12–18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—</w:t>
            </w:r>
          </w:p>
        </w:tc>
      </w:tr>
    </w:tbl>
    <w:p>
      <w:pPr>
        <w:pStyle w:val="Heading3"/>
      </w:pPr>
      <w:bookmarkStart w:id="32" w:name="X386a9f410a5441f6c045d915dee2fe92cd512a2"/>
      <w:r>
        <w:t xml:space="preserve">Five-year plan (projection; reconciles to</w:t>
      </w:r>
      <w:r>
        <w:t xml:space="preserve"> </w:t>
      </w:r>
      <w:r>
        <w:rPr>
          <w:rStyle w:val="VerbatimChar"/>
        </w:rPr>
        <w:t xml:space="preserve">FINANCIAL_MODEL.md</w:t>
      </w:r>
      <w:r>
        <w:t xml:space="preserve">)</w:t>
      </w:r>
      <w:bookmarkEnd w:id="32"/>
    </w:p>
    <w:tbl>
      <w:tblPr>
        <w:tblStyle w:val="Table"/>
        <w:tblW w:type="pct" w:w="5000.0"/>
        <w:tblLook w:firstRow="1"/>
        <w:tblBorders>
          <w:top w:val="single" w:sz="4" w:color="CCCCCC"/>
          <w:bottom w:val="single" w:sz="4" w:color="CCCCCC"/>
          <w:insideH w:val="single" w:sz="4" w:color="CCCCCC"/>
        </w:tblBorders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spacing w:after="40"/>
            </w:pP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b/>
                <w:sz w:val="19"/>
              </w:rPr>
              <w:t xml:space="preserve">Y1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b/>
                <w:sz w:val="19"/>
              </w:rPr>
              <w:t xml:space="preserve">Y2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b/>
                <w:sz w:val="19"/>
              </w:rPr>
              <w:t xml:space="preserve">Y3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b/>
                <w:sz w:val="19"/>
              </w:rPr>
              <w:t xml:space="preserve">Y4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b/>
                <w:sz w:val="19"/>
              </w:rPr>
              <w:t xml:space="preserve">Y5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Metros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Boston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3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8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15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25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Paying subscribers (yr-end)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~3k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~25k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~90k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~220k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~450k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Verified Partner restaurants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~20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~400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~1,500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~4,000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~9,000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Team (yr-end)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5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12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24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40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62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Revenue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$0.15M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$1.47M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$5.86M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$16.44M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$37.35M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Milestone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Pilot evidence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Playbook ×3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B2B2C first contracts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Approaching breakeven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Profitable, 25-metro standard</w:t>
            </w:r>
          </w:p>
        </w:tc>
      </w:tr>
    </w:tbl>
    <w:p>
      <w:pPr>
        <w:pStyle w:val="Heading2"/>
      </w:pPr>
      <w:bookmarkStart w:id="33" w:name="risks-mitigations"/>
      <w:r>
        <w:t xml:space="preserve">10. Risks &amp; mitigations</w:t>
      </w:r>
      <w:bookmarkEnd w:id="33"/>
    </w:p>
    <w:tbl>
      <w:tblPr>
        <w:tblStyle w:val="Table"/>
        <w:tblW w:type="pct" w:w="5000.0"/>
        <w:tblLook w:firstRow="1"/>
        <w:tblBorders>
          <w:top w:val="single" w:sz="4" w:color="CCCCCC"/>
          <w:bottom w:val="single" w:sz="4" w:color="CCCCCC"/>
          <w:insideH w:val="single" w:sz="4" w:color="CCCCCC"/>
        </w:tblBorders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Risk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Mitigation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Estimation accuracy is physics-bound</w:t>
            </w:r>
            <w:r>
              <w:rPr>
                <w:rFonts w:ascii="Helvetica Neue" w:hAnsi="Helvetica Neue"/>
                <w:sz w:val="19"/>
              </w:rPr>
              <w:t xml:space="preserve"> </w:t>
            </w:r>
            <w:r>
              <w:rPr>
                <w:rFonts w:ascii="Helvetica Neue" w:hAnsi="Helvetica Neue"/>
                <w:sz w:val="19"/>
              </w:rPr>
              <w:t xml:space="preserve">(~16–25% photo floor)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Lead with menu text (models match nutritionists there); RAG-ground in USDA FNDDS (grounding cuts error 63–83%); surface ± ranges; user correction built into every surface; never marketed as clinical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Retention kills this category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Plan-ahead is a decision habit, not a logging chore; order-confirmed logging removes the diary; calibration gives a compounding reason to stay; annual plans ~halve churn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Two-sided cold start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Published-disclosure seeding gives day-one chain coverage free; density beats breadth; the terminal gives independents value (orders + flags) before any fee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GLP-1 substitution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Position as the eating-out companion</w:t>
            </w:r>
            <w:r>
              <w:rPr>
                <w:rFonts w:ascii="Helvetica Neue" w:hAnsi="Helvetica Neue"/>
                <w:sz w:val="19"/>
              </w:rPr>
              <w:t xml:space="preserve"> </w:t>
            </w:r>
            <w:r>
              <w:rPr>
                <w:rFonts w:ascii="Helvetica Neue" w:hAnsi="Helvetica Neue"/>
                <w:i/>
                <w:sz w:val="19"/>
              </w:rPr>
              <w:t xml:space="preserve">for</w:t>
            </w:r>
            <w:r>
              <w:rPr>
                <w:rFonts w:ascii="Helvetica Neue" w:hAnsi="Helvetica Neue"/>
                <w:sz w:val="19"/>
              </w:rPr>
              <w:t xml:space="preserve"> </w:t>
            </w:r>
            <w:r>
              <w:rPr>
                <w:rFonts w:ascii="Helvetica Neue" w:hAnsi="Helvetica Neue"/>
                <w:sz w:val="19"/>
              </w:rPr>
              <w:t xml:space="preserve">GLP-1 users — the angle funding the category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Incumbent consolidation</w:t>
            </w:r>
            <w:r>
              <w:rPr>
                <w:rFonts w:ascii="Helvetica Neue" w:hAnsi="Helvetica Neue"/>
                <w:sz w:val="19"/>
              </w:rPr>
              <w:t xml:space="preserve"> </w:t>
            </w:r>
            <w:r>
              <w:rPr>
                <w:rFonts w:ascii="Helvetica Neue" w:hAnsi="Helvetica Neue"/>
                <w:sz w:val="19"/>
              </w:rPr>
              <w:t xml:space="preserve">(MFP × Cal AI)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Moat is the verified-data + correction + ground-truth graph, not the model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Trust/integrity failure would be fatal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Governance is product: sponsored-scoring separation is categorical; corrections versioned and public; simulated states labeled; the</w:t>
            </w:r>
            <w:r>
              <w:rPr>
                <w:rFonts w:ascii="Helvetica Neue" w:hAnsi="Helvetica Neue"/>
                <w:sz w:val="19"/>
              </w:rPr>
              <w:t xml:space="preserve"> </w:t>
            </w:r>
            <w:r>
              <w:rPr>
                <w:rStyle w:val="VerbatimChar"/>
                <w:rFonts w:ascii="Helvetica Neue" w:hAnsi="Helvetica Neue"/>
                <w:sz w:val="19"/>
              </w:rPr>
              <w:t xml:space="preserve">/impact</w:t>
            </w:r>
            <w:r>
              <w:rPr>
                <w:rFonts w:ascii="Helvetica Neue" w:hAnsi="Helvetica Neue"/>
                <w:sz w:val="19"/>
              </w:rPr>
              <w:t xml:space="preserve"> </w:t>
            </w:r>
            <w:r>
              <w:rPr>
                <w:rFonts w:ascii="Helvetica Neue" w:hAnsi="Helvetica Neue"/>
                <w:sz w:val="19"/>
              </w:rPr>
              <w:t xml:space="preserve">no-unrecorded-claims commitment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Policy risk on B2B2C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Anchor on commercial MNT; Medicaid expansion as optionality</w:t>
            </w:r>
          </w:p>
        </w:tc>
      </w:tr>
    </w:tbl>
    <w:p>
      <w:pPr>
        <w:pStyle w:val="Heading2"/>
      </w:pPr>
      <w:bookmarkStart w:id="34" w:name="national-impact"/>
      <w:r>
        <w:t xml:space="preserve">11. National impact</w:t>
      </w:r>
      <w:bookmarkEnd w:id="34"/>
    </w:p>
    <w:p>
      <w:pPr>
        <w:pStyle w:val="FirstParagraph"/>
      </w:pPr>
      <w:r>
        <w:rPr>
          <w:i/>
        </w:rPr>
        <w:t xml:space="preserve">This section states the founders’ case factually; it draws no legal conclusions. All forward figures are projections from the planning model, labeled as such.</w:t>
      </w:r>
    </w:p>
    <w:p>
      <w:pPr>
        <w:pStyle w:val="BodyText"/>
      </w:pPr>
      <w:r>
        <w:rPr>
          <w:b/>
        </w:rPr>
        <w:t xml:space="preserve">11.1 Contributions to the economy.</w:t>
      </w:r>
      <w:r>
        <w:t xml:space="preserve"> </w:t>
      </w:r>
      <w:r>
        <w:t xml:space="preserve">Diet-related disease costs the U.S. ~$334B/yr in direct medical spending (CDC-cited); the away-from-home channel — 58.5% of food spending (USDA ERS) — is where those diets are decided, yet the only federal instrument there (chain calorie labeling) shifts intake by ~24 kcal/order (peer-reviewed). Forkcast’s contribution is infrastructure: turning any menu, chain or independent, into trustworthy per-dish nutrition at the moment of decision. Each point of improvement in restaurant-meal choices compounds across ~$1.5T of annual away-from-home spending.</w:t>
      </w:r>
    </w:p>
    <w:p>
      <w:pPr>
        <w:pStyle w:val="BodyText"/>
      </w:pPr>
      <w:r>
        <w:rPr>
          <w:b/>
        </w:rPr>
        <w:t xml:space="preserve">11.2 Job creation.</w:t>
      </w:r>
      <w:r>
        <w:t xml:space="preserve"> </w:t>
      </w:r>
      <w:r>
        <w:t xml:space="preserve">Direct: the personnel plan below projects</w:t>
      </w:r>
      <w:r>
        <w:t xml:space="preserve"> </w:t>
      </w:r>
      <w:r>
        <w:rPr>
          <w:b/>
        </w:rPr>
        <w:t xml:space="preserve">5 → 62 U.S. employees across five years</w:t>
      </w:r>
      <w:r>
        <w:t xml:space="preserve"> </w:t>
      </w:r>
      <w:r>
        <w:t xml:space="preserve">(engineering, nutrition data operations, market launch teams — Boston first, then the CDC’s highest-prevalence regions). Indirect: every Verified Partner restaurant gains a free digital storefront, order channel, and menu-data capability; the model projects ~9,000 partner restaurants by Y5, overwhelmingly independent small businesses, each keeping 94% of Forkcast-originated order revenue.</w:t>
      </w:r>
    </w:p>
    <w:p>
      <w:pPr>
        <w:pStyle w:val="BodyText"/>
      </w:pPr>
      <w:r>
        <w:rPr>
          <w:b/>
        </w:rPr>
        <w:t xml:space="preserve">11.3 Support for small businesses.</w:t>
      </w:r>
      <w:r>
        <w:t xml:space="preserve"> </w:t>
      </w:r>
      <w:r>
        <w:t xml:space="preserve">Federal labeling rules cover chains with 20+ locations; the independent majority is priced out of nutrition analysis (lab panels run ~$500–1,000/dish). Forkcast gives independents that capability free — menu digitization, per-dish nutrition, verification tools, a corrections ledger — and charges only a 6% fee on orders it originates, versus the 15–30% delivery marketplaces charge. The pilot’s partner agreements and correction logs are designed to evidence this support, restaurant by restaurant.</w:t>
      </w:r>
    </w:p>
    <w:p>
      <w:pPr>
        <w:pStyle w:val="BodyText"/>
      </w:pPr>
      <w:r>
        <w:rPr>
          <w:b/>
        </w:rPr>
        <w:t xml:space="preserve">11.4 Future impact.</w:t>
      </w:r>
      <w:r>
        <w:t xml:space="preserve"> </w:t>
      </w:r>
      <w:r>
        <w:t xml:space="preserve">The expansion sequence deliberately targets the regions federal surveillance identifies as most affected (2024 BRFSS: Midwest 35.9% adult obesity, South 34.5%; 19 states ≥35%). Beyond five years, the same provenance-carrying dataset supports covered-benefit nutrition programs (B2B2C leg), research access to real-world restaurant-eating data, and a correction-governed standard other platforms can adopt. The endeavor is job-creating rather than job-taking, and its methods — collection protocol, provenance tiers, pre-registered metrics — are publishable infrastructure.</w:t>
      </w:r>
    </w:p>
    <w:p>
      <w:pPr>
        <w:pStyle w:val="BodyText"/>
      </w:pPr>
      <w:r>
        <w:rPr>
          <w:b/>
        </w:rPr>
        <w:t xml:space="preserve">Evidence integrity.</w:t>
      </w:r>
      <w:r>
        <w:t xml:space="preserve"> </w:t>
      </w:r>
      <w:r>
        <w:t xml:space="preserve">No fabricated users, restaurants, partners, outcomes, revenue, ratings, or health claims — enforced in the product itself (prototype stamps, simulation labels, demo-payment disclosures, confidence tiers).</w:t>
      </w:r>
    </w:p>
    <w:p>
      <w:pPr>
        <w:pStyle w:val="Heading2"/>
      </w:pPr>
      <w:bookmarkStart w:id="35" w:name="organization-people"/>
      <w:r>
        <w:t xml:space="preserve">12. Organization &amp; people</w:t>
      </w:r>
      <w:bookmarkEnd w:id="35"/>
    </w:p>
    <w:p>
      <w:pPr>
        <w:pStyle w:val="FirstParagraph"/>
      </w:pPr>
      <w:r>
        <w:rPr>
          <w:b/>
        </w:rPr>
        <w:t xml:space="preserve">12.1 Organizational structure.</w:t>
      </w:r>
      <w:r>
        <w:t xml:space="preserve"> </w:t>
      </w:r>
      <w:r>
        <w:t xml:space="preserve">Flat by design through Y2, then three functional pods reporting to the co-founders:</w:t>
      </w:r>
    </w:p>
    <w:p>
      <w:pPr>
        <w:pStyle w:val="SourceCode"/>
      </w:pPr>
      <w:r>
        <w:rPr>
          <w:rStyle w:val="VerbatimChar"/>
          <w:rFonts w:ascii="Courier New" w:hAnsi="Courier New"/>
          <w:sz w:val="16"/>
        </w:rPr>
        <w:t xml:space="preserve">                    Co-founders</w:t>
      </w:r>
      <w:r>
        <w:rPr>
          <w:rFonts w:ascii="Courier New" w:hAnsi="Courier New"/>
          <w:sz w:val="16"/>
        </w:rPr>
        <w:br/>
      </w:r>
      <w:r>
        <w:rPr>
          <w:rStyle w:val="VerbatimChar"/>
          <w:rFonts w:ascii="Courier New" w:hAnsi="Courier New"/>
          <w:sz w:val="16"/>
        </w:rPr>
        <w:t xml:space="preserve">        (Product &amp; Engineering | Strategy &amp; Partnerships)</w:t>
      </w:r>
      <w:r>
        <w:rPr>
          <w:rFonts w:ascii="Courier New" w:hAnsi="Courier New"/>
          <w:sz w:val="16"/>
        </w:rPr>
        <w:br/>
      </w:r>
      <w:r>
        <w:rPr>
          <w:rStyle w:val="VerbatimChar"/>
          <w:rFonts w:ascii="Courier New" w:hAnsi="Courier New"/>
          <w:sz w:val="16"/>
        </w:rPr>
        <w:t xml:space="preserve">                         │</w:t>
      </w:r>
      <w:r>
        <w:rPr>
          <w:rFonts w:ascii="Courier New" w:hAnsi="Courier New"/>
          <w:sz w:val="16"/>
        </w:rPr>
        <w:br/>
      </w:r>
      <w:r>
        <w:rPr>
          <w:rStyle w:val="VerbatimChar"/>
          <w:rFonts w:ascii="Courier New" w:hAnsi="Courier New"/>
          <w:sz w:val="16"/>
        </w:rPr>
        <w:t xml:space="preserve">      ┌──────────────────┼──────────────────────┐</w:t>
      </w:r>
      <w:r>
        <w:rPr>
          <w:rFonts w:ascii="Courier New" w:hAnsi="Courier New"/>
          <w:sz w:val="16"/>
        </w:rPr>
        <w:br/>
      </w:r>
      <w:r>
        <w:rPr>
          <w:rStyle w:val="VerbatimChar"/>
          <w:rFonts w:ascii="Courier New" w:hAnsi="Courier New"/>
          <w:sz w:val="16"/>
        </w:rPr>
        <w:t xml:space="preserve"> Product &amp; Eng      Data &amp; Nutrition       Market &amp; Partnerships</w:t>
      </w:r>
      <w:r>
        <w:rPr>
          <w:rFonts w:ascii="Courier New" w:hAnsi="Courier New"/>
          <w:sz w:val="16"/>
        </w:rPr>
        <w:br/>
      </w:r>
      <w:r>
        <w:rPr>
          <w:rStyle w:val="VerbatimChar"/>
          <w:rFonts w:ascii="Courier New" w:hAnsi="Courier New"/>
          <w:sz w:val="16"/>
        </w:rPr>
        <w:t xml:space="preserve"> web · mobile · ML  nutrition ops · RD     city launch · partner success</w:t>
      </w:r>
      <w:r>
        <w:rPr>
          <w:rFonts w:ascii="Courier New" w:hAnsi="Courier New"/>
          <w:sz w:val="16"/>
        </w:rPr>
        <w:br/>
      </w:r>
      <w:r>
        <w:rPr>
          <w:rStyle w:val="VerbatimChar"/>
          <w:rFonts w:ascii="Courier New" w:hAnsi="Courier New"/>
          <w:sz w:val="16"/>
        </w:rPr>
        <w:t xml:space="preserve">                    corrections QA          support · co-marketing</w:t>
      </w:r>
    </w:p>
    <w:p>
      <w:pPr>
        <w:pStyle w:val="FirstParagraph"/>
      </w:pPr>
      <w:r>
        <w:t xml:space="preserve">G&amp;A (finance, people ops) stays fractional/outsourced until Y3. Every pod owns a number: Eng owns activation and estimate-correction rate, Data owns provenance coverage, Market owns partner density and CAC.</w:t>
      </w:r>
    </w:p>
    <w:p>
      <w:pPr>
        <w:pStyle w:val="BodyText"/>
      </w:pPr>
      <w:r>
        <w:rPr>
          <w:b/>
        </w:rPr>
        <w:t xml:space="preserve">12.2 Management team.</w:t>
      </w:r>
      <w:r>
        <w:t xml:space="preserve"> </w:t>
      </w:r>
      <w:r>
        <w:t xml:space="preserve">Two co-founders: one leading product and engineering (builder of the product to date), one leading strategy, market validation, and regulatory-economic analysis. Founder credentials are shared with investors directly. Advisory targets: a registered dietitian (clinical credibility + B2B2C), a fast-casual operator, and a digital-health payer-contracting advisor.</w:t>
      </w:r>
    </w:p>
    <w:p>
      <w:pPr>
        <w:pStyle w:val="BodyText"/>
      </w:pPr>
      <w:r>
        <w:rPr>
          <w:b/>
        </w:rPr>
        <w:t xml:space="preserve">12.3 Personnel plan by year</w:t>
      </w:r>
      <w:r>
        <w:t xml:space="preserve"> </w:t>
      </w:r>
      <w:r>
        <w:rPr>
          <w:i/>
        </w:rPr>
        <w:t xml:space="preserve">(projection; headcount at year end)</w:t>
      </w:r>
    </w:p>
    <w:tbl>
      <w:tblPr>
        <w:tblStyle w:val="Table"/>
        <w:tblW w:type="pct" w:w="0.0"/>
        <w:tblLook w:firstRow="1"/>
        <w:tblBorders>
          <w:top w:val="single" w:sz="4" w:color="CCCCCC"/>
          <w:bottom w:val="single" w:sz="4" w:color="CCCCCC"/>
          <w:insideH w:val="single" w:sz="4" w:color="CCCCCC"/>
        </w:tblBorders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Function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b/>
                <w:sz w:val="19"/>
              </w:rPr>
              <w:t xml:space="preserve">Y1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b/>
                <w:sz w:val="19"/>
              </w:rPr>
              <w:t xml:space="preserve">Y2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b/>
                <w:sz w:val="19"/>
              </w:rPr>
              <w:t xml:space="preserve">Y3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b/>
                <w:sz w:val="19"/>
              </w:rPr>
              <w:t xml:space="preserve">Y4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b/>
                <w:sz w:val="19"/>
              </w:rPr>
              <w:t xml:space="preserve">Y5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Founders / management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2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2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3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4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5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Engineering (web, mobile, ML, data)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1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5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9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14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20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Nutrition data ops + RD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1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2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4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7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11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Market launch &amp; partner success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1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2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6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11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18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Support &amp; community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–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1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1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3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5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G&amp;A (finance, people)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–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–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1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1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3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Total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b/>
                <w:sz w:val="19"/>
              </w:rPr>
              <w:t xml:space="preserve">5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b/>
                <w:sz w:val="19"/>
              </w:rPr>
              <w:t xml:space="preserve">12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b/>
                <w:sz w:val="19"/>
              </w:rPr>
              <w:t xml:space="preserve">24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b/>
                <w:sz w:val="19"/>
              </w:rPr>
              <w:t xml:space="preserve">40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b/>
                <w:sz w:val="19"/>
              </w:rPr>
              <w:t xml:space="preserve">62</w:t>
            </w:r>
          </w:p>
        </w:tc>
      </w:tr>
    </w:tbl>
    <w:p>
      <w:pPr>
        <w:pStyle w:val="BodyText"/>
      </w:pPr>
      <w:r>
        <w:rPr>
          <w:b/>
        </w:rPr>
        <w:t xml:space="preserve">12.4 Salary table</w:t>
      </w:r>
      <w:r>
        <w:t xml:space="preserve"> </w:t>
      </w:r>
      <w:r>
        <w:rPr>
          <w:i/>
        </w:rPr>
        <w:t xml:space="preserve">(Boston-market base, projection)</w:t>
      </w:r>
    </w:p>
    <w:tbl>
      <w:tblPr>
        <w:tblStyle w:val="Table"/>
        <w:tblW w:type="pct" w:w="0.0"/>
        <w:tblLook w:firstRow="1"/>
        <w:tblBorders>
          <w:top w:val="single" w:sz="4" w:color="CCCCCC"/>
          <w:bottom w:val="single" w:sz="4" w:color="CCCCCC"/>
          <w:insideH w:val="single" w:sz="4" w:color="CCCCCC"/>
        </w:tblBorders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b/>
                <w:sz w:val="19"/>
              </w:rPr>
              <w:t xml:space="preserve">Base salary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Co-founder (Y1–Y2, below market)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$90,000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Senior ML engineer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$165,000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Full-stack / mobile engineer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$150,000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Product designer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$120,000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Registered dietitian (part-time → full)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$60,000–95,000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Nutrition data operations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$70,000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City GTM lead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$110,000 + incentive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Partner success rep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$85,000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Support specialist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$55,000</w:t>
            </w:r>
          </w:p>
        </w:tc>
      </w:tr>
    </w:tbl>
    <w:p>
      <w:pPr>
        <w:pStyle w:val="BodyText"/>
      </w:pPr>
      <w:r>
        <w:t xml:space="preserve">Fully-loaded cost ≈ base × 1.25 (payroll taxes, benefits, tools).</w:t>
      </w:r>
    </w:p>
    <w:p>
      <w:pPr>
        <w:pStyle w:val="BodyText"/>
      </w:pPr>
      <w:r>
        <w:rPr>
          <w:b/>
        </w:rPr>
        <w:t xml:space="preserve">12.5 Personnel spend by year</w:t>
      </w:r>
      <w:r>
        <w:t xml:space="preserve"> </w:t>
      </w:r>
      <w:r>
        <w:rPr>
          <w:i/>
        </w:rPr>
        <w:t xml:space="preserve">(projection; reconciles to the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Team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line in the P&amp;L,</w:t>
      </w:r>
      <w:r>
        <w:rPr>
          <w:i/>
        </w:rPr>
        <w:t xml:space="preserve"> </w:t>
      </w:r>
      <w:r>
        <w:rPr>
          <w:rStyle w:val="VerbatimChar"/>
          <w:i/>
        </w:rPr>
        <w:t xml:space="preserve">FINANCIAL_MODEL.md</w:t>
      </w:r>
      <w:r>
        <w:rPr>
          <w:i/>
        </w:rPr>
        <w:t xml:space="preserve"> </w:t>
      </w:r>
      <w:r>
        <w:rPr>
          <w:i/>
        </w:rPr>
        <w:t xml:space="preserve">§5)</w:t>
      </w:r>
    </w:p>
    <w:tbl>
      <w:tblPr>
        <w:tblStyle w:val="Table"/>
        <w:tblW w:type="pct" w:w="0.0"/>
        <w:tblLook w:firstRow="1"/>
        <w:tblBorders>
          <w:top w:val="single" w:sz="4" w:color="CCCCCC"/>
          <w:bottom w:val="single" w:sz="4" w:color="CCCCCC"/>
          <w:insideH w:val="single" w:sz="4" w:color="CCCCCC"/>
        </w:tblBorders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spacing w:after="40"/>
            </w:pP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b/>
                <w:sz w:val="19"/>
              </w:rPr>
              <w:t xml:space="preserve">Y1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b/>
                <w:sz w:val="19"/>
              </w:rPr>
              <w:t xml:space="preserve">Y2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b/>
                <w:sz w:val="19"/>
              </w:rPr>
              <w:t xml:space="preserve">Y3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b/>
                <w:sz w:val="19"/>
              </w:rPr>
              <w:t xml:space="preserve">Y4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b/>
                <w:sz w:val="19"/>
              </w:rPr>
              <w:t xml:space="preserve">Y5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Headcount (avg)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4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9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18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32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51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Salaries + load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$0.7M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$1.9M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$3.7M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$6.2M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$9.8M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sz w:val="19"/>
              </w:rPr>
              <w:t xml:space="preserve">Contractors (mobile launch, design)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$0.2M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$0.3M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$0.5M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$0.8M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sz w:val="19"/>
              </w:rPr>
              <w:t xml:space="preserve">$1.2M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Helvetica Neue" w:hAnsi="Helvetica Neue"/>
                <w:b/>
                <w:sz w:val="19"/>
              </w:rPr>
              <w:t xml:space="preserve">Total team cost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b/>
                <w:sz w:val="19"/>
              </w:rPr>
              <w:t xml:space="preserve">$0.9M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b/>
                <w:sz w:val="19"/>
              </w:rPr>
              <w:t xml:space="preserve">$2.2M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b/>
                <w:sz w:val="19"/>
              </w:rPr>
              <w:t xml:space="preserve">$4.2M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b/>
                <w:sz w:val="19"/>
              </w:rPr>
              <w:t xml:space="preserve">$7.0M</w:t>
            </w:r>
          </w:p>
        </w:tc>
        <w:tc>
          <w:p>
            <w:pPr>
              <w:pStyle w:val="Compact"/>
              <w:spacing w:after="40"/>
              <w:jc w:val="right"/>
            </w:pPr>
            <w:r>
              <w:rPr>
                <w:rFonts w:ascii="Helvetica Neue" w:hAnsi="Helvetica Neue"/>
                <w:b/>
                <w:sz w:val="19"/>
              </w:rPr>
              <w:t xml:space="preserve">$11.0M</w:t>
            </w:r>
          </w:p>
        </w:tc>
      </w:tr>
    </w:tbl>
    <w:p>
      <w:pPr>
        <w:pStyle w:val="BodyText"/>
      </w:pPr>
      <w:r>
        <w:t xml:space="preserve">Hiring is sequenced behind revenue proof: the Y2 step-up follows pilot conversion data; Y3+ market-launch hiring follows the seed round and the second-metro playbook. Non-dilutive SBIR offsets part of Y1–Y2 engineering.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Companions:</w:t>
      </w:r>
      <w:r>
        <w:rPr>
          <w:i/>
        </w:rPr>
        <w:t xml:space="preserve"> </w:t>
      </w:r>
      <w:r>
        <w:rPr>
          <w:rStyle w:val="VerbatimChar"/>
          <w:i/>
        </w:rPr>
        <w:t xml:space="preserve">FINANCIAL_MODEL.md</w:t>
      </w:r>
      <w:r>
        <w:rPr>
          <w:i/>
        </w:rPr>
        <w:t xml:space="preserve"> </w:t>
      </w:r>
      <w:r>
        <w:rPr>
          <w:i/>
        </w:rPr>
        <w:t xml:space="preserve">·</w:t>
      </w:r>
      <w:r>
        <w:rPr>
          <w:i/>
        </w:rPr>
        <w:t xml:space="preserve"> </w:t>
      </w:r>
      <w:r>
        <w:rPr>
          <w:rStyle w:val="VerbatimChar"/>
          <w:i/>
        </w:rPr>
        <w:t xml:space="preserve">RESEARCH.md</w:t>
      </w:r>
      <w:r>
        <w:rPr>
          <w:i/>
        </w:rPr>
        <w:t xml:space="preserve"> </w:t>
      </w:r>
      <w:r>
        <w:rPr>
          <w:i/>
        </w:rPr>
        <w:t xml:space="preserve">(cited evidence base) ·</w:t>
      </w:r>
      <w:r>
        <w:rPr>
          <w:i/>
        </w:rPr>
        <w:t xml:space="preserve"> </w:t>
      </w:r>
      <w:r>
        <w:rPr>
          <w:rStyle w:val="VerbatimChar"/>
          <w:i/>
        </w:rPr>
        <w:t xml:space="preserve">COMPETITIVE_SCAN_2026-07.md</w:t>
      </w:r>
      <w:r>
        <w:rPr>
          <w:i/>
        </w:rPr>
        <w:t xml:space="preserve"> </w:t>
      </w:r>
      <w:r>
        <w:rPr>
          <w:i/>
        </w:rPr>
        <w:t xml:space="preserve">(live captures) ·</w:t>
      </w:r>
      <w:r>
        <w:rPr>
          <w:i/>
        </w:rPr>
        <w:t xml:space="preserve"> </w:t>
      </w:r>
      <w:r>
        <w:rPr>
          <w:rStyle w:val="VerbatimChar"/>
          <w:i/>
        </w:rPr>
        <w:t xml:space="preserve">MENU_COLLECTION.md</w:t>
      </w:r>
      <w:r>
        <w:rPr>
          <w:i/>
        </w:rPr>
        <w:t xml:space="preserve"> </w:t>
      </w:r>
      <w:r>
        <w:rPr>
          <w:i/>
        </w:rPr>
        <w:t xml:space="preserve">(data protocol) ·</w:t>
      </w:r>
      <w:r>
        <w:rPr>
          <w:i/>
        </w:rPr>
        <w:t xml:space="preserve"> </w:t>
      </w:r>
      <w:r>
        <w:rPr>
          <w:rStyle w:val="VerbatimChar"/>
          <w:i/>
        </w:rPr>
        <w:t xml:space="preserve">SYSTEM_ARCHITECTURE.md</w:t>
      </w:r>
      <w:r>
        <w:rPr>
          <w:i/>
        </w:rPr>
        <w:t xml:space="preserve"> </w:t>
      </w:r>
      <w:r>
        <w:rPr>
          <w:i/>
        </w:rPr>
        <w:t xml:space="preserve">·</w:t>
      </w:r>
      <w:r>
        <w:rPr>
          <w:i/>
        </w:rPr>
        <w:t xml:space="preserve"> </w:t>
      </w:r>
      <w:r>
        <w:rPr>
          <w:rStyle w:val="VerbatimChar"/>
          <w:i/>
        </w:rPr>
        <w:t xml:space="preserve">DESIGN_INTEGRATION_NIW.md</w:t>
      </w:r>
      <w:r>
        <w:rPr>
          <w:i/>
        </w:rPr>
        <w:t xml:space="preserve">. Working product: this repository (</w:t>
      </w:r>
      <w:r>
        <w:rPr>
          <w:rStyle w:val="VerbatimChar"/>
          <w:i/>
        </w:rPr>
        <w:t xml:space="preserve">npm run dev</w:t>
      </w:r>
      <w:r>
        <w:rPr>
          <w:i/>
        </w:rPr>
        <w:t xml:space="preserve">) and the published demo site.</w:t>
      </w:r>
    </w:p>
    <w:sectPr>
      <w:pgMar w:left="1440" w:right="1440" w:top="1296" w:bottom="129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60" w:line="276" w:lineRule="auto"/>
    </w:pPr>
    <w:rPr>
      <w:rFonts w:ascii="Georgia" w:hAnsi="Georgia"/>
      <w:color w:val="201E1D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Helvetica Neue" w:hAnsi="Helvetica Neue"/>
      <w:b/>
      <w:bCs/>
      <w:color w:val="201E1D"/>
      <w:sz w:val="48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2026-07-20T03:12:18Z</dcterms:created>
  <dcterms:modified xsi:type="dcterms:W3CDTF">2026-07-20T03:12:18Z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