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sz w:val="26"/>
          <w:szCs w:val="26"/>
        </w:rPr>
        <w:t xml:space="preserve">Seymur Hasanov</w:t>
      </w:r>
    </w:p>
    <w:p>
      <w:pPr>
        <w:spacing w:after="20" w:line="276"/>
      </w:pPr>
      <w:r>
        <w:rPr>
          <w:rFonts w:ascii="Calibri" w:cs="Calibri" w:eastAsia="Calibri" w:hAnsi="Calibri"/>
          <w:b w:val="false"/>
          <w:bCs w:val="false"/>
          <w:i w:val="false"/>
          <w:iCs w:val="false"/>
          <w:sz w:val="22"/>
          <w:szCs w:val="22"/>
        </w:rPr>
        <w:t xml:space="preserve">Co-Founder, Forkcast  ·  shasanov@seas.harvard.edu  ·  https://seymurhh.github.io/forkcast-live/</w:t>
      </w:r>
    </w:p>
    <w:p>
      <w:pPr>
        <w:spacing w:after="200" w:line="276"/>
      </w:pPr>
      <w:r>
        <w:rPr>
          <w:rFonts w:ascii="Calibri" w:cs="Calibri" w:eastAsia="Calibri" w:hAnsi="Calibri"/>
          <w:b/>
          <w:bCs/>
          <w:i w:val="false"/>
          <w:iCs w:val="false"/>
          <w:sz w:val="22"/>
          <w:szCs w:val="22"/>
        </w:rPr>
        <w:t xml:space="preserve">[Your mailing address]</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[Phone]</w:t>
      </w:r>
    </w:p>
    <w:p>
      <w:pPr>
        <w:spacing w:after="160" w:line="276"/>
      </w:pPr>
      <w:r>
        <w:rPr>
          <w:rFonts w:ascii="Calibri" w:cs="Calibri" w:eastAsia="Calibri" w:hAnsi="Calibri"/>
          <w:b w:val="false"/>
          <w:bCs w:val="false"/>
          <w:i w:val="false"/>
          <w:iCs w:val="false"/>
          <w:sz w:val="22"/>
          <w:szCs w:val="22"/>
        </w:rPr>
        <w:t xml:space="preserve">July 21, 2026</w:t>
      </w:r>
    </w:p>
    <w:p>
      <w:pPr>
        <w:spacing w:after="160" w:line="276"/>
      </w:pPr>
      <w:r>
        <w:rPr>
          <w:rFonts w:ascii="Calibri" w:cs="Calibri" w:eastAsia="Calibri" w:hAnsi="Calibri"/>
          <w:b w:val="false"/>
          <w:bCs w:val="false"/>
          <w:i w:val="false"/>
          <w:iCs w:val="false"/>
          <w:sz w:val="22"/>
          <w:szCs w:val="22"/>
        </w:rPr>
        <w:t xml:space="preserve">U.S. Citizenship and Immigration Services</w:t>
      </w:r>
    </w:p>
    <w:p>
      <w:pPr>
        <w:spacing w:after="200" w:line="276"/>
      </w:pPr>
      <w:r>
        <w:rPr>
          <w:rFonts w:ascii="Calibri" w:cs="Calibri" w:eastAsia="Calibri" w:hAnsi="Calibri"/>
          <w:b w:val="false"/>
          <w:bCs w:val="false"/>
          <w:i w:val="false"/>
          <w:iCs w:val="false"/>
          <w:sz w:val="22"/>
          <w:szCs w:val="22"/>
        </w:rPr>
        <w:t xml:space="preserve">Re: Letter of Support for </w:t>
      </w:r>
      <w:r>
        <w:rPr>
          <w:rFonts w:ascii="Calibri" w:cs="Calibri" w:eastAsia="Calibri" w:hAnsi="Calibri"/>
          <w:b/>
          <w:bCs/>
          <w:i w:val="false"/>
          <w:iCs w:val="false"/>
          <w:sz w:val="22"/>
          <w:szCs w:val="22"/>
        </w:rPr>
        <w:t xml:space="preserve">[Rahman’s full legal name]</w:t>
      </w:r>
      <w:r>
        <w:rPr>
          <w:rFonts w:ascii="Calibri" w:cs="Calibri" w:eastAsia="Calibri" w:hAnsi="Calibri"/>
          <w:b w:val="false"/>
          <w:bCs w:val="false"/>
          <w:i w:val="false"/>
          <w:iCs w:val="false"/>
          <w:sz w:val="22"/>
          <w:szCs w:val="22"/>
        </w:rPr>
        <w:t xml:space="preserve"> — Petition for Second-Preference Immigrant Classification as a Member of the Professions Holding an Advanced Degree, with a National Interest Waiver (EB-2 NIW)</w:t>
      </w:r>
    </w:p>
    <w:p>
      <w:pPr>
        <w:spacing w:after="160" w:line="276"/>
      </w:pPr>
      <w:r>
        <w:rPr>
          <w:rFonts w:ascii="Calibri" w:cs="Calibri" w:eastAsia="Calibri" w:hAnsi="Calibri"/>
          <w:b w:val="false"/>
          <w:bCs w:val="false"/>
          <w:i w:val="false"/>
          <w:iCs w:val="false"/>
          <w:sz w:val="22"/>
          <w:szCs w:val="22"/>
        </w:rPr>
        <w:t xml:space="preserve">Dear Sir or Madam:</w:t>
      </w:r>
    </w:p>
    <w:p>
      <w:pPr>
        <w:spacing w:after="160" w:line="276"/>
      </w:pPr>
      <w:r>
        <w:rPr>
          <w:rFonts w:ascii="Calibri" w:cs="Calibri" w:eastAsia="Calibri" w:hAnsi="Calibri"/>
          <w:b w:val="false"/>
          <w:bCs w:val="false"/>
          <w:i w:val="false"/>
          <w:iCs w:val="false"/>
          <w:sz w:val="22"/>
          <w:szCs w:val="22"/>
        </w:rPr>
        <w:t xml:space="preserve">I am writing in support of the EB-2 National Interest Waiver petition of </w:t>
      </w:r>
      <w:r>
        <w:rPr>
          <w:rFonts w:ascii="Calibri" w:cs="Calibri" w:eastAsia="Calibri" w:hAnsi="Calibri"/>
          <w:b/>
          <w:bCs/>
          <w:i w:val="false"/>
          <w:iCs w:val="false"/>
          <w:sz w:val="22"/>
          <w:szCs w:val="22"/>
        </w:rPr>
        <w:t xml:space="preserve">[Rahman’s full legal name]</w:t>
      </w:r>
      <w:r>
        <w:rPr>
          <w:rFonts w:ascii="Calibri" w:cs="Calibri" w:eastAsia="Calibri" w:hAnsi="Calibri"/>
          <w:b w:val="false"/>
          <w:bCs w:val="false"/>
          <w:i w:val="false"/>
          <w:iCs w:val="false"/>
          <w:sz w:val="22"/>
          <w:szCs w:val="22"/>
        </w:rPr>
        <w:t xml:space="preserve"> (“Mr. </w:t>
      </w:r>
      <w:r>
        <w:rPr>
          <w:rFonts w:ascii="Calibri" w:cs="Calibri" w:eastAsia="Calibri" w:hAnsi="Calibri"/>
          <w:b/>
          <w:bCs/>
          <w:i w:val="false"/>
          <w:iCs w:val="false"/>
          <w:sz w:val="22"/>
          <w:szCs w:val="22"/>
        </w:rPr>
        <w:t xml:space="preserve">[Surname]</w:t>
      </w:r>
      <w:r>
        <w:rPr>
          <w:rFonts w:ascii="Calibri" w:cs="Calibri" w:eastAsia="Calibri" w:hAnsi="Calibri"/>
          <w:b w:val="false"/>
          <w:bCs w:val="false"/>
          <w:i w:val="false"/>
          <w:iCs w:val="false"/>
          <w:sz w:val="22"/>
          <w:szCs w:val="22"/>
        </w:rPr>
        <w:t xml:space="preserve">”). I am a co-founder of Forkcast, an AI-powered nutrition-intelligence platform for restaurant and home dining, built and piloting in Boston, Massachusetts. I hold </w:t>
      </w:r>
      <w:r>
        <w:rPr>
          <w:rFonts w:ascii="Calibri" w:cs="Calibri" w:eastAsia="Calibri" w:hAnsi="Calibri"/>
          <w:b/>
          <w:bCs/>
          <w:i w:val="false"/>
          <w:iCs w:val="false"/>
          <w:sz w:val="22"/>
          <w:szCs w:val="22"/>
        </w:rPr>
        <w:t xml:space="preserve">[your degree(s) and institution(s)]</w:t>
      </w:r>
      <w:r>
        <w:rPr>
          <w:rFonts w:ascii="Calibri" w:cs="Calibri" w:eastAsia="Calibri" w:hAnsi="Calibri"/>
          <w:b w:val="false"/>
          <w:bCs w:val="false"/>
          <w:i w:val="false"/>
          <w:iCs w:val="false"/>
          <w:sz w:val="22"/>
          <w:szCs w:val="22"/>
        </w:rPr>
        <w:t xml:space="preserve">. I have known Mr. </w:t>
      </w:r>
      <w:r>
        <w:rPr>
          <w:rFonts w:ascii="Calibri" w:cs="Calibri" w:eastAsia="Calibri" w:hAnsi="Calibri"/>
          <w:b/>
          <w:bCs/>
          <w:i w:val="false"/>
          <w:iCs w:val="false"/>
          <w:sz w:val="22"/>
          <w:szCs w:val="22"/>
        </w:rPr>
        <w:t xml:space="preserve">[Surname]</w:t>
      </w:r>
      <w:r>
        <w:rPr>
          <w:rFonts w:ascii="Calibri" w:cs="Calibri" w:eastAsia="Calibri" w:hAnsi="Calibri"/>
          <w:b w:val="false"/>
          <w:bCs w:val="false"/>
          <w:i w:val="false"/>
          <w:iCs w:val="false"/>
          <w:sz w:val="22"/>
          <w:szCs w:val="22"/>
        </w:rPr>
        <w:t xml:space="preserve"> since </w:t>
      </w:r>
      <w:r>
        <w:rPr>
          <w:rFonts w:ascii="Calibri" w:cs="Calibri" w:eastAsia="Calibri" w:hAnsi="Calibri"/>
          <w:b/>
          <w:bCs/>
          <w:i w:val="false"/>
          <w:iCs w:val="false"/>
          <w:sz w:val="22"/>
          <w:szCs w:val="22"/>
        </w:rPr>
        <w:t xml:space="preserve">[month/year]</w:t>
      </w:r>
      <w:r>
        <w:rPr>
          <w:rFonts w:ascii="Calibri" w:cs="Calibri" w:eastAsia="Calibri" w:hAnsi="Calibri"/>
          <w:b w:val="false"/>
          <w:bCs w:val="false"/>
          <w:i w:val="false"/>
          <w:iCs w:val="false"/>
          <w:sz w:val="22"/>
          <w:szCs w:val="22"/>
        </w:rPr>
        <w:t xml:space="preserve"> and have worked with him directly and substantively; everything in this letter reflects my first-hand observation, and I am available to verify any statement in it.</w:t>
      </w:r>
    </w:p>
    <w:p>
      <w:pPr>
        <w:spacing w:after="90" w:before="260" w:line="276"/>
      </w:pPr>
      <w:r>
        <w:rPr>
          <w:rFonts w:ascii="Calibri" w:cs="Calibri" w:eastAsia="Calibri" w:hAnsi="Calibri"/>
          <w:b/>
          <w:bCs/>
          <w:sz w:val="23"/>
          <w:szCs w:val="23"/>
        </w:rPr>
        <w:t xml:space="preserve">How I know his work</w:t>
      </w:r>
    </w:p>
    <w:p>
      <w:pPr>
        <w:spacing w:after="160" w:line="276"/>
      </w:pPr>
      <w:r>
        <w:rPr>
          <w:rFonts w:ascii="Calibri" w:cs="Calibri" w:eastAsia="Calibri" w:hAnsi="Calibri"/>
          <w:b w:val="false"/>
          <w:bCs w:val="false"/>
          <w:i w:val="false"/>
          <w:iCs w:val="false"/>
          <w:sz w:val="22"/>
          <w:szCs w:val="22"/>
        </w:rPr>
        <w:t xml:space="preserve">Mr. </w:t>
      </w:r>
      <w:r>
        <w:rPr>
          <w:rFonts w:ascii="Calibri" w:cs="Calibri" w:eastAsia="Calibri" w:hAnsi="Calibri"/>
          <w:b/>
          <w:bCs/>
          <w:i w:val="false"/>
          <w:iCs w:val="false"/>
          <w:sz w:val="22"/>
          <w:szCs w:val="22"/>
        </w:rPr>
        <w:t xml:space="preserve">[Surname]</w:t>
      </w:r>
      <w:r>
        <w:rPr>
          <w:rFonts w:ascii="Calibri" w:cs="Calibri" w:eastAsia="Calibri" w:hAnsi="Calibri"/>
          <w:b w:val="false"/>
          <w:bCs w:val="false"/>
          <w:i w:val="false"/>
          <w:iCs w:val="false"/>
          <w:sz w:val="22"/>
          <w:szCs w:val="22"/>
        </w:rPr>
        <w:t xml:space="preserve"> has worked with me on Forkcast since </w:t>
      </w:r>
      <w:r>
        <w:rPr>
          <w:rFonts w:ascii="Calibri" w:cs="Calibri" w:eastAsia="Calibri" w:hAnsi="Calibri"/>
          <w:b/>
          <w:bCs/>
          <w:i w:val="false"/>
          <w:iCs w:val="false"/>
          <w:sz w:val="22"/>
          <w:szCs w:val="22"/>
        </w:rPr>
        <w:t xml:space="preserve">[month/year]</w:t>
      </w:r>
      <w:r>
        <w:rPr>
          <w:rFonts w:ascii="Calibri" w:cs="Calibri" w:eastAsia="Calibri" w:hAnsi="Calibri"/>
          <w:b w:val="false"/>
          <w:bCs w:val="false"/>
          <w:i w:val="false"/>
          <w:iCs w:val="false"/>
          <w:sz w:val="22"/>
          <w:szCs w:val="22"/>
        </w:rPr>
        <w:t xml:space="preserve"> as </w:t>
      </w:r>
      <w:r>
        <w:rPr>
          <w:rFonts w:ascii="Calibri" w:cs="Calibri" w:eastAsia="Calibri" w:hAnsi="Calibri"/>
          <w:b/>
          <w:bCs/>
          <w:i w:val="false"/>
          <w:iCs w:val="false"/>
          <w:sz w:val="22"/>
          <w:szCs w:val="22"/>
        </w:rPr>
        <w:t xml:space="preserve">[his true role — e.g., co-founder responsible for strategy, market validation, and business analysis]</w:t>
      </w:r>
      <w:r>
        <w:rPr>
          <w:rFonts w:ascii="Calibri" w:cs="Calibri" w:eastAsia="Calibri" w:hAnsi="Calibri"/>
          <w:b w:val="false"/>
          <w:bCs w:val="false"/>
          <w:i w:val="false"/>
          <w:iCs w:val="false"/>
          <w:sz w:val="22"/>
          <w:szCs w:val="22"/>
        </w:rPr>
        <w:t xml:space="preserve">. This was not an arm’s-length acquaintance; he engaged with the product, the data model, and the business plan at working depth. I can personally attest to the following contributions, each of which shaped the shipping product:</w:t>
      </w:r>
    </w:p>
    <w:p>
      <w:pPr>
        <w:pStyle w:val="ListParagraph"/>
        <w:numPr>
          <w:ilvl w:val="0"/>
          <w:numId w:val="2"/>
        </w:numPr>
        <w:spacing w:after="120" w:line="276"/>
      </w:pPr>
      <w:r>
        <w:rPr>
          <w:rFonts w:ascii="Calibri" w:cs="Calibri" w:eastAsia="Calibri" w:hAnsi="Calibri"/>
          <w:b w:val="false"/>
          <w:bCs w:val="false"/>
          <w:i w:val="false"/>
          <w:iCs w:val="false"/>
          <w:sz w:val="22"/>
          <w:szCs w:val="22"/>
        </w:rPr>
        <w:t xml:space="preserve">He conducted a structured critique of the platform across six dimensions — location-aware discovery, account verification, international unit support, the fulfillment model, community features, and conversational AI assistance — that materially reshaped the product roadmap; </w:t>
      </w:r>
      <w:r>
        <w:rPr>
          <w:rFonts w:ascii="Calibri" w:cs="Calibri" w:eastAsia="Calibri" w:hAnsi="Calibri"/>
          <w:b/>
          <w:bCs/>
          <w:i w:val="false"/>
          <w:iCs w:val="false"/>
          <w:sz w:val="22"/>
          <w:szCs w:val="22"/>
        </w:rPr>
        <w:t xml:space="preserve">[confirm scope: “all six recommendations” only if literally true, otherwise “the majority”]</w:t>
      </w:r>
      <w:r>
        <w:rPr>
          <w:rFonts w:ascii="Calibri" w:cs="Calibri" w:eastAsia="Calibri" w:hAnsi="Calibri"/>
          <w:b w:val="false"/>
          <w:bCs w:val="false"/>
          <w:i w:val="false"/>
          <w:iCs w:val="false"/>
          <w:sz w:val="22"/>
          <w:szCs w:val="22"/>
        </w:rPr>
        <w:t xml:space="preserve"> were adopted.</w:t>
      </w:r>
    </w:p>
    <w:p>
      <w:pPr>
        <w:pStyle w:val="ListParagraph"/>
        <w:numPr>
          <w:ilvl w:val="0"/>
          <w:numId w:val="2"/>
        </w:numPr>
        <w:spacing w:after="120" w:line="276"/>
      </w:pPr>
      <w:r>
        <w:rPr>
          <w:rFonts w:ascii="Calibri" w:cs="Calibri" w:eastAsia="Calibri" w:hAnsi="Calibri"/>
          <w:b w:val="false"/>
          <w:bCs w:val="false"/>
          <w:i w:val="false"/>
          <w:iCs w:val="false"/>
          <w:sz w:val="22"/>
          <w:szCs w:val="22"/>
        </w:rPr>
        <w:t xml:space="preserve">He developed the analytical framework connecting the venture to federal public-health evidence — CDC obesity-surveillance data, USDA food-expenditure statistics, and the peer-reviewed menu-labeling literature — work demanding fluency in both data analysis and regulatory-economic reasoning.</w:t>
      </w:r>
    </w:p>
    <w:p>
      <w:pPr>
        <w:pStyle w:val="ListParagraph"/>
        <w:numPr>
          <w:ilvl w:val="0"/>
          <w:numId w:val="2"/>
        </w:numPr>
        <w:spacing w:after="120" w:line="276"/>
      </w:pPr>
      <w:r>
        <w:rPr>
          <w:rFonts w:ascii="Calibri" w:cs="Calibri" w:eastAsia="Calibri" w:hAnsi="Calibri"/>
          <w:b w:val="false"/>
          <w:bCs w:val="false"/>
          <w:i w:val="false"/>
          <w:iCs w:val="false"/>
          <w:sz w:val="22"/>
          <w:szCs w:val="22"/>
        </w:rPr>
        <w:t xml:space="preserve">He pressure-tested the financial model, identifying pricing assumptions that would not survive competitive contact, which led to a restructured revenue model with materially stronger unit economics.</w:t>
      </w:r>
    </w:p>
    <w:p>
      <w:pPr>
        <w:spacing w:after="160" w:line="276"/>
      </w:pPr>
      <w:r>
        <w:rPr>
          <w:rFonts w:ascii="Calibri" w:cs="Calibri" w:eastAsia="Calibri" w:hAnsi="Calibri"/>
          <w:b w:val="false"/>
          <w:bCs w:val="false"/>
          <w:i w:val="false"/>
          <w:iCs w:val="false"/>
          <w:sz w:val="22"/>
          <w:szCs w:val="22"/>
        </w:rPr>
        <w:t xml:space="preserve">Beyond his work with me, </w:t>
      </w:r>
      <w:r>
        <w:rPr>
          <w:rFonts w:ascii="Calibri" w:cs="Calibri" w:eastAsia="Calibri" w:hAnsi="Calibri"/>
          <w:b/>
          <w:bCs/>
          <w:i w:val="false"/>
          <w:iCs w:val="false"/>
          <w:sz w:val="22"/>
          <w:szCs w:val="22"/>
        </w:rPr>
        <w:t xml:space="preserve">[add 1–2 verifiable achievements from Mr. [Surname]</w:t>
      </w:r>
      <w:r>
        <w:rPr>
          <w:rFonts w:ascii="Calibri" w:cs="Calibri" w:eastAsia="Calibri" w:hAnsi="Calibri"/>
          <w:b w:val="false"/>
          <w:bCs w:val="false"/>
          <w:i w:val="false"/>
          <w:iCs w:val="false"/>
          <w:sz w:val="22"/>
          <w:szCs w:val="22"/>
        </w:rPr>
        <w:t xml:space="preserve">’s own record: degrees, titles, employers, publications, products shipped, or users/revenue attributable to him].</w:t>
      </w:r>
    </w:p>
    <w:p>
      <w:pPr>
        <w:spacing w:after="90" w:before="260" w:line="276"/>
      </w:pPr>
      <w:r>
        <w:rPr>
          <w:rFonts w:ascii="Calibri" w:cs="Calibri" w:eastAsia="Calibri" w:hAnsi="Calibri"/>
          <w:b/>
          <w:bCs/>
          <w:sz w:val="23"/>
          <w:szCs w:val="23"/>
        </w:rPr>
        <w:t xml:space="preserve">His proposed endeavor</w:t>
      </w:r>
    </w:p>
    <w:p>
      <w:pPr>
        <w:spacing w:after="160" w:line="276"/>
      </w:pPr>
      <w:r>
        <w:rPr>
          <w:rFonts w:ascii="Calibri" w:cs="Calibri" w:eastAsia="Calibri" w:hAnsi="Calibri"/>
          <w:b w:val="false"/>
          <w:bCs w:val="false"/>
          <w:i w:val="false"/>
          <w:iCs w:val="false"/>
          <w:sz w:val="22"/>
          <w:szCs w:val="22"/>
        </w:rPr>
        <w:t xml:space="preserve">Mr. </w:t>
      </w:r>
      <w:r>
        <w:rPr>
          <w:rFonts w:ascii="Calibri" w:cs="Calibri" w:eastAsia="Calibri" w:hAnsi="Calibri"/>
          <w:b/>
          <w:bCs/>
          <w:i w:val="false"/>
          <w:iCs w:val="false"/>
          <w:sz w:val="22"/>
          <w:szCs w:val="22"/>
        </w:rPr>
        <w:t xml:space="preserve">[Surname]</w:t>
      </w:r>
      <w:r>
        <w:rPr>
          <w:rFonts w:ascii="Calibri" w:cs="Calibri" w:eastAsia="Calibri" w:hAnsi="Calibri"/>
          <w:b w:val="false"/>
          <w:bCs w:val="false"/>
          <w:i w:val="false"/>
          <w:iCs w:val="false"/>
          <w:sz w:val="22"/>
          <w:szCs w:val="22"/>
        </w:rPr>
        <w:t xml:space="preserve">’s proposed endeavor is Forkcast itself: an AI-powered nutrition platform whose aim is to give consumers an accurate picture of what they eat across both restaurant and home meals, in order to improve dietary quality and help reduce obesity at scale. Its core differentiator is a pre-order, location-aware recommendation that helps a diner choose a specific dish at a specific nearby restaurant before ordering — rather than logging calories after the fact — complemented by computer-vision estimation of home-cooked meals. The platform uses large language models to structure independent-restaurant menu data at scale and grounds its confidence-scored, source-labeled nutrition estimates against authoritative federal data such as USDA FoodData Central.</w:t>
      </w:r>
    </w:p>
    <w:p>
      <w:pPr>
        <w:spacing w:after="160" w:line="276"/>
      </w:pPr>
      <w:r>
        <w:rPr>
          <w:rFonts w:ascii="Calibri" w:cs="Calibri" w:eastAsia="Calibri" w:hAnsi="Calibri"/>
          <w:b w:val="false"/>
          <w:bCs w:val="false"/>
          <w:i w:val="false"/>
          <w:iCs w:val="false"/>
          <w:sz w:val="22"/>
          <w:szCs w:val="22"/>
        </w:rPr>
        <w:t xml:space="preserve">This endeavor has both substantial merit and national importance. The problem it addresses is national in scale: per the CDC, 40.3% of U.S. adults have obesity and roughly 72% have elevated BMI, with obesity driving an estimated $173 billion in annual medical costs; in 2024, every U.S. state and territory reported adult obesity prevalence of at least 25%. Yet the principal federal intervention at the point of decision — mandatory menu-calorie labeling — shifts behavior by only about 24 calories per order and applies only to chains of twenty or more locations, leaving the nutrition content of the country’s many independent restaurants undisclosed in any commercial database. Meanwhile a record 58.5% of U.S. food spending now occurs away from home. Forkcast is built precisely for that gap, and as cloud-delivered software with an AI menu-parsing pipeline it is designed to scale beyond Boston to the highest-prevalence regions without rebuilding infrastructure city by city. These figures are drawn from the CDC, the USDA Economic Research Service, and the peer-reviewed labeling literature, and are independently verifiable.</w:t>
      </w:r>
    </w:p>
    <w:p>
      <w:pPr>
        <w:spacing w:after="90" w:before="260" w:line="276"/>
      </w:pPr>
      <w:r>
        <w:rPr>
          <w:rFonts w:ascii="Calibri" w:cs="Calibri" w:eastAsia="Calibri" w:hAnsi="Calibri"/>
          <w:b/>
          <w:bCs/>
          <w:sz w:val="23"/>
          <w:szCs w:val="23"/>
        </w:rPr>
        <w:t xml:space="preserve">Why he is well positioned to advance it</w:t>
      </w:r>
    </w:p>
    <w:p>
      <w:pPr>
        <w:spacing w:after="160" w:line="276"/>
      </w:pPr>
      <w:r>
        <w:rPr>
          <w:rFonts w:ascii="Calibri" w:cs="Calibri" w:eastAsia="Calibri" w:hAnsi="Calibri"/>
          <w:b w:val="false"/>
          <w:bCs w:val="false"/>
          <w:i w:val="false"/>
          <w:iCs w:val="false"/>
          <w:sz w:val="22"/>
          <w:szCs w:val="22"/>
        </w:rPr>
        <w:t xml:space="preserve">USCIS asks not only whether an endeavor matters, but whether the petitioner can actually advance it. On that question my observation is direct. The skills Mr. </w:t>
      </w:r>
      <w:r>
        <w:rPr>
          <w:rFonts w:ascii="Calibri" w:cs="Calibri" w:eastAsia="Calibri" w:hAnsi="Calibri"/>
          <w:b/>
          <w:bCs/>
          <w:i w:val="false"/>
          <w:iCs w:val="false"/>
          <w:sz w:val="22"/>
          <w:szCs w:val="22"/>
        </w:rPr>
        <w:t xml:space="preserve">[Surname]</w:t>
      </w:r>
      <w:r>
        <w:rPr>
          <w:rFonts w:ascii="Calibri" w:cs="Calibri" w:eastAsia="Calibri" w:hAnsi="Calibri"/>
          <w:b w:val="false"/>
          <w:bCs w:val="false"/>
          <w:i w:val="false"/>
          <w:iCs w:val="false"/>
          <w:sz w:val="22"/>
          <w:szCs w:val="22"/>
        </w:rPr>
        <w:t xml:space="preserve"> applied to Forkcast — rigorous analysis of federal datasets, sound product judgment under uncertainty, financial-modeling discipline, and the ability to translate technical capability into a defensible business strategy — are precisely the skills this endeavor requires, and he demonstrated them on a real, shipping product under real constraints. The improvements he drove are verifiable in the running application today. As a co-founder whose livelihood depends on distinguishing genuine operators from commentators, I regard Mr. </w:t>
      </w:r>
      <w:r>
        <w:rPr>
          <w:rFonts w:ascii="Calibri" w:cs="Calibri" w:eastAsia="Calibri" w:hAnsi="Calibri"/>
          <w:b/>
          <w:bCs/>
          <w:i w:val="false"/>
          <w:iCs w:val="false"/>
          <w:sz w:val="22"/>
          <w:szCs w:val="22"/>
        </w:rPr>
        <w:t xml:space="preserve">[Surname]</w:t>
      </w:r>
      <w:r>
        <w:rPr>
          <w:rFonts w:ascii="Calibri" w:cs="Calibri" w:eastAsia="Calibri" w:hAnsi="Calibri"/>
          <w:b w:val="false"/>
          <w:bCs w:val="false"/>
          <w:i w:val="false"/>
          <w:iCs w:val="false"/>
          <w:sz w:val="22"/>
          <w:szCs w:val="22"/>
        </w:rPr>
        <w:t xml:space="preserve"> as unambiguously the former.</w:t>
      </w:r>
    </w:p>
    <w:p>
      <w:pPr>
        <w:spacing w:after="90" w:before="260" w:line="276"/>
      </w:pPr>
      <w:r>
        <w:rPr>
          <w:rFonts w:ascii="Calibri" w:cs="Calibri" w:eastAsia="Calibri" w:hAnsi="Calibri"/>
          <w:b/>
          <w:bCs/>
          <w:sz w:val="23"/>
          <w:szCs w:val="23"/>
        </w:rPr>
        <w:t xml:space="preserve">Why a waiver serves the national interest</w:t>
      </w:r>
    </w:p>
    <w:p>
      <w:pPr>
        <w:spacing w:after="160" w:line="276"/>
      </w:pPr>
      <w:r>
        <w:rPr>
          <w:rFonts w:ascii="Calibri" w:cs="Calibri" w:eastAsia="Calibri" w:hAnsi="Calibri"/>
          <w:b w:val="false"/>
          <w:bCs w:val="false"/>
          <w:i w:val="false"/>
          <w:iCs w:val="false"/>
          <w:sz w:val="22"/>
          <w:szCs w:val="22"/>
        </w:rPr>
        <w:t xml:space="preserve">On balance, waiving the job-offer requirement benefits the United States. Requiring a founder building his own venture to instead secure a qualifying employer would frustrate the very endeavor that carries the national benefit. The company’s planning model projects growth from 5 to 62 U.S. employees over five years and partnerships with roughly 9,000 restaurants — overwhelmingly independent small businesses — by year five; these are projections from the planning model, not accomplishments, but they reflect a concrete, job-creating trajectory. The model is also protective of U.S. small businesses: Forkcast provides independent restaurants free menu digitization and verification tools and charges a 6% fee only on orders it originates, against the 15–30% commissions charged by delivery marketplaces. And the public-health objective — closing the independent-restaurant nutrition-transparency gap — is a public good regardless of which company captures the commercial value. The stakes are recognized at the federal level: the 2025 Joint Economic Report compiles projections of $8.2–$9.1 trillion in excess U.S. medical expenditures attributable to obesity over the next decade.</w:t>
      </w:r>
    </w:p>
    <w:p>
      <w:pPr>
        <w:spacing w:after="160" w:line="276"/>
      </w:pPr>
      <w:r>
        <w:rPr>
          <w:rFonts w:ascii="Calibri" w:cs="Calibri" w:eastAsia="Calibri" w:hAnsi="Calibri"/>
          <w:b w:val="false"/>
          <w:bCs w:val="false"/>
          <w:i w:val="false"/>
          <w:iCs w:val="false"/>
          <w:sz w:val="22"/>
          <w:szCs w:val="22"/>
        </w:rPr>
        <w:t xml:space="preserve">Entrepreneurship, by its nature, rarely arrives with the traditional markers adjudicators see in academic petitions. What it produces instead is evidence of execution — and Mr. </w:t>
      </w:r>
      <w:r>
        <w:rPr>
          <w:rFonts w:ascii="Calibri" w:cs="Calibri" w:eastAsia="Calibri" w:hAnsi="Calibri"/>
          <w:b/>
          <w:bCs/>
          <w:i w:val="false"/>
          <w:iCs w:val="false"/>
          <w:sz w:val="22"/>
          <w:szCs w:val="22"/>
        </w:rPr>
        <w:t xml:space="preserve">[Surname]</w:t>
      </w:r>
      <w:r>
        <w:rPr>
          <w:rFonts w:ascii="Calibri" w:cs="Calibri" w:eastAsia="Calibri" w:hAnsi="Calibri"/>
          <w:b w:val="false"/>
          <w:bCs w:val="false"/>
          <w:i w:val="false"/>
          <w:iCs w:val="false"/>
          <w:sz w:val="22"/>
          <w:szCs w:val="22"/>
        </w:rPr>
        <w:t xml:space="preserve"> has that evidence.</w:t>
      </w:r>
    </w:p>
    <w:p>
      <w:pPr>
        <w:spacing w:after="220" w:line="276"/>
      </w:pPr>
      <w:r>
        <w:rPr>
          <w:rFonts w:ascii="Calibri" w:cs="Calibri" w:eastAsia="Calibri" w:hAnsi="Calibri"/>
          <w:b w:val="false"/>
          <w:bCs w:val="false"/>
          <w:i w:val="false"/>
          <w:iCs w:val="false"/>
          <w:sz w:val="22"/>
          <w:szCs w:val="22"/>
        </w:rPr>
        <w:t xml:space="preserve">I am confident that granting the national-interest waiver in Mr. </w:t>
      </w:r>
      <w:r>
        <w:rPr>
          <w:rFonts w:ascii="Calibri" w:cs="Calibri" w:eastAsia="Calibri" w:hAnsi="Calibri"/>
          <w:b/>
          <w:bCs/>
          <w:i w:val="false"/>
          <w:iCs w:val="false"/>
          <w:sz w:val="22"/>
          <w:szCs w:val="22"/>
        </w:rPr>
        <w:t xml:space="preserve">[Surname]</w:t>
      </w:r>
      <w:r>
        <w:rPr>
          <w:rFonts w:ascii="Calibri" w:cs="Calibri" w:eastAsia="Calibri" w:hAnsi="Calibri"/>
          <w:b w:val="false"/>
          <w:bCs w:val="false"/>
          <w:i w:val="false"/>
          <w:iCs w:val="false"/>
          <w:sz w:val="22"/>
          <w:szCs w:val="22"/>
        </w:rPr>
        <w:t xml:space="preserve">’s case serves the interests of the United States, and I offer my support for his petition without reservation. I am available to verify any statement in this letter.</w:t>
      </w:r>
    </w:p>
    <w:p>
      <w:pPr>
        <w:spacing w:after="320" w:line="276"/>
      </w:pPr>
      <w:r>
        <w:rPr>
          <w:rFonts w:ascii="Calibri" w:cs="Calibri" w:eastAsia="Calibri" w:hAnsi="Calibri"/>
          <w:b w:val="false"/>
          <w:bCs w:val="false"/>
          <w:i w:val="false"/>
          <w:iCs w:val="false"/>
          <w:sz w:val="22"/>
          <w:szCs w:val="22"/>
        </w:rPr>
        <w:t xml:space="preserve">Respectfully,</w:t>
      </w:r>
    </w:p>
    <w:p>
      <w:pPr>
        <w:spacing w:after="20"/>
      </w:pPr>
      <w:r>
        <w:rPr>
          <w:rFonts w:ascii="Calibri" w:cs="Calibri" w:eastAsia="Calibri" w:hAnsi="Calibri"/>
          <w:b/>
          <w:bCs/>
          <w:sz w:val="24"/>
          <w:szCs w:val="24"/>
        </w:rPr>
        <w:t xml:space="preserve">Seymur Hasanov</w:t>
      </w:r>
    </w:p>
    <w:p>
      <w:pPr>
        <w:spacing w:after="20" w:line="276"/>
      </w:pPr>
      <w:r>
        <w:rPr>
          <w:rFonts w:ascii="Calibri" w:cs="Calibri" w:eastAsia="Calibri" w:hAnsi="Calibri"/>
          <w:b w:val="false"/>
          <w:bCs w:val="false"/>
          <w:i w:val="false"/>
          <w:iCs w:val="false"/>
          <w:sz w:val="22"/>
          <w:szCs w:val="22"/>
        </w:rPr>
        <w:t xml:space="preserve">Co-Founder, Forkcast</w:t>
      </w:r>
    </w:p>
    <w:p>
      <w:pPr>
        <w:spacing w:after="20" w:line="276"/>
      </w:pPr>
      <w:r>
        <w:rPr>
          <w:rFonts w:ascii="Calibri" w:cs="Calibri" w:eastAsia="Calibri" w:hAnsi="Calibri"/>
          <w:b w:val="false"/>
          <w:bCs w:val="false"/>
          <w:i w:val="false"/>
          <w:iCs w:val="false"/>
          <w:sz w:val="22"/>
          <w:szCs w:val="22"/>
        </w:rPr>
        <w:t xml:space="preserve">shasanov@seas.harvard.edu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2026-07-21T19:45:34.372Z</dcterms:created>
  <dcterms:modified xsi:type="dcterms:W3CDTF">2026-07-21T19:45:34.372Z</dcterms:modified>
</cp:coreProperties>
</file>

<file path=docProps/custom.xml><?xml version="1.0" encoding="utf-8"?>
<Properties xmlns="http://schemas.openxmlformats.org/officeDocument/2006/custom-properties" xmlns:vt="http://schemas.openxmlformats.org/officeDocument/2006/docPropsVTypes"/>
</file>