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Contenido: 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Prestigio: Influencia como legitimación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Figuras de alto estatus (aristocracia, élites económicas) definen lo que tiene valor.  Los objetos se vuelven deseables al ser utilizados por estos referentes, que actúan como sello de aprobación social.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Magnetismo: El “it” y el nacimiento del deseo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influencia deja de depender solo del estatus y se desplaza hacia la presencia. Surge el “it”: una forma de magnetismo que concentra atención y aspiración, convirtiendo a ciertas figuras en referentes culturales. El deseo ya no solo se hereda… también se produce.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Medios de masas: producción y repetición de iconos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Cine, moda y publicidad configuran un sistema coordinado de visibilidad.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 imágenes se repiten en distintos medios hasta fijar referentes claros de estilo.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 digital: democratización de la influencia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creación y difusión de contenido se abre a cualquier persona.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Blogs y redes sociales permiten construir visibilidad sin intermediarios, generando nuevas formas de prescripción basadas en cercanía y experiencia.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influencia se desplaza de la representación a la autoexpresión.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Algoritmo: Influencia basada en rendimiento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 visibilidad deja de depender principalmente de quién publica y pasa a depender de cómo funciona el contenido.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Plataformas como TikTok reorganizan la influencia en torno a la atención y la interacción.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valor se mide en rendimiento: captar, sostener y convertir la atención.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