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78BA4" w14:textId="77777777" w:rsidR="00BB0EAA" w:rsidRPr="005C3336" w:rsidRDefault="005C3336" w:rsidP="00A70A0D">
      <w:pPr>
        <w:spacing w:after="0" w:line="290" w:lineRule="exact"/>
        <w:jc w:val="center"/>
        <w:rPr>
          <w:rFonts w:ascii="Times New Roman" w:hAnsi="Times New Roman" w:cs="Times New Roman"/>
          <w:b/>
          <w:smallCaps/>
          <w:sz w:val="24"/>
          <w:szCs w:val="24"/>
          <w:lang w:val="de-DE"/>
        </w:rPr>
      </w:pPr>
      <w:r w:rsidRPr="005C3336"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 xml:space="preserve">C. Benzmüller, L. Weber, B. </w:t>
      </w:r>
      <w:r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>Woltzenlogel Paleo</w:t>
      </w:r>
    </w:p>
    <w:p w14:paraId="5294FB54" w14:textId="77777777" w:rsidR="00BB0EAA" w:rsidRPr="00A70A0D" w:rsidRDefault="005C3336" w:rsidP="00A70A0D">
      <w:pPr>
        <w:spacing w:before="240" w:after="240" w:line="290" w:lineRule="exact"/>
        <w:jc w:val="center"/>
        <w:rPr>
          <w:rFonts w:ascii="Times New Roman" w:hAnsi="Times New Roman" w:cs="Times New Roman"/>
          <w:b/>
          <w:cap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aps/>
          <w:sz w:val="26"/>
          <w:szCs w:val="26"/>
          <w:lang w:val="en-US"/>
        </w:rPr>
        <w:t>Computer-Assisted Analysis of the anderson-Hájek ontological controversy</w:t>
      </w:r>
    </w:p>
    <w:p w14:paraId="387A9CF5" w14:textId="77777777" w:rsidR="00BB0EAA" w:rsidRPr="00A70A0D" w:rsidRDefault="005C3336" w:rsidP="00A70A0D">
      <w:pPr>
        <w:spacing w:after="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Dept. of Mathematics and Computer Science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Freie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Universität</w:t>
      </w:r>
      <w:proofErr w:type="spellEnd"/>
      <w:r>
        <w:rPr>
          <w:rFonts w:ascii="Times New Roman" w:hAnsi="Times New Roman" w:cs="Times New Roman"/>
          <w:lang w:val="en-US"/>
        </w:rPr>
        <w:t xml:space="preserve"> Berlin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Germany</w:t>
      </w:r>
    </w:p>
    <w:p w14:paraId="52E43BDE" w14:textId="04862DD8" w:rsidR="005C3336" w:rsidRDefault="00731DE3" w:rsidP="005C3336">
      <w:pPr>
        <w:spacing w:after="360" w:line="290" w:lineRule="exact"/>
        <w:jc w:val="center"/>
        <w:rPr>
          <w:rFonts w:ascii="Times New Roman" w:hAnsi="Times New Roman" w:cs="Times New Roman"/>
          <w:i/>
          <w:lang w:val="en-US"/>
        </w:rPr>
      </w:pPr>
      <w:r w:rsidRPr="00731DE3">
        <w:rPr>
          <w:rFonts w:ascii="Times New Roman" w:hAnsi="Times New Roman" w:cs="Times New Roman"/>
          <w:i/>
          <w:lang w:val="en-US"/>
        </w:rPr>
        <w:t>c.benzmueller@fu-berlin.de</w:t>
      </w:r>
    </w:p>
    <w:p w14:paraId="67E897E3" w14:textId="58F96AFC" w:rsidR="00731DE3" w:rsidRDefault="00731DE3" w:rsidP="005C3336">
      <w:pPr>
        <w:spacing w:after="36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Dept. of Mathematics and Computer Science, </w:t>
      </w:r>
      <w:proofErr w:type="spellStart"/>
      <w:r>
        <w:rPr>
          <w:rFonts w:ascii="Times New Roman" w:hAnsi="Times New Roman" w:cs="Times New Roman"/>
          <w:lang w:val="en-US"/>
        </w:rPr>
        <w:t>Freie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Universität</w:t>
      </w:r>
      <w:proofErr w:type="spellEnd"/>
      <w:r>
        <w:rPr>
          <w:rFonts w:ascii="Times New Roman" w:hAnsi="Times New Roman" w:cs="Times New Roman"/>
          <w:lang w:val="en-US"/>
        </w:rPr>
        <w:t xml:space="preserve"> Berlin, Germany</w:t>
      </w:r>
      <w:r>
        <w:rPr>
          <w:rFonts w:ascii="Times New Roman" w:hAnsi="Times New Roman" w:cs="Times New Roman"/>
          <w:lang w:val="en-US"/>
        </w:rPr>
        <w:br/>
      </w:r>
      <w:r w:rsidRPr="00731DE3">
        <w:rPr>
          <w:rFonts w:ascii="Times New Roman" w:hAnsi="Times New Roman" w:cs="Times New Roman"/>
          <w:i/>
          <w:lang w:val="en-US"/>
        </w:rPr>
        <w:t>leon.weber@fu-berlin.de</w:t>
      </w:r>
    </w:p>
    <w:p w14:paraId="56BF5563" w14:textId="0CD5741E" w:rsidR="00731DE3" w:rsidRPr="00731DE3" w:rsidRDefault="00895517" w:rsidP="00731DE3">
      <w:pPr>
        <w:spacing w:after="36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Theory and Logic Group</w:t>
      </w:r>
      <w:r w:rsidR="00731DE3">
        <w:rPr>
          <w:rFonts w:ascii="Times New Roman" w:hAnsi="Times New Roman" w:cs="Times New Roman"/>
          <w:lang w:val="en-US"/>
        </w:rPr>
        <w:t xml:space="preserve">, </w:t>
      </w:r>
      <w:r w:rsidR="00DC0F4C">
        <w:rPr>
          <w:rFonts w:ascii="Times New Roman" w:hAnsi="Times New Roman" w:cs="Times New Roman"/>
          <w:lang w:val="en-US"/>
        </w:rPr>
        <w:t>Vienna University of Technology</w:t>
      </w:r>
      <w:r w:rsidR="00731DE3">
        <w:rPr>
          <w:rFonts w:ascii="Times New Roman" w:hAnsi="Times New Roman" w:cs="Times New Roman"/>
          <w:lang w:val="en-US"/>
        </w:rPr>
        <w:t>, Austria</w:t>
      </w:r>
      <w:r w:rsidR="00731DE3">
        <w:rPr>
          <w:rFonts w:ascii="Times New Roman" w:hAnsi="Times New Roman" w:cs="Times New Roman"/>
          <w:lang w:val="en-US"/>
        </w:rPr>
        <w:br/>
      </w:r>
      <w:r w:rsidR="00731DE3" w:rsidRPr="00731DE3">
        <w:rPr>
          <w:rFonts w:ascii="Times New Roman" w:hAnsi="Times New Roman" w:cs="Times New Roman"/>
          <w:i/>
          <w:lang w:val="en-US"/>
        </w:rPr>
        <w:t>bruno.wp@gmail.com</w:t>
      </w:r>
    </w:p>
    <w:p w14:paraId="74325FBA" w14:textId="537E97E4" w:rsidR="007F5512" w:rsidRDefault="005C3336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 w:rsidRPr="0076195F">
        <w:rPr>
          <w:rFonts w:ascii="Times New Roman" w:hAnsi="Times New Roman" w:cs="Times New Roman"/>
          <w:lang w:val="en-US"/>
        </w:rPr>
        <w:t xml:space="preserve">The axioms in Gödel’s </w:t>
      </w:r>
      <w:r w:rsidR="00C7487B">
        <w:rPr>
          <w:rFonts w:ascii="Times New Roman" w:hAnsi="Times New Roman" w:cs="Times New Roman"/>
          <w:lang w:val="en-US"/>
        </w:rPr>
        <w:t>ontological proof (</w:t>
      </w:r>
      <w:r w:rsidRPr="0076195F">
        <w:rPr>
          <w:rFonts w:ascii="Times New Roman" w:hAnsi="Times New Roman" w:cs="Times New Roman"/>
          <w:lang w:val="en-US"/>
        </w:rPr>
        <w:t xml:space="preserve">Scott, 2004) entail what is called </w:t>
      </w:r>
      <w:r w:rsidRPr="0076195F">
        <w:rPr>
          <w:rFonts w:ascii="Times New Roman" w:hAnsi="Times New Roman" w:cs="Times New Roman"/>
          <w:i/>
          <w:lang w:val="en-US"/>
        </w:rPr>
        <w:t>modal collapse</w:t>
      </w:r>
      <w:r w:rsidRPr="0076195F">
        <w:rPr>
          <w:rFonts w:ascii="Times New Roman" w:hAnsi="Times New Roman" w:cs="Times New Roman"/>
          <w:lang w:val="en-US"/>
        </w:rPr>
        <w:t xml:space="preserve"> </w:t>
      </w:r>
      <w:r w:rsidR="00667BDA" w:rsidRPr="0076195F">
        <w:rPr>
          <w:rFonts w:ascii="Times New Roman" w:hAnsi="Times New Roman" w:cs="Times New Roman"/>
          <w:lang w:val="en-US"/>
        </w:rPr>
        <w:t>(</w:t>
      </w:r>
      <w:proofErr w:type="spellStart"/>
      <w:r w:rsidR="00667BDA" w:rsidRPr="0076195F">
        <w:rPr>
          <w:rFonts w:ascii="Times New Roman" w:hAnsi="Times New Roman" w:cs="Times New Roman"/>
          <w:lang w:val="en-US"/>
        </w:rPr>
        <w:t>Sobel</w:t>
      </w:r>
      <w:proofErr w:type="spellEnd"/>
      <w:r w:rsidR="00667BDA" w:rsidRPr="0076195F">
        <w:rPr>
          <w:rFonts w:ascii="Times New Roman" w:hAnsi="Times New Roman" w:cs="Times New Roman"/>
          <w:lang w:val="en-US"/>
        </w:rPr>
        <w:t>, 1987, 2004)</w:t>
      </w:r>
      <w:r w:rsidR="0076195F" w:rsidRPr="0076195F">
        <w:rPr>
          <w:rFonts w:ascii="Times New Roman" w:hAnsi="Times New Roman" w:cs="Times New Roman"/>
          <w:lang w:val="en-US"/>
        </w:rPr>
        <w:t xml:space="preserve">: the formula </w:t>
      </w:r>
      <m:oMath>
        <m:r>
          <w:rPr>
            <w:rFonts w:ascii="Cambria Math" w:hAnsi="Cambria Math" w:cs="Times New Roman"/>
            <w:lang w:val="en-US"/>
          </w:rPr>
          <m:t xml:space="preserve">φ→ </m:t>
        </m:r>
        <m:r>
          <m:rPr>
            <m:sty m:val="p"/>
          </m:rPr>
          <w:rPr>
            <w:rFonts w:ascii="Cambria Math" w:hAnsi="Cambria Math" w:cs="Times New Roman"/>
          </w:rPr>
          <m:t>□</m:t>
        </m:r>
        <m:r>
          <w:rPr>
            <w:rFonts w:ascii="Cambria Math" w:hAnsi="Cambria Math" w:cs="Times New Roman"/>
            <w:lang w:val="en-US"/>
          </w:rPr>
          <m:t>φ</m:t>
        </m:r>
      </m:oMath>
      <w:r w:rsidR="00667BDA" w:rsidRPr="0076195F">
        <w:rPr>
          <w:rFonts w:ascii="Times New Roman" w:hAnsi="Times New Roman" w:cs="Times New Roman"/>
          <w:lang w:val="en-US"/>
        </w:rPr>
        <w:t xml:space="preserve"> </w:t>
      </w:r>
      <w:r w:rsidR="0076195F">
        <w:rPr>
          <w:rFonts w:ascii="Times New Roman" w:hAnsi="Times New Roman" w:cs="Times New Roman"/>
          <w:lang w:val="en-US"/>
        </w:rPr>
        <w:t xml:space="preserve">holds for any formula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 w:rsidR="0076195F">
        <w:rPr>
          <w:rFonts w:ascii="Times New Roman" w:eastAsiaTheme="minorEastAsia" w:hAnsi="Times New Roman" w:cs="Times New Roman"/>
          <w:lang w:val="en-US"/>
        </w:rPr>
        <w:t xml:space="preserve"> and not just for </w:t>
      </w:r>
      <w:proofErr w:type="gramStart"/>
      <m:oMath>
        <m:r>
          <w:rPr>
            <w:rFonts w:ascii="Cambria Math" w:eastAsiaTheme="minorEastAsia" w:hAnsi="Cambria Math" w:cs="Times New Roman"/>
            <w:lang w:val="en-US"/>
          </w:rPr>
          <m:t>∃x.God(</m:t>
        </m:r>
        <w:proofErr w:type="gramEnd"/>
        <m:r>
          <w:rPr>
            <w:rFonts w:ascii="Cambria Math" w:eastAsiaTheme="minorEastAsia" w:hAnsi="Cambria Math" w:cs="Times New Roman"/>
            <w:lang w:val="en-US"/>
          </w:rPr>
          <m:t>x)</m:t>
        </m:r>
      </m:oMath>
      <w:r w:rsidR="0076195F">
        <w:rPr>
          <w:rFonts w:ascii="Times New Roman" w:eastAsiaTheme="minorEastAsia" w:hAnsi="Times New Roman" w:cs="Times New Roman"/>
          <w:lang w:val="en-US"/>
        </w:rPr>
        <w:t xml:space="preserve"> as intended</w:t>
      </w:r>
      <w:r w:rsidR="0027201E">
        <w:rPr>
          <w:rFonts w:ascii="Times New Roman" w:eastAsiaTheme="minorEastAsia" w:hAnsi="Times New Roman" w:cs="Times New Roman"/>
          <w:lang w:val="en-US"/>
        </w:rPr>
        <w:t xml:space="preserve">. </w:t>
      </w:r>
      <w:r w:rsidR="00F506DF">
        <w:rPr>
          <w:rFonts w:ascii="Times New Roman" w:eastAsiaTheme="minorEastAsia" w:hAnsi="Times New Roman" w:cs="Times New Roman"/>
          <w:lang w:val="en-US"/>
        </w:rPr>
        <w:t xml:space="preserve">This fact has led to strong criticism of the argument and stimulated attempts to remedy the problem.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One of those attempts (Anderson, 1990) </w:t>
      </w:r>
      <w:r w:rsidR="00F506DF">
        <w:rPr>
          <w:rFonts w:ascii="Times New Roman" w:eastAsiaTheme="minorEastAsia" w:hAnsi="Times New Roman" w:cs="Times New Roman"/>
          <w:lang w:val="en-US"/>
        </w:rPr>
        <w:t>sparked a controversy between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F506DF">
        <w:rPr>
          <w:rFonts w:ascii="Times New Roman" w:eastAsiaTheme="minorEastAsia" w:hAnsi="Times New Roman" w:cs="Times New Roman"/>
          <w:lang w:val="en-US"/>
        </w:rPr>
        <w:t>Hájek</w:t>
      </w:r>
      <w:proofErr w:type="spellEnd"/>
      <w:r w:rsidR="00F506DF">
        <w:rPr>
          <w:rFonts w:ascii="Times New Roman" w:eastAsiaTheme="minorEastAsia" w:hAnsi="Times New Roman" w:cs="Times New Roman"/>
          <w:lang w:val="en-US"/>
        </w:rPr>
        <w:t xml:space="preserve">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and Anderson </w:t>
      </w:r>
      <w:r w:rsidR="00F506DF">
        <w:rPr>
          <w:rFonts w:ascii="Times New Roman" w:eastAsiaTheme="minorEastAsia" w:hAnsi="Times New Roman" w:cs="Times New Roman"/>
          <w:lang w:val="en-US"/>
        </w:rPr>
        <w:t>regarding the redundancy of some axioms in Anderson’s theory.</w:t>
      </w:r>
    </w:p>
    <w:p w14:paraId="2E3E3F6B" w14:textId="77777777" w:rsidR="007A526F" w:rsidRDefault="00D2182E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Although Hájek (1994, </w:t>
      </w:r>
      <w:bookmarkStart w:id="0" w:name="_GoBack"/>
      <w:bookmarkEnd w:id="0"/>
      <w:r>
        <w:rPr>
          <w:rFonts w:ascii="Times New Roman" w:eastAsiaTheme="minorEastAsia" w:hAnsi="Times New Roman" w:cs="Times New Roman"/>
          <w:lang w:val="en-US"/>
        </w:rPr>
        <w:t xml:space="preserve">1996) rightfully claimed the redundancy of two axioms in Anderson’s (1990) theory, he still seems to have accepted Anderson’s rebuttal (Anderson &amp;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Gettings</w:t>
      </w:r>
      <w:proofErr w:type="spellEnd"/>
      <w:r>
        <w:rPr>
          <w:rFonts w:ascii="Times New Roman" w:eastAsiaTheme="minorEastAsia" w:hAnsi="Times New Roman" w:cs="Times New Roman"/>
          <w:lang w:val="en-US"/>
        </w:rPr>
        <w:t>, 1996)</w:t>
      </w:r>
      <w:r w:rsidR="007A526F">
        <w:rPr>
          <w:rFonts w:ascii="Times New Roman" w:eastAsiaTheme="minorEastAsia" w:hAnsi="Times New Roman" w:cs="Times New Roman"/>
          <w:lang w:val="en-US"/>
        </w:rPr>
        <w:t xml:space="preserve"> and proposed three</w:t>
      </w:r>
      <w:r>
        <w:rPr>
          <w:rFonts w:ascii="Times New Roman" w:eastAsiaTheme="minorEastAsia" w:hAnsi="Times New Roman" w:cs="Times New Roman"/>
          <w:lang w:val="en-US"/>
        </w:rPr>
        <w:t xml:space="preserve"> new emendation</w:t>
      </w:r>
      <w:r w:rsidR="007A526F">
        <w:rPr>
          <w:rFonts w:ascii="Times New Roman" w:eastAsiaTheme="minorEastAsia" w:hAnsi="Times New Roman" w:cs="Times New Roman"/>
          <w:lang w:val="en-US"/>
        </w:rPr>
        <w:t>s</w:t>
      </w:r>
      <w:r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Hájek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, 2002)  </w:t>
      </w:r>
      <w:r w:rsidR="007A526F">
        <w:rPr>
          <w:rFonts w:ascii="Times New Roman" w:eastAsiaTheme="minorEastAsia" w:hAnsi="Times New Roman" w:cs="Times New Roman"/>
          <w:lang w:val="en-US"/>
        </w:rPr>
        <w:t>which contain the axioms in question. Surprisingly, our analysis shows that the two axioms are still independent in one of the emendations, and superfluous in all of them.</w:t>
      </w:r>
    </w:p>
    <w:p w14:paraId="66379795" w14:textId="469DCB12" w:rsidR="00D2182E" w:rsidRDefault="007A526F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The controversy over the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superfluousness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DD339C">
        <w:rPr>
          <w:rFonts w:ascii="Times New Roman" w:eastAsiaTheme="minorEastAsia" w:hAnsi="Times New Roman" w:cs="Times New Roman"/>
          <w:lang w:val="en-US"/>
        </w:rPr>
        <w:t>of the two axioms indicates a trend to reduce the ontological argument to its bare essentia</w:t>
      </w:r>
      <w:r w:rsidR="00731DE3">
        <w:rPr>
          <w:rFonts w:ascii="Times New Roman" w:eastAsiaTheme="minorEastAsia" w:hAnsi="Times New Roman" w:cs="Times New Roman"/>
          <w:lang w:val="en-US"/>
        </w:rPr>
        <w:t>ls. In this regard, Anderson (1990</w:t>
      </w:r>
      <w:r w:rsidR="00DD339C">
        <w:rPr>
          <w:rFonts w:ascii="Times New Roman" w:eastAsiaTheme="minorEastAsia" w:hAnsi="Times New Roman" w:cs="Times New Roman"/>
          <w:lang w:val="en-US"/>
        </w:rPr>
        <w:t xml:space="preserve">) introduces another variant of the argument in which many of the axioms become derivable. A high level of </w:t>
      </w:r>
      <w:proofErr w:type="spellStart"/>
      <w:r w:rsidR="00DD339C">
        <w:rPr>
          <w:rFonts w:ascii="Times New Roman" w:eastAsiaTheme="minorEastAsia" w:hAnsi="Times New Roman" w:cs="Times New Roman"/>
          <w:lang w:val="en-US"/>
        </w:rPr>
        <w:t>minimality</w:t>
      </w:r>
      <w:proofErr w:type="spellEnd"/>
      <w:r w:rsidR="00DD339C">
        <w:rPr>
          <w:rFonts w:ascii="Times New Roman" w:eastAsiaTheme="minorEastAsia" w:hAnsi="Times New Roman" w:cs="Times New Roman"/>
          <w:lang w:val="en-US"/>
        </w:rPr>
        <w:t xml:space="preserve"> is also </w:t>
      </w:r>
      <w:r w:rsidR="00731DE3">
        <w:rPr>
          <w:rFonts w:ascii="Times New Roman" w:eastAsiaTheme="minorEastAsia" w:hAnsi="Times New Roman" w:cs="Times New Roman"/>
          <w:lang w:val="en-US"/>
        </w:rPr>
        <w:t xml:space="preserve">achieved by </w:t>
      </w:r>
      <w:proofErr w:type="spellStart"/>
      <w:r w:rsidR="00731DE3">
        <w:rPr>
          <w:rFonts w:ascii="Times New Roman" w:eastAsiaTheme="minorEastAsia" w:hAnsi="Times New Roman" w:cs="Times New Roman"/>
          <w:lang w:val="en-US"/>
        </w:rPr>
        <w:t>Bjørdal</w:t>
      </w:r>
      <w:proofErr w:type="spellEnd"/>
      <w:r w:rsidR="00731DE3">
        <w:rPr>
          <w:rFonts w:ascii="Times New Roman" w:eastAsiaTheme="minorEastAsia" w:hAnsi="Times New Roman" w:cs="Times New Roman"/>
          <w:lang w:val="en-US"/>
        </w:rPr>
        <w:t xml:space="preserve"> (1998</w:t>
      </w:r>
      <w:r w:rsidR="00DD339C">
        <w:rPr>
          <w:rFonts w:ascii="Times New Roman" w:eastAsiaTheme="minorEastAsia" w:hAnsi="Times New Roman" w:cs="Times New Roman"/>
          <w:lang w:val="en-US"/>
        </w:rPr>
        <w:t>) by taking the property of being God-like as a primitive.</w:t>
      </w:r>
    </w:p>
    <w:p w14:paraId="18D99DD3" w14:textId="4DE6ECD2" w:rsidR="00895517" w:rsidRPr="00C7487B" w:rsidRDefault="00DD339C" w:rsidP="00C7487B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="00D4368F">
        <w:rPr>
          <w:rFonts w:ascii="Times New Roman" w:eastAsiaTheme="minorEastAsia" w:hAnsi="Times New Roman" w:cs="Times New Roman"/>
          <w:lang w:val="en-US"/>
        </w:rPr>
        <w:t>Many of the properties of those variants depend on the</w:t>
      </w:r>
      <w:r w:rsidR="00731DE3">
        <w:rPr>
          <w:rFonts w:ascii="Times New Roman" w:eastAsiaTheme="minorEastAsia" w:hAnsi="Times New Roman" w:cs="Times New Roman"/>
          <w:lang w:val="en-US"/>
        </w:rPr>
        <w:t xml:space="preserve"> exact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modal system being used and whether </w:t>
      </w:r>
      <w:r w:rsidR="00D4368F">
        <w:rPr>
          <w:rFonts w:ascii="Times New Roman" w:eastAsiaTheme="minorEastAsia" w:hAnsi="Times New Roman" w:cs="Times New Roman"/>
          <w:i/>
          <w:lang w:val="en-US"/>
        </w:rPr>
        <w:t>constant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or </w:t>
      </w:r>
      <w:r w:rsidR="00D4368F">
        <w:rPr>
          <w:rFonts w:ascii="Times New Roman" w:eastAsiaTheme="minorEastAsia" w:hAnsi="Times New Roman" w:cs="Times New Roman"/>
          <w:i/>
          <w:lang w:val="en-US"/>
        </w:rPr>
        <w:t xml:space="preserve">varying domain semantics </w:t>
      </w:r>
      <w:r w:rsidR="00D4368F">
        <w:rPr>
          <w:rFonts w:ascii="Times New Roman" w:eastAsiaTheme="minorEastAsia" w:hAnsi="Times New Roman" w:cs="Times New Roman"/>
          <w:lang w:val="en-US"/>
        </w:rPr>
        <w:t>are employed.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 In this paper, we aim to provide a thorough computer assisted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analysis of the mentioned </w:t>
      </w:r>
      <w:proofErr w:type="gramStart"/>
      <w:r w:rsidR="00380C81">
        <w:rPr>
          <w:rFonts w:ascii="Times New Roman" w:eastAsiaTheme="minorEastAsia" w:hAnsi="Times New Roman" w:cs="Times New Roman"/>
          <w:lang w:val="en-US"/>
        </w:rPr>
        <w:t>theories which</w:t>
      </w:r>
      <w:proofErr w:type="gramEnd"/>
      <w:r w:rsidR="00380C81">
        <w:rPr>
          <w:rFonts w:ascii="Times New Roman" w:eastAsiaTheme="minorEastAsia" w:hAnsi="Times New Roman" w:cs="Times New Roman"/>
          <w:lang w:val="en-US"/>
        </w:rPr>
        <w:t xml:space="preserve"> takes those conditions into account.</w:t>
      </w:r>
      <w:r w:rsidR="0001426D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7382409" w14:textId="531F6BFB" w:rsidR="00731DE3" w:rsidRPr="00731DE3" w:rsidRDefault="00CA1208" w:rsidP="00731DE3">
      <w:pPr>
        <w:spacing w:before="360" w:after="120" w:line="290" w:lineRule="exact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b/>
          <w:smallCaps/>
          <w:lang w:val="en-US"/>
        </w:rPr>
        <w:t>References</w:t>
      </w:r>
      <w:r w:rsidR="00731DE3">
        <w:rPr>
          <w:rFonts w:ascii="Times New Roman" w:hAnsi="Times New Roman" w:cs="Times New Roman"/>
          <w:caps/>
          <w:lang w:val="en-US"/>
        </w:rPr>
        <w:t xml:space="preserve"> </w:t>
      </w:r>
    </w:p>
    <w:p w14:paraId="6B975459" w14:textId="62111E44" w:rsidR="00C7487B" w:rsidRPr="00C7487B" w:rsidRDefault="00C7487B" w:rsidP="00C7487B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Anderson</w:t>
      </w:r>
      <w:r>
        <w:rPr>
          <w:rFonts w:ascii="Times New Roman" w:hAnsi="Times New Roman" w:cs="Times New Roman"/>
          <w:lang w:val="en-US"/>
        </w:rPr>
        <w:t>, C.A. 1990.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 w:rsidR="008C60F3">
        <w:rPr>
          <w:rFonts w:ascii="Times New Roman" w:hAnsi="Times New Roman" w:cs="Times New Roman"/>
          <w:lang w:val="en-US"/>
        </w:rPr>
        <w:t>Some Emendations of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 w:rsidR="008C60F3">
        <w:rPr>
          <w:rFonts w:ascii="Times New Roman" w:hAnsi="Times New Roman" w:cs="Times New Roman"/>
          <w:i/>
          <w:lang w:val="en-US"/>
        </w:rPr>
        <w:t>Faith</w:t>
      </w:r>
      <w:r w:rsidRPr="00731DE3">
        <w:rPr>
          <w:rFonts w:ascii="Times New Roman" w:hAnsi="Times New Roman" w:cs="Times New Roman"/>
          <w:i/>
          <w:lang w:val="en-US"/>
        </w:rPr>
        <w:t xml:space="preserve"> and </w:t>
      </w:r>
      <w:r w:rsidR="008C60F3">
        <w:rPr>
          <w:rFonts w:ascii="Times New Roman" w:hAnsi="Times New Roman" w:cs="Times New Roman"/>
          <w:i/>
          <w:lang w:val="en-US"/>
        </w:rPr>
        <w:t>Philosophy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0351CF49" w14:textId="52E6F683" w:rsidR="00C7487B" w:rsidRDefault="00C7487B" w:rsidP="00C7487B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Hájek</w:t>
      </w:r>
      <w:r>
        <w:rPr>
          <w:rFonts w:ascii="Times New Roman" w:hAnsi="Times New Roman" w:cs="Times New Roman"/>
          <w:lang w:val="en-US"/>
        </w:rPr>
        <w:t>, P. 1996.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Magari</w:t>
      </w:r>
      <w:proofErr w:type="spellEnd"/>
      <w:r>
        <w:rPr>
          <w:rFonts w:ascii="Times New Roman" w:hAnsi="Times New Roman" w:cs="Times New Roman"/>
          <w:lang w:val="en-US"/>
        </w:rPr>
        <w:t xml:space="preserve"> and others on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 w:rsidRPr="00731DE3">
        <w:rPr>
          <w:rFonts w:ascii="Times New Roman" w:hAnsi="Times New Roman" w:cs="Times New Roman"/>
          <w:i/>
          <w:lang w:val="en-US"/>
        </w:rPr>
        <w:t xml:space="preserve">Logic and </w:t>
      </w:r>
      <w:r>
        <w:rPr>
          <w:rFonts w:ascii="Times New Roman" w:hAnsi="Times New Roman" w:cs="Times New Roman"/>
          <w:i/>
          <w:lang w:val="en-US"/>
        </w:rPr>
        <w:t>Algebra</w:t>
      </w:r>
      <w:r w:rsidRPr="00731DE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Dekker, New York, </w:t>
      </w:r>
      <w:r w:rsidRPr="00731DE3">
        <w:rPr>
          <w:rFonts w:ascii="Times New Roman" w:hAnsi="Times New Roman" w:cs="Times New Roman"/>
          <w:lang w:val="en-US"/>
        </w:rPr>
        <w:t>pp.</w:t>
      </w:r>
      <w:r>
        <w:rPr>
          <w:rFonts w:ascii="Times New Roman" w:hAnsi="Times New Roman" w:cs="Times New Roman"/>
          <w:lang w:val="en-US"/>
        </w:rPr>
        <w:t xml:space="preserve"> 125-135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4C2760D6" w14:textId="258D9D5C" w:rsidR="00A87D18" w:rsidRDefault="00A87D18" w:rsidP="00A87D18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ANDERSON, C.A.; GETTINGS, M. 1996.</w:t>
      </w:r>
      <w:proofErr w:type="gramEnd"/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Gödel Ontological Proof Revisited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>
        <w:rPr>
          <w:rFonts w:ascii="Times New Roman" w:hAnsi="Times New Roman" w:cs="Times New Roman"/>
          <w:i/>
          <w:lang w:val="en-US"/>
        </w:rPr>
        <w:t xml:space="preserve">Gödel’96: Logical Foundations of Mathematics, Comp. </w:t>
      </w:r>
      <w:proofErr w:type="gramStart"/>
      <w:r>
        <w:rPr>
          <w:rFonts w:ascii="Times New Roman" w:hAnsi="Times New Roman" w:cs="Times New Roman"/>
          <w:i/>
          <w:lang w:val="en-US"/>
        </w:rPr>
        <w:t>Science and Physics</w:t>
      </w:r>
      <w:r>
        <w:rPr>
          <w:rFonts w:ascii="Times New Roman" w:hAnsi="Times New Roman" w:cs="Times New Roman"/>
          <w:lang w:val="en-US"/>
        </w:rPr>
        <w:t>, Springer, pp.167-172.</w:t>
      </w:r>
      <w:proofErr w:type="gramEnd"/>
    </w:p>
    <w:p w14:paraId="628A368E" w14:textId="722CAF5C" w:rsidR="008C60F3" w:rsidRDefault="008C60F3" w:rsidP="008C60F3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caps/>
          <w:lang w:val="en-US"/>
        </w:rPr>
        <w:t>BJØRDAL</w:t>
      </w:r>
      <w:r>
        <w:rPr>
          <w:rFonts w:ascii="Times New Roman" w:hAnsi="Times New Roman" w:cs="Times New Roman"/>
          <w:lang w:val="en-US"/>
        </w:rPr>
        <w:t>, F. 1998.</w:t>
      </w:r>
      <w:proofErr w:type="gramEnd"/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Understanding Gödel’s Ontological Argument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>
        <w:rPr>
          <w:rFonts w:ascii="Times New Roman" w:hAnsi="Times New Roman" w:cs="Times New Roman"/>
          <w:i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lang w:val="en-US"/>
        </w:rPr>
        <w:t>Logica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Yearbook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0F9A2B5B" w14:textId="0F864F95" w:rsidR="00A87D18" w:rsidRDefault="00A87D18" w:rsidP="00A87D18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Hájek</w:t>
      </w:r>
      <w:r>
        <w:rPr>
          <w:rFonts w:ascii="Times New Roman" w:hAnsi="Times New Roman" w:cs="Times New Roman"/>
          <w:lang w:val="en-US"/>
        </w:rPr>
        <w:t>, P. 2002</w:t>
      </w:r>
      <w:r>
        <w:rPr>
          <w:rFonts w:ascii="Times New Roman" w:hAnsi="Times New Roman" w:cs="Times New Roman"/>
          <w:lang w:val="en-US"/>
        </w:rPr>
        <w:t>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A New Small Emendation of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proofErr w:type="spellStart"/>
      <w:r>
        <w:rPr>
          <w:rFonts w:ascii="Times New Roman" w:hAnsi="Times New Roman" w:cs="Times New Roman"/>
          <w:i/>
          <w:lang w:val="en-US"/>
        </w:rPr>
        <w:t>Studia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Logica</w:t>
      </w:r>
      <w:proofErr w:type="spellEnd"/>
      <w:r w:rsidRPr="00731DE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71.2</w:t>
      </w:r>
      <w:r>
        <w:rPr>
          <w:rFonts w:ascii="Times New Roman" w:hAnsi="Times New Roman" w:cs="Times New Roman"/>
          <w:lang w:val="en-US"/>
        </w:rPr>
        <w:t xml:space="preserve">, </w:t>
      </w:r>
      <w:r w:rsidRPr="00731DE3">
        <w:rPr>
          <w:rFonts w:ascii="Times New Roman" w:hAnsi="Times New Roman" w:cs="Times New Roman"/>
          <w:lang w:val="en-US"/>
        </w:rPr>
        <w:t>pp.</w:t>
      </w:r>
      <w:r>
        <w:rPr>
          <w:rFonts w:ascii="Times New Roman" w:hAnsi="Times New Roman" w:cs="Times New Roman"/>
          <w:lang w:val="en-US"/>
        </w:rPr>
        <w:t xml:space="preserve"> 149-164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72CB5F68" w14:textId="06D83487" w:rsidR="00D51719" w:rsidRDefault="00D51719" w:rsidP="00D51719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SCOTT, D. 2004.</w:t>
      </w:r>
      <w:proofErr w:type="gramEnd"/>
      <w:r w:rsidRPr="00A70A0D"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Appx</w:t>
      </w:r>
      <w:proofErr w:type="spellEnd"/>
      <w:r>
        <w:rPr>
          <w:rFonts w:ascii="Times New Roman" w:hAnsi="Times New Roman" w:cs="Times New Roman"/>
          <w:lang w:val="en-US"/>
        </w:rPr>
        <w:t>. B: Notes in Dana Scott</w:t>
      </w:r>
      <w:r w:rsidRPr="00731DE3">
        <w:rPr>
          <w:rFonts w:ascii="Times New Roman" w:hAnsi="Times New Roman" w:cs="Times New Roman"/>
          <w:lang w:val="en-US"/>
        </w:rPr>
        <w:t xml:space="preserve">’s Hand” In: </w:t>
      </w:r>
      <w:proofErr w:type="spellStart"/>
      <w:r w:rsidRPr="00731DE3">
        <w:rPr>
          <w:rFonts w:ascii="Times New Roman" w:hAnsi="Times New Roman" w:cs="Times New Roman"/>
          <w:lang w:val="en-US"/>
        </w:rPr>
        <w:t>Sobel</w:t>
      </w:r>
      <w:proofErr w:type="spellEnd"/>
      <w:r w:rsidRPr="00731DE3">
        <w:rPr>
          <w:rFonts w:ascii="Times New Roman" w:hAnsi="Times New Roman" w:cs="Times New Roman"/>
          <w:lang w:val="en-US"/>
        </w:rPr>
        <w:t xml:space="preserve">, J. H., </w:t>
      </w:r>
      <w:r w:rsidRPr="00731DE3">
        <w:rPr>
          <w:rFonts w:ascii="Times New Roman" w:hAnsi="Times New Roman" w:cs="Times New Roman"/>
          <w:i/>
          <w:lang w:val="en-US"/>
        </w:rPr>
        <w:t>Logic and Theism: Arguments for and against Beliefs in God</w:t>
      </w:r>
      <w:r w:rsidRPr="00731DE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Cambridge</w:t>
      </w:r>
      <w:r w:rsidRPr="00731DE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Cambridge University Press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3CF86310" w14:textId="6E4BCEFA" w:rsidR="00BB0EAA" w:rsidRPr="00A70A0D" w:rsidRDefault="00BB0EAA" w:rsidP="008C60F3">
      <w:pPr>
        <w:spacing w:after="0" w:line="290" w:lineRule="exact"/>
        <w:jc w:val="both"/>
        <w:rPr>
          <w:rFonts w:ascii="Times New Roman" w:hAnsi="Times New Roman" w:cs="Times New Roman"/>
          <w:lang w:val="en-US"/>
        </w:rPr>
      </w:pPr>
    </w:p>
    <w:sectPr w:rsidR="00BB0EAA" w:rsidRPr="00A7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AE66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6E"/>
    <w:rsid w:val="0001426D"/>
    <w:rsid w:val="000713C9"/>
    <w:rsid w:val="00262070"/>
    <w:rsid w:val="0027201E"/>
    <w:rsid w:val="002D6B3A"/>
    <w:rsid w:val="00380C81"/>
    <w:rsid w:val="003E036E"/>
    <w:rsid w:val="0042515D"/>
    <w:rsid w:val="00481FC5"/>
    <w:rsid w:val="005C3336"/>
    <w:rsid w:val="006543B5"/>
    <w:rsid w:val="00667BDA"/>
    <w:rsid w:val="006803BB"/>
    <w:rsid w:val="00731DE3"/>
    <w:rsid w:val="0076195F"/>
    <w:rsid w:val="007A526F"/>
    <w:rsid w:val="007D4063"/>
    <w:rsid w:val="007F5512"/>
    <w:rsid w:val="00812007"/>
    <w:rsid w:val="00895517"/>
    <w:rsid w:val="008C60F3"/>
    <w:rsid w:val="009A1C70"/>
    <w:rsid w:val="00A34F54"/>
    <w:rsid w:val="00A70A0D"/>
    <w:rsid w:val="00A87D18"/>
    <w:rsid w:val="00AA6D47"/>
    <w:rsid w:val="00AD3266"/>
    <w:rsid w:val="00BB0EAA"/>
    <w:rsid w:val="00C7487B"/>
    <w:rsid w:val="00CA1208"/>
    <w:rsid w:val="00D2182E"/>
    <w:rsid w:val="00D4368F"/>
    <w:rsid w:val="00D51719"/>
    <w:rsid w:val="00DC0F4C"/>
    <w:rsid w:val="00DD339C"/>
    <w:rsid w:val="00F506DF"/>
    <w:rsid w:val="00F6086B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50A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2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33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FC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1F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2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33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FC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1F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Bruno Woltzenlogel Paleo</cp:lastModifiedBy>
  <cp:revision>9</cp:revision>
  <dcterms:created xsi:type="dcterms:W3CDTF">2014-11-29T12:18:00Z</dcterms:created>
  <dcterms:modified xsi:type="dcterms:W3CDTF">2014-11-30T09:20:00Z</dcterms:modified>
</cp:coreProperties>
</file>