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1D30974" wp14:textId="77777777">
      <w:pPr>
        <w:pStyle w:val="Title"/>
        <w:jc w:val="center"/>
      </w:pPr>
      <w:r w:rsidR="3F8F4C21">
        <w:rPr/>
        <w:t>Formclad Estimate Review – Commercial Rules &amp; Delegation Matrix</w:t>
      </w:r>
    </w:p>
    <w:p w:rsidR="3F8F4C21" w:rsidP="3F8F4C21" w:rsidRDefault="3F8F4C21" w14:paraId="583D08D7" w14:textId="5B7662F5">
      <w:pPr>
        <w:pStyle w:val="Normal"/>
        <w:jc w:val="center"/>
      </w:pPr>
      <w:r w:rsidRPr="3F8F4C21" w:rsidR="3F8F4C21">
        <w:rPr>
          <w:i w:val="1"/>
          <w:iCs w:val="1"/>
          <w:sz w:val="18"/>
          <w:szCs w:val="18"/>
        </w:rPr>
        <w:t>Knowledge reference for the Formclad Estimate Review Agent — v2.1, updated 23 September 2026</w:t>
      </w:r>
    </w:p>
    <w:p xmlns:wp14="http://schemas.microsoft.com/office/word/2010/wordml" w14:paraId="05DBD12B" wp14:textId="77777777">
      <w:r w:rsidRPr="3F8F4C21" w:rsidR="3F8F4C21">
        <w:rPr>
          <w:b w:val="1"/>
          <w:bCs w:val="1"/>
        </w:rPr>
        <w:t xml:space="preserve">Authority: </w:t>
      </w:r>
      <w:r w:rsidR="3F8F4C21">
        <w:rPr/>
        <w:t>Current Formclad estimating review rules supplied by management. Use this document as the commercial decision reference. Tender-specific facts remain governed by the tender documents and completed take-off.</w:t>
      </w:r>
    </w:p>
    <w:p w:rsidR="3F8F4C21" w:rsidP="3F8F4C21" w:rsidRDefault="3F8F4C21" w14:paraId="40A893B0" w14:textId="1DB177C7">
      <w:pPr>
        <w:pStyle w:val="Heading1"/>
      </w:pPr>
      <w:r w:rsidR="3F8F4C21">
        <w:rPr/>
        <w:t>1. Rate of Return (ROR) per Budgeted Labour Hour</w:t>
      </w:r>
    </w:p>
    <w:p xmlns:wp14="http://schemas.microsoft.com/office/word/2010/wordml" w14:paraId="3B1FB31F" wp14:textId="77777777">
      <w:r w:rsidRPr="3F8F4C21" w:rsidR="3F8F4C21">
        <w:rPr>
          <w:b w:val="1"/>
          <w:bCs w:val="1"/>
        </w:rPr>
        <w:t xml:space="preserve">Formula: </w:t>
      </w:r>
      <w:r w:rsidR="3F8F4C21">
        <w:rPr/>
        <w:t>ROR = (Quote Total ex GST − Materials − Subcontractors − Equipment/Hire − Other Direct Non-Labour Job Costs) ÷ Budgeted Labour Hours</w:t>
      </w:r>
    </w:p>
    <w:p w:rsidR="3F8F4C21" w:rsidP="3F8F4C21" w:rsidRDefault="3F8F4C21" w14:paraId="7D1923E7" w14:textId="7B268B36">
      <w:pPr>
        <w:pStyle w:val="Normal"/>
      </w:pPr>
      <w:r w:rsidR="3F8F4C21">
        <w:rPr/>
        <w:t>ROR is the amount remaining per budgeted labour hour to cover Formclad labour cost, overheads, owner remuneration and profit.</w:t>
      </w:r>
    </w:p>
    <w:p w:rsidR="3F8F4C21" w:rsidP="3F8F4C21" w:rsidRDefault="3F8F4C21" w14:paraId="377936DE" w14:textId="4F3F3466">
      <w:pPr>
        <w:pStyle w:val="Normal"/>
      </w:pPr>
      <w:r w:rsidR="3F8F4C21">
        <w:rPr/>
        <w:t xml:space="preserve">All figures below come from “Formclad – Pricing Settings – CURRENT” (AdminHub </w:t>
      </w:r>
      <w:r w:rsidR="3F8F4C21">
        <w:rPr/>
        <w:t>&gt;</w:t>
      </w:r>
      <w:r w:rsidR="3F8F4C21">
        <w:rPr/>
        <w:t xml:space="preserve"> 00 Business Brain), which the directors review monthly. Where any other document conflicts, Pricing Settings applies.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0"/>
        <w:gridCol w:w="3450"/>
        <w:gridCol w:w="3450"/>
      </w:tblGrid>
      <w:tr w:rsidR="3F8F4C21" w:rsidTr="3F8F4C21" w14:paraId="5375E246">
        <w:tc>
          <w:tcPr>
            <w:tcW w:w="3450" w:type="dxa"/>
            <w:shd w:val="clear" w:color="auto" w:fill="D9EAF7"/>
            <w:tcMar/>
          </w:tcPr>
          <w:p w:rsidR="3F8F4C21" w:rsidP="3F8F4C21" w:rsidRDefault="3F8F4C21" w14:paraId="58AD8735" w14:textId="1F96E589">
            <w:pPr>
              <w:pStyle w:val="Normal"/>
            </w:pPr>
            <w:r w:rsidRPr="3F8F4C21" w:rsidR="3F8F4C21">
              <w:rPr>
                <w:b w:val="1"/>
                <w:bCs w:val="1"/>
                <w:sz w:val="17"/>
                <w:szCs w:val="17"/>
              </w:rPr>
              <w:t>Current figures</w:t>
            </w:r>
          </w:p>
        </w:tc>
        <w:tc>
          <w:tcPr>
            <w:tcW w:w="6900" w:type="dxa"/>
            <w:gridSpan w:val="2"/>
            <w:shd w:val="clear" w:color="auto" w:fill="D9EAF7"/>
            <w:tcMar/>
          </w:tcPr>
          <w:p w:rsidR="3F8F4C21" w:rsidP="3F8F4C21" w:rsidRDefault="3F8F4C21" w14:paraId="6B832356" w14:textId="0E556C5F">
            <w:pPr>
              <w:pStyle w:val="Normal"/>
            </w:pPr>
            <w:r w:rsidRPr="3F8F4C21" w:rsidR="3F8F4C21">
              <w:rPr>
                <w:b w:val="1"/>
                <w:bCs w:val="1"/>
                <w:sz w:val="17"/>
                <w:szCs w:val="17"/>
              </w:rPr>
              <w:t>As at 17 September 2026</w:t>
            </w:r>
          </w:p>
        </w:tc>
      </w:tr>
      <w:tr w:rsidR="3F8F4C21" w:rsidTr="3F8F4C21" w14:paraId="4E2AAC69">
        <w:tc>
          <w:tcPr>
            <w:tcW w:w="3450" w:type="dxa"/>
            <w:tcMar/>
          </w:tcPr>
          <w:p w:rsidR="3F8F4C21" w:rsidP="3F8F4C21" w:rsidRDefault="3F8F4C21" w14:paraId="79C9ACD9" w14:textId="38306F67">
            <w:pPr>
              <w:pStyle w:val="Normal"/>
            </w:pPr>
            <w:r w:rsidRPr="3F8F4C21" w:rsidR="3F8F4C21">
              <w:rPr>
                <w:sz w:val="16"/>
                <w:szCs w:val="16"/>
              </w:rPr>
              <w:t>All-in field labour cost</w:t>
            </w:r>
          </w:p>
        </w:tc>
        <w:tc>
          <w:tcPr>
            <w:tcW w:w="6900" w:type="dxa"/>
            <w:gridSpan w:val="2"/>
            <w:tcMar/>
          </w:tcPr>
          <w:p w:rsidR="3F8F4C21" w:rsidP="3F8F4C21" w:rsidRDefault="3F8F4C21" w14:paraId="51436C70" w14:textId="3CF6DC46">
            <w:pPr>
              <w:pStyle w:val="Normal"/>
            </w:pPr>
            <w:r w:rsidRPr="3F8F4C21" w:rsidR="3F8F4C21">
              <w:rPr>
                <w:sz w:val="16"/>
                <w:szCs w:val="16"/>
              </w:rPr>
              <w:t>$80 per productive hour</w:t>
            </w:r>
          </w:p>
        </w:tc>
      </w:tr>
      <w:tr w:rsidR="3F8F4C21" w:rsidTr="3F8F4C21" w14:paraId="7FD6BED9">
        <w:tc>
          <w:tcPr>
            <w:tcW w:w="3450" w:type="dxa"/>
            <w:tcMar/>
          </w:tcPr>
          <w:p w:rsidR="3F8F4C21" w:rsidP="3F8F4C21" w:rsidRDefault="3F8F4C21" w14:paraId="33F09728" w14:textId="53C8AB03">
            <w:pPr>
              <w:pStyle w:val="Normal"/>
            </w:pPr>
            <w:r w:rsidRPr="3F8F4C21" w:rsidR="3F8F4C21">
              <w:rPr>
                <w:sz w:val="16"/>
                <w:szCs w:val="16"/>
              </w:rPr>
              <w:t>Break-even</w:t>
            </w:r>
          </w:p>
        </w:tc>
        <w:tc>
          <w:tcPr>
            <w:tcW w:w="6900" w:type="dxa"/>
            <w:gridSpan w:val="2"/>
            <w:tcMar/>
          </w:tcPr>
          <w:p w:rsidR="3F8F4C21" w:rsidP="3F8F4C21" w:rsidRDefault="3F8F4C21" w14:paraId="3402E476" w14:textId="4690CA24">
            <w:pPr>
              <w:pStyle w:val="Normal"/>
            </w:pPr>
            <w:r w:rsidRPr="3F8F4C21" w:rsidR="3F8F4C21">
              <w:rPr>
                <w:sz w:val="16"/>
                <w:szCs w:val="16"/>
              </w:rPr>
              <w:t>$141.56 per productive hour</w:t>
            </w:r>
          </w:p>
        </w:tc>
      </w:tr>
      <w:tr w:rsidR="3F8F4C21" w:rsidTr="3F8F4C21" w14:paraId="21209830">
        <w:tc>
          <w:tcPr>
            <w:tcW w:w="3450" w:type="dxa"/>
            <w:tcMar/>
          </w:tcPr>
          <w:p w:rsidR="3F8F4C21" w:rsidP="3F8F4C21" w:rsidRDefault="3F8F4C21" w14:paraId="4AB5A284" w14:textId="0A48DCDD">
            <w:pPr>
              <w:pStyle w:val="Normal"/>
            </w:pPr>
            <w:r w:rsidRPr="3F8F4C21" w:rsidR="3F8F4C21">
              <w:rPr>
                <w:sz w:val="16"/>
                <w:szCs w:val="16"/>
              </w:rPr>
              <w:t>Target ROR</w:t>
            </w:r>
          </w:p>
        </w:tc>
        <w:tc>
          <w:tcPr>
            <w:tcW w:w="6900" w:type="dxa"/>
            <w:gridSpan w:val="2"/>
            <w:tcMar/>
          </w:tcPr>
          <w:p w:rsidR="3F8F4C21" w:rsidP="3F8F4C21" w:rsidRDefault="3F8F4C21" w14:paraId="758D43D3" w14:textId="77B5176D">
            <w:pPr>
              <w:pStyle w:val="Normal"/>
            </w:pPr>
            <w:r w:rsidRPr="3F8F4C21" w:rsidR="3F8F4C21">
              <w:rPr>
                <w:sz w:val="16"/>
                <w:szCs w:val="16"/>
              </w:rPr>
              <w:t>$175/hr</w:t>
            </w:r>
          </w:p>
        </w:tc>
      </w:tr>
      <w:tr w:rsidR="3F8F4C21" w:rsidTr="3F8F4C21" w14:paraId="3C0EA0A7">
        <w:tc>
          <w:tcPr>
            <w:tcW w:w="3450" w:type="dxa"/>
            <w:tcMar/>
          </w:tcPr>
          <w:p w:rsidR="3F8F4C21" w:rsidP="3F8F4C21" w:rsidRDefault="3F8F4C21" w14:paraId="07A5F53D" w14:textId="486DDD3E">
            <w:pPr>
              <w:pStyle w:val="Normal"/>
            </w:pPr>
            <w:r w:rsidRPr="3F8F4C21" w:rsidR="3F8F4C21">
              <w:rPr>
                <w:sz w:val="16"/>
                <w:szCs w:val="16"/>
              </w:rPr>
              <w:t>Minimum guide</w:t>
            </w:r>
          </w:p>
        </w:tc>
        <w:tc>
          <w:tcPr>
            <w:tcW w:w="6900" w:type="dxa"/>
            <w:gridSpan w:val="2"/>
            <w:tcMar/>
          </w:tcPr>
          <w:p w:rsidR="3F8F4C21" w:rsidP="3F8F4C21" w:rsidRDefault="3F8F4C21" w14:paraId="1F2E64D3" w14:textId="77E4BF3A">
            <w:pPr>
              <w:pStyle w:val="Normal"/>
            </w:pPr>
            <w:r w:rsidRPr="3F8F4C21" w:rsidR="3F8F4C21">
              <w:rPr>
                <w:sz w:val="16"/>
                <w:szCs w:val="16"/>
              </w:rPr>
              <w:t>$165/hr</w:t>
            </w:r>
          </w:p>
        </w:tc>
      </w:tr>
      <w:tr w:rsidR="3F8F4C21" w:rsidTr="3F8F4C21" w14:paraId="6AE0D4D4">
        <w:tc>
          <w:tcPr>
            <w:tcW w:w="3450" w:type="dxa"/>
            <w:tcMar/>
          </w:tcPr>
          <w:p w:rsidR="3F8F4C21" w:rsidP="3F8F4C21" w:rsidRDefault="3F8F4C21" w14:paraId="7F1B99DD" w14:textId="6B9196E8">
            <w:pPr>
              <w:pStyle w:val="Normal"/>
            </w:pPr>
            <w:r w:rsidRPr="3F8F4C21" w:rsidR="3F8F4C21">
              <w:rPr>
                <w:sz w:val="16"/>
                <w:szCs w:val="16"/>
              </w:rPr>
              <w:t>Reprice line</w:t>
            </w:r>
          </w:p>
        </w:tc>
        <w:tc>
          <w:tcPr>
            <w:tcW w:w="6900" w:type="dxa"/>
            <w:gridSpan w:val="2"/>
            <w:tcMar/>
          </w:tcPr>
          <w:p w:rsidR="3F8F4C21" w:rsidP="3F8F4C21" w:rsidRDefault="3F8F4C21" w14:paraId="6735FC2B" w14:textId="07C4C962">
            <w:pPr>
              <w:pStyle w:val="Normal"/>
            </w:pPr>
            <w:r w:rsidRPr="3F8F4C21" w:rsidR="3F8F4C21">
              <w:rPr>
                <w:sz w:val="16"/>
                <w:szCs w:val="16"/>
              </w:rPr>
              <w:t>$155/hr</w:t>
            </w:r>
          </w:p>
        </w:tc>
      </w:tr>
      <w:tr w:rsidR="3F8F4C21" w:rsidTr="3F8F4C21" w14:paraId="56B6368E">
        <w:tc>
          <w:tcPr>
            <w:tcW w:w="3450" w:type="dxa"/>
            <w:tcMar/>
          </w:tcPr>
          <w:p w:rsidR="3F8F4C21" w:rsidP="3F8F4C21" w:rsidRDefault="3F8F4C21" w14:paraId="19F5AEF4" w14:textId="4133761C">
            <w:pPr>
              <w:pStyle w:val="Normal"/>
            </w:pPr>
            <w:r w:rsidRPr="3F8F4C21" w:rsidR="3F8F4C21">
              <w:rPr>
                <w:sz w:val="16"/>
                <w:szCs w:val="16"/>
              </w:rPr>
              <w:t>Gross margin</w:t>
            </w:r>
          </w:p>
        </w:tc>
        <w:tc>
          <w:tcPr>
            <w:tcW w:w="6900" w:type="dxa"/>
            <w:gridSpan w:val="2"/>
            <w:tcMar/>
          </w:tcPr>
          <w:p w:rsidR="3F8F4C21" w:rsidP="3F8F4C21" w:rsidRDefault="3F8F4C21" w14:paraId="2F0FFBA9" w14:textId="7FDE72D7">
            <w:pPr>
              <w:pStyle w:val="Normal"/>
            </w:pPr>
            <w:r w:rsidRPr="3F8F4C21" w:rsidR="3F8F4C21">
              <w:rPr>
                <w:sz w:val="16"/>
                <w:szCs w:val="16"/>
              </w:rPr>
              <w:t>Target 30–32%, review floor 28%</w:t>
            </w:r>
          </w:p>
        </w:tc>
      </w:tr>
      <w:tr w:rsidR="3F8F4C21" w:rsidTr="3F8F4C21" w14:paraId="22192A28">
        <w:tc>
          <w:tcPr>
            <w:tcW w:w="3450" w:type="dxa"/>
            <w:tcMar/>
          </w:tcPr>
          <w:p w:rsidR="3F8F4C21" w:rsidP="3F8F4C21" w:rsidRDefault="3F8F4C21" w14:paraId="792424F5" w14:textId="0D7FCC49">
            <w:pPr>
              <w:pStyle w:val="Normal"/>
            </w:pPr>
            <w:r w:rsidRPr="3F8F4C21" w:rsidR="3F8F4C21">
              <w:rPr>
                <w:sz w:val="16"/>
                <w:szCs w:val="16"/>
              </w:rPr>
              <w:t>Single-job size guide</w:t>
            </w:r>
          </w:p>
        </w:tc>
        <w:tc>
          <w:tcPr>
            <w:tcW w:w="6900" w:type="dxa"/>
            <w:gridSpan w:val="2"/>
            <w:tcMar/>
          </w:tcPr>
          <w:p w:rsidR="3F8F4C21" w:rsidP="3F8F4C21" w:rsidRDefault="3F8F4C21" w14:paraId="0D7A94C7" w14:textId="22436CAA">
            <w:pPr>
              <w:pStyle w:val="Normal"/>
            </w:pPr>
            <w:r w:rsidRPr="3F8F4C21" w:rsidR="3F8F4C21">
              <w:rPr>
                <w:sz w:val="16"/>
                <w:szCs w:val="16"/>
              </w:rPr>
              <w:t>About $225,000</w:t>
            </w:r>
          </w:p>
        </w:tc>
      </w:tr>
      <w:tr w:rsidR="3F8F4C21" w:rsidTr="3F8F4C21" w14:paraId="7B1A8EA3">
        <w:tc>
          <w:tcPr>
            <w:tcW w:w="3450" w:type="dxa"/>
            <w:shd w:val="clear" w:color="auto" w:fill="D9EAF7"/>
            <w:tcMar/>
          </w:tcPr>
          <w:p w:rsidR="3F8F4C21" w:rsidP="3F8F4C21" w:rsidRDefault="3F8F4C21" w14:paraId="782F55F1" w14:textId="2AC32C9D">
            <w:pPr>
              <w:pStyle w:val="Normal"/>
            </w:pPr>
            <w:r w:rsidRPr="3F8F4C21" w:rsidR="3F8F4C21">
              <w:rPr>
                <w:b w:val="1"/>
                <w:bCs w:val="1"/>
                <w:sz w:val="17"/>
                <w:szCs w:val="17"/>
              </w:rPr>
              <w:t>Calculated ROR</w:t>
            </w:r>
          </w:p>
        </w:tc>
        <w:tc>
          <w:tcPr>
            <w:tcW w:w="3450" w:type="dxa"/>
            <w:shd w:val="clear" w:color="auto" w:fill="D9EAF7"/>
            <w:tcMar/>
          </w:tcPr>
          <w:p w:rsidR="3F8F4C21" w:rsidP="3F8F4C21" w:rsidRDefault="3F8F4C21" w14:paraId="49E05FE4" w14:textId="4CE1C9CE">
            <w:pPr>
              <w:pStyle w:val="Normal"/>
            </w:pPr>
            <w:r w:rsidRPr="3F8F4C21" w:rsidR="3F8F4C21">
              <w:rPr>
                <w:b w:val="1"/>
                <w:bCs w:val="1"/>
                <w:sz w:val="17"/>
                <w:szCs w:val="17"/>
              </w:rPr>
              <w:t>Rating</w:t>
            </w:r>
          </w:p>
        </w:tc>
        <w:tc>
          <w:tcPr>
            <w:tcW w:w="3450" w:type="dxa"/>
            <w:shd w:val="clear" w:color="auto" w:fill="D9EAF7"/>
            <w:tcMar/>
          </w:tcPr>
          <w:p w:rsidR="3F8F4C21" w:rsidP="3F8F4C21" w:rsidRDefault="3F8F4C21" w14:paraId="78DD8BDD" w14:textId="5695AC75">
            <w:pPr>
              <w:pStyle w:val="Normal"/>
            </w:pPr>
            <w:r w:rsidRPr="3F8F4C21" w:rsidR="3F8F4C21">
              <w:rPr>
                <w:b w:val="1"/>
                <w:bCs w:val="1"/>
                <w:sz w:val="17"/>
                <w:szCs w:val="17"/>
              </w:rPr>
              <w:t>Interpretation</w:t>
            </w:r>
          </w:p>
        </w:tc>
      </w:tr>
      <w:tr w:rsidR="3F8F4C21" w:rsidTr="3F8F4C21" w14:paraId="1EBC5B5A">
        <w:tc>
          <w:tcPr>
            <w:tcW w:w="3450" w:type="dxa"/>
            <w:tcMar/>
          </w:tcPr>
          <w:p w:rsidR="3F8F4C21" w:rsidP="3F8F4C21" w:rsidRDefault="3F8F4C21" w14:paraId="4C33B34E" w14:textId="32E2FD01">
            <w:pPr>
              <w:pStyle w:val="Normal"/>
            </w:pPr>
            <w:r w:rsidRPr="3F8F4C21" w:rsidR="3F8F4C21">
              <w:rPr>
                <w:sz w:val="16"/>
                <w:szCs w:val="16"/>
              </w:rPr>
              <w:t>Below $155/hr</w:t>
            </w:r>
          </w:p>
        </w:tc>
        <w:tc>
          <w:tcPr>
            <w:tcW w:w="3450" w:type="dxa"/>
            <w:tcMar/>
          </w:tcPr>
          <w:p w:rsidR="3F8F4C21" w:rsidP="3F8F4C21" w:rsidRDefault="3F8F4C21" w14:paraId="21DE2188" w14:textId="6E5DC18D">
            <w:pPr>
              <w:pStyle w:val="Normal"/>
            </w:pPr>
            <w:r w:rsidRPr="3F8F4C21" w:rsidR="3F8F4C21">
              <w:rPr>
                <w:sz w:val="16"/>
                <w:szCs w:val="16"/>
              </w:rPr>
              <w:t>RED</w:t>
            </w:r>
          </w:p>
        </w:tc>
        <w:tc>
          <w:tcPr>
            <w:tcW w:w="3450" w:type="dxa"/>
            <w:tcMar/>
          </w:tcPr>
          <w:p w:rsidR="3F8F4C21" w:rsidP="3F8F4C21" w:rsidRDefault="3F8F4C21" w14:paraId="0F96B2BE" w14:textId="7A15D17F">
            <w:pPr>
              <w:pStyle w:val="Normal"/>
            </w:pPr>
            <w:r w:rsidRPr="3F8F4C21" w:rsidR="3F8F4C21">
              <w:rPr>
                <w:sz w:val="16"/>
                <w:szCs w:val="16"/>
              </w:rPr>
              <w:t>Poor return. Reprice, or proceed only with an approved commercial reason.</w:t>
            </w:r>
          </w:p>
        </w:tc>
      </w:tr>
      <w:tr w:rsidR="3F8F4C21" w:rsidTr="3F8F4C21" w14:paraId="3B13DD3C">
        <w:tc>
          <w:tcPr>
            <w:tcW w:w="3450" w:type="dxa"/>
            <w:tcMar/>
          </w:tcPr>
          <w:p w:rsidR="3F8F4C21" w:rsidP="3F8F4C21" w:rsidRDefault="3F8F4C21" w14:paraId="094D159D" w14:textId="4F129216">
            <w:pPr>
              <w:pStyle w:val="Normal"/>
            </w:pPr>
            <w:r w:rsidRPr="3F8F4C21" w:rsidR="3F8F4C21">
              <w:rPr>
                <w:sz w:val="16"/>
                <w:szCs w:val="16"/>
              </w:rPr>
              <w:t>$155–$165/hr</w:t>
            </w:r>
          </w:p>
        </w:tc>
        <w:tc>
          <w:tcPr>
            <w:tcW w:w="3450" w:type="dxa"/>
            <w:tcMar/>
          </w:tcPr>
          <w:p w:rsidR="3F8F4C21" w:rsidP="3F8F4C21" w:rsidRDefault="3F8F4C21" w14:paraId="56F2C1E8" w14:textId="3AB9BC34">
            <w:pPr>
              <w:pStyle w:val="Normal"/>
            </w:pPr>
            <w:r w:rsidRPr="3F8F4C21" w:rsidR="3F8F4C21">
              <w:rPr>
                <w:sz w:val="16"/>
                <w:szCs w:val="16"/>
              </w:rPr>
              <w:t>AMBER</w:t>
            </w:r>
          </w:p>
        </w:tc>
        <w:tc>
          <w:tcPr>
            <w:tcW w:w="3450" w:type="dxa"/>
            <w:tcMar/>
          </w:tcPr>
          <w:p w:rsidR="3F8F4C21" w:rsidP="3F8F4C21" w:rsidRDefault="3F8F4C21" w14:paraId="57D10758" w14:textId="3316C8A6">
            <w:pPr>
              <w:pStyle w:val="Normal"/>
            </w:pPr>
            <w:r w:rsidRPr="3F8F4C21" w:rsidR="3F8F4C21">
              <w:rPr>
                <w:sz w:val="16"/>
                <w:szCs w:val="16"/>
              </w:rPr>
              <w:t>Thin return. Only progress where a clear commercial reason supports it.</w:t>
            </w:r>
          </w:p>
        </w:tc>
      </w:tr>
      <w:tr w:rsidR="3F8F4C21" w:rsidTr="3F8F4C21" w14:paraId="03CEBEEE">
        <w:tc>
          <w:tcPr>
            <w:tcW w:w="3450" w:type="dxa"/>
            <w:tcMar/>
          </w:tcPr>
          <w:p w:rsidR="3F8F4C21" w:rsidP="3F8F4C21" w:rsidRDefault="3F8F4C21" w14:paraId="28590CD6" w14:textId="4282BA82">
            <w:pPr>
              <w:pStyle w:val="Normal"/>
            </w:pPr>
            <w:r w:rsidRPr="3F8F4C21" w:rsidR="3F8F4C21">
              <w:rPr>
                <w:sz w:val="16"/>
                <w:szCs w:val="16"/>
              </w:rPr>
              <w:t>$165–$175/hr</w:t>
            </w:r>
          </w:p>
        </w:tc>
        <w:tc>
          <w:tcPr>
            <w:tcW w:w="3450" w:type="dxa"/>
            <w:tcMar/>
          </w:tcPr>
          <w:p w:rsidR="3F8F4C21" w:rsidP="3F8F4C21" w:rsidRDefault="3F8F4C21" w14:paraId="2F272239" w14:textId="2DE41212">
            <w:pPr>
              <w:pStyle w:val="Normal"/>
            </w:pPr>
            <w:r w:rsidRPr="3F8F4C21" w:rsidR="3F8F4C21">
              <w:rPr>
                <w:sz w:val="16"/>
                <w:szCs w:val="16"/>
              </w:rPr>
              <w:t>ACCEPTABLE</w:t>
            </w:r>
          </w:p>
        </w:tc>
        <w:tc>
          <w:tcPr>
            <w:tcW w:w="3450" w:type="dxa"/>
            <w:tcMar/>
          </w:tcPr>
          <w:p w:rsidR="3F8F4C21" w:rsidP="3F8F4C21" w:rsidRDefault="3F8F4C21" w14:paraId="5B310B87" w14:textId="2664C0FD">
            <w:pPr>
              <w:pStyle w:val="Normal"/>
            </w:pPr>
            <w:r w:rsidRPr="3F8F4C21" w:rsidR="3F8F4C21">
              <w:rPr>
                <w:sz w:val="16"/>
                <w:szCs w:val="16"/>
              </w:rPr>
              <w:t>Meets minimum expectations; review with margin and risk.</w:t>
            </w:r>
          </w:p>
        </w:tc>
      </w:tr>
      <w:tr w:rsidR="3F8F4C21" w:rsidTr="3F8F4C21" w14:paraId="288681C9">
        <w:tc>
          <w:tcPr>
            <w:tcW w:w="3450" w:type="dxa"/>
            <w:tcMar/>
          </w:tcPr>
          <w:p w:rsidR="3F8F4C21" w:rsidP="3F8F4C21" w:rsidRDefault="3F8F4C21" w14:paraId="071860E2" w14:textId="5E77F8C8">
            <w:pPr>
              <w:pStyle w:val="Normal"/>
            </w:pPr>
            <w:r w:rsidRPr="3F8F4C21" w:rsidR="3F8F4C21">
              <w:rPr>
                <w:sz w:val="16"/>
                <w:szCs w:val="16"/>
              </w:rPr>
              <w:t>$175–$195/hr</w:t>
            </w:r>
          </w:p>
        </w:tc>
        <w:tc>
          <w:tcPr>
            <w:tcW w:w="3450" w:type="dxa"/>
            <w:tcMar/>
          </w:tcPr>
          <w:p w:rsidR="3F8F4C21" w:rsidP="3F8F4C21" w:rsidRDefault="3F8F4C21" w14:paraId="68BC24F6" w14:textId="66684E29">
            <w:pPr>
              <w:pStyle w:val="Normal"/>
            </w:pPr>
            <w:r w:rsidRPr="3F8F4C21" w:rsidR="3F8F4C21">
              <w:rPr>
                <w:sz w:val="16"/>
                <w:szCs w:val="16"/>
              </w:rPr>
              <w:t>GREEN</w:t>
            </w:r>
          </w:p>
        </w:tc>
        <w:tc>
          <w:tcPr>
            <w:tcW w:w="3450" w:type="dxa"/>
            <w:tcMar/>
          </w:tcPr>
          <w:p w:rsidR="3F8F4C21" w:rsidP="3F8F4C21" w:rsidRDefault="3F8F4C21" w14:paraId="5A7ED627" w14:textId="03804931">
            <w:pPr>
              <w:pStyle w:val="Normal"/>
            </w:pPr>
            <w:r w:rsidRPr="3F8F4C21" w:rsidR="3F8F4C21">
              <w:rPr>
                <w:sz w:val="16"/>
                <w:szCs w:val="16"/>
              </w:rPr>
              <w:t>Target range.</w:t>
            </w:r>
          </w:p>
        </w:tc>
      </w:tr>
      <w:tr w:rsidR="3F8F4C21" w:rsidTr="3F8F4C21" w14:paraId="4631B3EC">
        <w:tc>
          <w:tcPr>
            <w:tcW w:w="3450" w:type="dxa"/>
            <w:tcMar/>
          </w:tcPr>
          <w:p w:rsidR="3F8F4C21" w:rsidP="3F8F4C21" w:rsidRDefault="3F8F4C21" w14:paraId="149A54E3" w14:textId="08F4D5DD">
            <w:pPr>
              <w:pStyle w:val="Normal"/>
            </w:pPr>
            <w:r w:rsidRPr="3F8F4C21" w:rsidR="3F8F4C21">
              <w:rPr>
                <w:sz w:val="16"/>
                <w:szCs w:val="16"/>
              </w:rPr>
              <w:t>$195–$225/hr</w:t>
            </w:r>
          </w:p>
        </w:tc>
        <w:tc>
          <w:tcPr>
            <w:tcW w:w="3450" w:type="dxa"/>
            <w:tcMar/>
          </w:tcPr>
          <w:p w:rsidR="3F8F4C21" w:rsidP="3F8F4C21" w:rsidRDefault="3F8F4C21" w14:paraId="6721946A" w14:textId="2D5095A8">
            <w:pPr>
              <w:pStyle w:val="Normal"/>
            </w:pPr>
            <w:r w:rsidRPr="3F8F4C21" w:rsidR="3F8F4C21">
              <w:rPr>
                <w:sz w:val="16"/>
                <w:szCs w:val="16"/>
              </w:rPr>
              <w:t>STRONG</w:t>
            </w:r>
          </w:p>
        </w:tc>
        <w:tc>
          <w:tcPr>
            <w:tcW w:w="3450" w:type="dxa"/>
            <w:tcMar/>
          </w:tcPr>
          <w:p w:rsidR="3F8F4C21" w:rsidP="3F8F4C21" w:rsidRDefault="3F8F4C21" w14:paraId="5BCD75AD" w14:textId="020E669A">
            <w:pPr>
              <w:pStyle w:val="Normal"/>
            </w:pPr>
            <w:r w:rsidRPr="3F8F4C21" w:rsidR="3F8F4C21">
              <w:rPr>
                <w:sz w:val="16"/>
                <w:szCs w:val="16"/>
              </w:rPr>
              <w:t>Very good return.</w:t>
            </w:r>
          </w:p>
        </w:tc>
      </w:tr>
      <w:tr w:rsidR="3F8F4C21" w:rsidTr="3F8F4C21" w14:paraId="5A7F44A0">
        <w:tc>
          <w:tcPr>
            <w:tcW w:w="3450" w:type="dxa"/>
            <w:tcMar/>
          </w:tcPr>
          <w:p w:rsidR="3F8F4C21" w:rsidP="3F8F4C21" w:rsidRDefault="3F8F4C21" w14:paraId="5AF3FA3F" w14:textId="25E28172">
            <w:pPr>
              <w:pStyle w:val="Normal"/>
            </w:pPr>
            <w:r w:rsidRPr="3F8F4C21" w:rsidR="3F8F4C21">
              <w:rPr>
                <w:sz w:val="16"/>
                <w:szCs w:val="16"/>
              </w:rPr>
              <w:t>Above $225/hr</w:t>
            </w:r>
          </w:p>
        </w:tc>
        <w:tc>
          <w:tcPr>
            <w:tcW w:w="3450" w:type="dxa"/>
            <w:tcMar/>
          </w:tcPr>
          <w:p w:rsidR="3F8F4C21" w:rsidP="3F8F4C21" w:rsidRDefault="3F8F4C21" w14:paraId="6B5BCD3A" w14:textId="7E414028">
            <w:pPr>
              <w:pStyle w:val="Normal"/>
            </w:pPr>
            <w:r w:rsidRPr="3F8F4C21" w:rsidR="3F8F4C21">
              <w:rPr>
                <w:sz w:val="16"/>
                <w:szCs w:val="16"/>
              </w:rPr>
              <w:t>EXCELLENT</w:t>
            </w:r>
          </w:p>
        </w:tc>
        <w:tc>
          <w:tcPr>
            <w:tcW w:w="3450" w:type="dxa"/>
            <w:tcMar/>
          </w:tcPr>
          <w:p w:rsidR="3F8F4C21" w:rsidP="3F8F4C21" w:rsidRDefault="3F8F4C21" w14:paraId="021C590D" w14:textId="7016E80D">
            <w:pPr>
              <w:pStyle w:val="Normal"/>
            </w:pPr>
            <w:r w:rsidRPr="3F8F4C21" w:rsidR="3F8F4C21">
              <w:rPr>
                <w:sz w:val="16"/>
                <w:szCs w:val="16"/>
              </w:rPr>
              <w:t>High return per labour hour.</w:t>
            </w:r>
          </w:p>
        </w:tc>
      </w:tr>
    </w:tbl>
    <w:p w:rsidR="3F8F4C21" w:rsidP="3F8F4C21" w:rsidRDefault="3F8F4C21" w14:paraId="2CEB6F5F" w14:textId="675BEE1A">
      <w:pPr>
        <w:pStyle w:val="Normal"/>
      </w:pPr>
      <w:r w:rsidRPr="3F8F4C21" w:rsidR="3F8F4C21">
        <w:rPr>
          <w:b w:val="1"/>
          <w:bCs w:val="1"/>
        </w:rPr>
        <w:t xml:space="preserve">Mandatory gate: </w:t>
      </w:r>
      <w:r w:rsidR="3F8F4C21">
        <w:rPr/>
        <w:t>If ROR is below the minimum guide ($165/hr), the estimate must be flagged for commercial review before submission. An ROR below the reprice line ($155/hr) should normally trigger repricing, or a clear approved reason to proceed recorded in the Tender Tracker.</w:t>
      </w:r>
    </w:p>
    <w:p xmlns:wp14="http://schemas.microsoft.com/office/word/2010/wordml" w14:paraId="3DCC8E1A" wp14:textId="77777777">
      <w:pPr>
        <w:pStyle w:val="Heading1"/>
      </w:pPr>
      <w:r>
        <w:t>2. ROR is not a stand-alone approval test</w:t>
      </w:r>
    </w:p>
    <w:p xmlns:wp14="http://schemas.microsoft.com/office/word/2010/wordml" w14:paraId="786B189A" wp14:textId="77777777">
      <w:pPr>
        <w:pStyle w:val="ListBullet"/>
        <w:spacing w:after="40"/>
      </w:pPr>
      <w:r>
        <w:t>Review ROR alongside gross margin %, total gross profit $, material value/exposure and budgeted labour hours.</w:t>
      </w:r>
    </w:p>
    <w:p xmlns:wp14="http://schemas.microsoft.com/office/word/2010/wordml" w14:paraId="31A1B801" wp14:textId="77777777">
      <w:pPr>
        <w:pStyle w:val="ListBullet"/>
        <w:spacing w:after="40"/>
      </w:pPr>
      <w:r>
        <w:t>Consider complexity, installation risk, access, programme constraints, subcontractor exposure and potential variations.</w:t>
      </w:r>
    </w:p>
    <w:p xmlns:wp14="http://schemas.microsoft.com/office/word/2010/wordml" w14:paraId="73FD8519" wp14:textId="77777777">
      <w:pPr>
        <w:pStyle w:val="ListBullet"/>
        <w:spacing w:after="40"/>
      </w:pPr>
      <w:r>
        <w:t>Consider builder/client quality, payment risk and strategic/repeat-client value.</w:t>
      </w:r>
    </w:p>
    <w:p xmlns:wp14="http://schemas.microsoft.com/office/word/2010/wordml" w14:paraId="524DDA9A" wp14:textId="77777777">
      <w:pPr>
        <w:pStyle w:val="ListBullet"/>
        <w:spacing w:after="40"/>
        <w:rPr/>
      </w:pPr>
      <w:r w:rsidR="3F8F4C21">
        <w:rPr/>
        <w:t>A high ROR does not make a job attractive where margin, material exposure or risk is unacceptable.</w:t>
      </w:r>
    </w:p>
    <w:p w:rsidR="3F8F4C21" w:rsidP="3F8F4C21" w:rsidRDefault="3F8F4C21" w14:paraId="320E75F4" w14:textId="782F52A2">
      <w:pPr>
        <w:pStyle w:val="ListBullet"/>
        <w:rPr/>
      </w:pPr>
      <w:r w:rsidR="3F8F4C21">
        <w:rPr/>
        <w:t>A slightly lower ROR may occasionally be commercially sensible where risk is low, margin is strong or there is a clear strategic/repeat-client benefit; below the minimum guide still requires review.</w:t>
      </w:r>
    </w:p>
    <w:p w:rsidR="3F8F4C21" w:rsidP="3F8F4C21" w:rsidRDefault="3F8F4C21" w14:paraId="21BB731A" w14:textId="185F11B9">
      <w:pPr>
        <w:pStyle w:val="ListBullet"/>
        <w:rPr/>
      </w:pPr>
      <w:r w:rsidR="3F8F4C21">
        <w:rPr/>
        <w:t>A whole-job gross margin below the review floor requires commercial review even where ROR is acceptable. Material-heavy work can meet the ROR target and still carry thin margin.</w:t>
      </w:r>
    </w:p>
    <w:p w:rsidR="3F8F4C21" w:rsidP="3F8F4C21" w:rsidRDefault="3F8F4C21" w14:paraId="5A5417FD" w14:textId="3CEF3B41">
      <w:pPr>
        <w:pStyle w:val="ListBullet"/>
        <w:rPr/>
      </w:pPr>
      <w:r w:rsidR="3F8F4C21">
        <w:rPr/>
        <w:t>A good ROR on hours that are too light is not a good ROR. Labour hours are checked against “Formclad – Estimating Rules of Thumb – CURRENT” before ROR is relied on.</w:t>
      </w:r>
    </w:p>
    <w:p xmlns:wp14="http://schemas.microsoft.com/office/word/2010/wordml" w14:paraId="4E13ABC9" wp14:textId="77777777">
      <w:pPr>
        <w:pStyle w:val="Heading1"/>
      </w:pPr>
      <w:r w:rsidR="3F8F4C21">
        <w:rPr/>
        <w:t>3. Delegated submission decision</w:t>
      </w:r>
    </w:p>
    <w:p w:rsidR="3F8F4C21" w:rsidP="3F8F4C21" w:rsidRDefault="3F8F4C21" w14:paraId="234279BB" w14:textId="7CBF3CC3">
      <w:pPr>
        <w:pStyle w:val="Normal"/>
      </w:pPr>
      <w:r w:rsidR="3F8F4C21">
        <w:rPr/>
        <w:t>Authorities are defined in “Formclad – Approval Authorities – CURRENT”: the Commercial Approver (General Manager) holds price, margin, contract, credit and cash decisions; the Operations Approver (Director) holds scope, buildability, labour hours, programme, site and procurement decisions.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0"/>
        <w:gridCol w:w="3450"/>
        <w:gridCol w:w="3450"/>
      </w:tblGrid>
      <w:tr w:rsidR="3F8F4C21" w:rsidTr="3F8F4C21" w14:paraId="7A8EF9B4">
        <w:tc>
          <w:tcPr>
            <w:tcW w:w="3450" w:type="dxa"/>
            <w:shd w:val="clear" w:color="auto" w:fill="D9EAF7"/>
            <w:tcMar/>
          </w:tcPr>
          <w:p w:rsidR="3F8F4C21" w:rsidP="3F8F4C21" w:rsidRDefault="3F8F4C21" w14:paraId="3C6C037C" w14:textId="3F0A374D">
            <w:pPr>
              <w:pStyle w:val="Normal"/>
            </w:pPr>
            <w:r w:rsidRPr="3F8F4C21" w:rsidR="3F8F4C21">
              <w:rPr>
                <w:b w:val="1"/>
                <w:bCs w:val="1"/>
                <w:sz w:val="17"/>
                <w:szCs w:val="17"/>
              </w:rPr>
              <w:t>Decision</w:t>
            </w:r>
          </w:p>
        </w:tc>
        <w:tc>
          <w:tcPr>
            <w:tcW w:w="3450" w:type="dxa"/>
            <w:shd w:val="clear" w:color="auto" w:fill="D9EAF7"/>
            <w:tcMar/>
          </w:tcPr>
          <w:p w:rsidR="3F8F4C21" w:rsidP="3F8F4C21" w:rsidRDefault="3F8F4C21" w14:paraId="445BFDD2" w14:textId="6B109024">
            <w:pPr>
              <w:pStyle w:val="Normal"/>
            </w:pPr>
            <w:r w:rsidRPr="3F8F4C21" w:rsidR="3F8F4C21">
              <w:rPr>
                <w:b w:val="1"/>
                <w:bCs w:val="1"/>
                <w:sz w:val="17"/>
                <w:szCs w:val="17"/>
              </w:rPr>
              <w:t>When to use</w:t>
            </w:r>
          </w:p>
        </w:tc>
        <w:tc>
          <w:tcPr>
            <w:tcW w:w="3450" w:type="dxa"/>
            <w:shd w:val="clear" w:color="auto" w:fill="D9EAF7"/>
            <w:tcMar/>
          </w:tcPr>
          <w:p w:rsidR="3F8F4C21" w:rsidP="3F8F4C21" w:rsidRDefault="3F8F4C21" w14:paraId="1390BEAC" w14:textId="7B36DBE0">
            <w:pPr>
              <w:pStyle w:val="Normal"/>
            </w:pPr>
            <w:r w:rsidRPr="3F8F4C21" w:rsidR="3F8F4C21">
              <w:rPr>
                <w:b w:val="1"/>
                <w:bCs w:val="1"/>
                <w:sz w:val="17"/>
                <w:szCs w:val="17"/>
              </w:rPr>
              <w:t>Authority</w:t>
            </w:r>
          </w:p>
        </w:tc>
      </w:tr>
      <w:tr w:rsidR="3F8F4C21" w:rsidTr="3F8F4C21" w14:paraId="6F589C66">
        <w:tc>
          <w:tcPr>
            <w:tcW w:w="3450" w:type="dxa"/>
            <w:tcMar/>
          </w:tcPr>
          <w:p w:rsidR="3F8F4C21" w:rsidP="3F8F4C21" w:rsidRDefault="3F8F4C21" w14:paraId="0967D5B7" w14:textId="7EA632AA">
            <w:pPr>
              <w:pStyle w:val="Normal"/>
            </w:pPr>
            <w:r w:rsidRPr="3F8F4C21" w:rsidR="3F8F4C21">
              <w:rPr>
                <w:sz w:val="16"/>
                <w:szCs w:val="16"/>
              </w:rPr>
              <w:t>APPROVED TO SUBMIT</w:t>
            </w:r>
          </w:p>
        </w:tc>
        <w:tc>
          <w:tcPr>
            <w:tcW w:w="3450" w:type="dxa"/>
            <w:tcMar/>
          </w:tcPr>
          <w:p w:rsidR="3F8F4C21" w:rsidP="3F8F4C21" w:rsidRDefault="3F8F4C21" w14:paraId="189D8392" w14:textId="44CB258A">
            <w:pPr>
              <w:pStyle w:val="Normal"/>
            </w:pPr>
            <w:r w:rsidRPr="3F8F4C21" w:rsidR="3F8F4C21">
              <w:rPr>
                <w:sz w:val="16"/>
                <w:szCs w:val="16"/>
              </w:rPr>
              <w:t>Estimate materially reconciled; required prices resolved; all applicable manual Nexvia items entered; labour hours credible against Rules of Thumb; no material scope or commercial uncertainty; ROR at or above the minimum guide; gross margin at or above the review floor; review confidence High, or Medium only for minor safely qualified items.</w:t>
            </w:r>
          </w:p>
        </w:tc>
        <w:tc>
          <w:tcPr>
            <w:tcW w:w="3450" w:type="dxa"/>
            <w:tcMar/>
          </w:tcPr>
          <w:p w:rsidR="3F8F4C21" w:rsidP="3F8F4C21" w:rsidRDefault="3F8F4C21" w14:paraId="73092DAD" w14:textId="5378233F">
            <w:pPr>
              <w:pStyle w:val="Normal"/>
            </w:pPr>
            <w:r w:rsidRPr="3F8F4C21" w:rsidR="3F8F4C21">
              <w:rPr>
                <w:sz w:val="16"/>
                <w:szCs w:val="16"/>
              </w:rPr>
              <w:t>Tender &amp; Estimating Coordinator may finalise and submit.</w:t>
            </w:r>
          </w:p>
        </w:tc>
      </w:tr>
      <w:tr w:rsidR="3F8F4C21" w:rsidTr="3F8F4C21" w14:paraId="58E896FF">
        <w:tc>
          <w:tcPr>
            <w:tcW w:w="3450" w:type="dxa"/>
            <w:tcMar/>
          </w:tcPr>
          <w:p w:rsidR="3F8F4C21" w:rsidP="3F8F4C21" w:rsidRDefault="3F8F4C21" w14:paraId="394DD3BE" w14:textId="45CCDBFD">
            <w:pPr>
              <w:pStyle w:val="Normal"/>
            </w:pPr>
            <w:r w:rsidRPr="3F8F4C21" w:rsidR="3F8F4C21">
              <w:rPr>
                <w:sz w:val="16"/>
                <w:szCs w:val="16"/>
              </w:rPr>
              <w:t>COMMERCIAL APPROVER REVIEW REQUIRED</w:t>
            </w:r>
          </w:p>
        </w:tc>
        <w:tc>
          <w:tcPr>
            <w:tcW w:w="3450" w:type="dxa"/>
            <w:tcMar/>
          </w:tcPr>
          <w:p w:rsidR="3F8F4C21" w:rsidP="3F8F4C21" w:rsidRDefault="3F8F4C21" w14:paraId="29AD99CC" w14:textId="6A39333F">
            <w:pPr>
              <w:pStyle w:val="Normal"/>
            </w:pPr>
            <w:r w:rsidRPr="3F8F4C21" w:rsidR="3F8F4C21">
              <w:rPr>
                <w:sz w:val="16"/>
                <w:szCs w:val="16"/>
              </w:rPr>
              <w:t>ROR below the minimum guide; gross margin below the review floor; Low confidence; unresolved pricing, contract, retention, security or client credit issue; or any issue that could materially change price or risk.</w:t>
            </w:r>
          </w:p>
        </w:tc>
        <w:tc>
          <w:tcPr>
            <w:tcW w:w="3450" w:type="dxa"/>
            <w:tcMar/>
          </w:tcPr>
          <w:p w:rsidR="3F8F4C21" w:rsidP="3F8F4C21" w:rsidRDefault="3F8F4C21" w14:paraId="2DE60083" w14:textId="643707BA">
            <w:pPr>
              <w:pStyle w:val="Normal"/>
            </w:pPr>
            <w:r w:rsidRPr="3F8F4C21" w:rsidR="3F8F4C21">
              <w:rPr>
                <w:sz w:val="16"/>
                <w:szCs w:val="16"/>
              </w:rPr>
              <w:t>Commercial Approver. Escalate only the specific issue or question; the approver does not repeat the full review.</w:t>
            </w:r>
          </w:p>
        </w:tc>
      </w:tr>
      <w:tr w:rsidR="3F8F4C21" w:rsidTr="3F8F4C21" w14:paraId="229EF1E1">
        <w:tc>
          <w:tcPr>
            <w:tcW w:w="3450" w:type="dxa"/>
            <w:tcMar/>
          </w:tcPr>
          <w:p w:rsidR="3F8F4C21" w:rsidP="3F8F4C21" w:rsidRDefault="3F8F4C21" w14:paraId="7D22FE26" w14:textId="3A0A5B21">
            <w:pPr>
              <w:pStyle w:val="Normal"/>
            </w:pPr>
            <w:r w:rsidRPr="3F8F4C21" w:rsidR="3F8F4C21">
              <w:rPr>
                <w:sz w:val="16"/>
                <w:szCs w:val="16"/>
              </w:rPr>
              <w:t>OPERATIONS APPROVER REVIEW REQUIRED</w:t>
            </w:r>
          </w:p>
        </w:tc>
        <w:tc>
          <w:tcPr>
            <w:tcW w:w="3450" w:type="dxa"/>
            <w:tcMar/>
          </w:tcPr>
          <w:p w:rsidR="3F8F4C21" w:rsidP="3F8F4C21" w:rsidRDefault="3F8F4C21" w14:paraId="198A1F99" w14:textId="0FFD04A6">
            <w:pPr>
              <w:pStyle w:val="Normal"/>
            </w:pPr>
            <w:r w:rsidRPr="3F8F4C21" w:rsidR="3F8F4C21">
              <w:rPr>
                <w:sz w:val="16"/>
                <w:szCs w:val="16"/>
              </w:rPr>
              <w:t>Unresolved scope, quantity, revision, technical or buildability issue; unusual design responsibility; access, lifting or programme risk; labour hours flagged as light against Rules of Thumb; difficulty loadings above a combined 1.60; or any scope with no rule set.</w:t>
            </w:r>
          </w:p>
        </w:tc>
        <w:tc>
          <w:tcPr>
            <w:tcW w:w="3450" w:type="dxa"/>
            <w:tcMar/>
          </w:tcPr>
          <w:p w:rsidR="3F8F4C21" w:rsidP="3F8F4C21" w:rsidRDefault="3F8F4C21" w14:paraId="2A3E7F16" w14:textId="6F0CF507">
            <w:pPr>
              <w:pStyle w:val="Normal"/>
            </w:pPr>
            <w:r w:rsidRPr="3F8F4C21" w:rsidR="3F8F4C21">
              <w:rPr>
                <w:sz w:val="16"/>
                <w:szCs w:val="16"/>
              </w:rPr>
              <w:t>Operations Approver. Escalate only the specific issue.</w:t>
            </w:r>
          </w:p>
        </w:tc>
      </w:tr>
      <w:tr w:rsidR="3F8F4C21" w:rsidTr="3F8F4C21" w14:paraId="5C7675E0">
        <w:tc>
          <w:tcPr>
            <w:tcW w:w="3450" w:type="dxa"/>
            <w:tcMar/>
          </w:tcPr>
          <w:p w:rsidR="3F8F4C21" w:rsidP="3F8F4C21" w:rsidRDefault="3F8F4C21" w14:paraId="57DF07AD" w14:textId="6525FBED">
            <w:pPr>
              <w:pStyle w:val="Normal"/>
            </w:pPr>
            <w:r w:rsidRPr="3F8F4C21" w:rsidR="3F8F4C21">
              <w:rPr>
                <w:sz w:val="16"/>
                <w:szCs w:val="16"/>
              </w:rPr>
              <w:t>BOTH APPROVERS</w:t>
            </w:r>
          </w:p>
        </w:tc>
        <w:tc>
          <w:tcPr>
            <w:tcW w:w="3450" w:type="dxa"/>
            <w:tcMar/>
          </w:tcPr>
          <w:p w:rsidR="3F8F4C21" w:rsidP="3F8F4C21" w:rsidRDefault="3F8F4C21" w14:paraId="060F4238" w14:textId="3795731C">
            <w:pPr>
              <w:pStyle w:val="Normal"/>
            </w:pPr>
            <w:r w:rsidRPr="3F8F4C21" w:rsidR="3F8F4C21">
              <w:rPr>
                <w:sz w:val="16"/>
                <w:szCs w:val="16"/>
              </w:rPr>
              <w:t>ROR below the reprice line; project above the single-job size guide; contract amendments that materially shift risk; or any commitment that changes team capacity or adds fixed cost.</w:t>
            </w:r>
          </w:p>
        </w:tc>
        <w:tc>
          <w:tcPr>
            <w:tcW w:w="3450" w:type="dxa"/>
            <w:tcMar/>
          </w:tcPr>
          <w:p w:rsidR="3F8F4C21" w:rsidP="3F8F4C21" w:rsidRDefault="3F8F4C21" w14:paraId="45846E58" w14:textId="130986D8">
            <w:pPr>
              <w:pStyle w:val="Normal"/>
            </w:pPr>
            <w:r w:rsidRPr="3F8F4C21" w:rsidR="3F8F4C21">
              <w:rPr>
                <w:sz w:val="16"/>
                <w:szCs w:val="16"/>
              </w:rPr>
              <w:t>Commercial Approver and Operations Approver.</w:t>
            </w:r>
          </w:p>
        </w:tc>
      </w:tr>
    </w:tbl>
    <w:p xmlns:wp14="http://schemas.microsoft.com/office/word/2010/wordml" w14:paraId="093150D2" wp14:textId="77777777">
      <w:pPr>
        <w:pStyle w:val="Heading1"/>
      </w:pPr>
      <w:r>
        <w:t>4. Review confidence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xmlns:wp14="http://schemas.microsoft.com/office/word/2010/wordml" w14:paraId="68B2F68F" wp14:textId="77777777">
        <w:tc>
          <w:tcPr>
            <w:tcW w:w="1728" w:type="dxa"/>
            <w:shd w:fill="D9EAF7"/>
          </w:tcPr>
          <w:p w14:paraId="5F6B2661" wp14:textId="77777777">
            <w:r>
              <w:rPr>
                <w:b/>
                <w:sz w:val="17"/>
              </w:rPr>
              <w:t>Confidence</w:t>
            </w:r>
          </w:p>
        </w:tc>
        <w:tc>
          <w:tcPr>
            <w:tcW w:w="9792" w:type="dxa"/>
            <w:shd w:fill="D9EAF7"/>
          </w:tcPr>
          <w:p w14:paraId="3DA1D686" wp14:textId="77777777">
            <w:r>
              <w:rPr>
                <w:b/>
                <w:sz w:val="17"/>
              </w:rPr>
              <w:t>Definition</w:t>
            </w:r>
          </w:p>
        </w:tc>
      </w:tr>
      <w:tr xmlns:wp14="http://schemas.microsoft.com/office/word/2010/wordml" w14:paraId="45BCE912" wp14:textId="77777777">
        <w:tc>
          <w:tcPr>
            <w:tcW w:w="1728" w:type="dxa"/>
            <w:vAlign w:val="top"/>
          </w:tcPr>
          <w:p w14:paraId="402007E8" wp14:textId="77777777">
            <w:r>
              <w:rPr>
                <w:sz w:val="16"/>
              </w:rPr>
              <w:t>HIGH</w:t>
            </w:r>
          </w:p>
        </w:tc>
        <w:tc>
          <w:tcPr>
            <w:tcW w:w="9792" w:type="dxa"/>
            <w:vAlign w:val="top"/>
          </w:tcPr>
          <w:p w14:paraId="3D26386A" wp14:textId="77777777">
            <w:r>
              <w:rPr>
                <w:sz w:val="16"/>
              </w:rPr>
              <w:t>Evidence is consistent; take-off is materially reconciled; required pricing is resolved; no material issue remains.</w:t>
            </w:r>
          </w:p>
        </w:tc>
      </w:tr>
      <w:tr xmlns:wp14="http://schemas.microsoft.com/office/word/2010/wordml" w14:paraId="170DD871" wp14:textId="77777777">
        <w:tc>
          <w:tcPr>
            <w:tcW w:w="1728" w:type="dxa"/>
            <w:vAlign w:val="top"/>
          </w:tcPr>
          <w:p w14:paraId="29CEDAB8" wp14:textId="77777777">
            <w:r>
              <w:rPr>
                <w:sz w:val="16"/>
              </w:rPr>
              <w:t>MEDIUM</w:t>
            </w:r>
          </w:p>
        </w:tc>
        <w:tc>
          <w:tcPr>
            <w:tcW w:w="9792" w:type="dxa"/>
            <w:vAlign w:val="top"/>
          </w:tcPr>
          <w:p w14:paraId="0052A273" wp14:textId="77777777">
            <w:r>
              <w:rPr>
                <w:sz w:val="16"/>
              </w:rPr>
              <w:t>Minor known gaps/assumptions remain but are explicitly qualified and cannot materially change the tender.</w:t>
            </w:r>
          </w:p>
        </w:tc>
      </w:tr>
      <w:tr xmlns:wp14="http://schemas.microsoft.com/office/word/2010/wordml" w14:paraId="5BB01810" wp14:textId="77777777">
        <w:tc>
          <w:tcPr>
            <w:tcW w:w="1728" w:type="dxa"/>
            <w:vAlign w:val="top"/>
          </w:tcPr>
          <w:p w14:paraId="2C8E610A" wp14:textId="77777777">
            <w:r>
              <w:rPr>
                <w:sz w:val="16"/>
              </w:rPr>
              <w:t>LOW</w:t>
            </w:r>
          </w:p>
        </w:tc>
        <w:tc>
          <w:tcPr>
            <w:tcW w:w="9792" w:type="dxa"/>
            <w:vAlign w:val="top"/>
          </w:tcPr>
          <w:p w14:paraId="7D9237C6" wp14:textId="77777777">
            <w:r>
              <w:rPr>
                <w:sz w:val="16"/>
              </w:rPr>
              <w:t>Material uncertainty, discrepancy, missing evidence or unresolved pricing/risk remains.</w:t>
            </w:r>
          </w:p>
        </w:tc>
      </w:tr>
    </w:tbl>
    <w:p xmlns:wp14="http://schemas.microsoft.com/office/word/2010/wordml" w14:paraId="4327F944" wp14:textId="77777777">
      <w:pPr>
        <w:pStyle w:val="Heading1"/>
      </w:pPr>
      <w:r w:rsidR="3F8F4C21">
        <w:rPr/>
        <w:t>5. Required commercial output</w:t>
      </w:r>
    </w:p>
    <w:p w:rsidR="3F8F4C21" w:rsidP="3F8F4C21" w:rsidRDefault="3F8F4C21" w14:paraId="4F052FD9" w14:textId="6B8EF7C2">
      <w:pPr>
        <w:pStyle w:val="ListBullet"/>
        <w:rPr/>
      </w:pPr>
      <w:r w:rsidR="3F8F4C21">
        <w:rPr/>
        <w:t>Calculated ROR: $___ per budgeted labour hour</w:t>
      </w:r>
    </w:p>
    <w:p xmlns:wp14="http://schemas.microsoft.com/office/word/2010/wordml" w14:paraId="7DE768A8" wp14:textId="77777777">
      <w:pPr>
        <w:pStyle w:val="ListBullet"/>
        <w:spacing w:after="40"/>
        <w:rPr/>
      </w:pPr>
      <w:r w:rsidR="3F8F4C21">
        <w:rPr/>
        <w:t>ROR Rating: Red / Amber / Acceptable / Green / Strong / Excellent</w:t>
      </w:r>
    </w:p>
    <w:p w:rsidR="3F8F4C21" w:rsidP="3F8F4C21" w:rsidRDefault="3F8F4C21" w14:paraId="0FDDA155" w14:textId="0A65B12F">
      <w:pPr>
        <w:pStyle w:val="ListBullet"/>
        <w:rPr/>
      </w:pPr>
      <w:r w:rsidR="3F8F4C21">
        <w:rPr/>
        <w:t>The target, minimum guide and reprice line applied, and the date of the Pricing Settings used</w:t>
      </w:r>
    </w:p>
    <w:p w:rsidR="3F8F4C21" w:rsidP="3F8F4C21" w:rsidRDefault="3F8F4C21" w14:paraId="31581FF5" w14:textId="264B9499">
      <w:pPr>
        <w:pStyle w:val="ListBullet"/>
        <w:rPr/>
      </w:pPr>
      <w:r w:rsidR="3F8F4C21">
        <w:rPr/>
        <w:t>Gross margin % and gross profit $ — and whether margin sits inside the target range, between target and floor, or below the floor</w:t>
      </w:r>
    </w:p>
    <w:p w:rsidR="3F8F4C21" w:rsidP="3F8F4C21" w:rsidRDefault="3F8F4C21" w14:paraId="70EAA575" w14:textId="7186F997">
      <w:pPr>
        <w:pStyle w:val="ListBullet"/>
        <w:rPr/>
      </w:pPr>
      <w:r w:rsidR="3F8F4C21">
        <w:rPr/>
        <w:t>Budgeted labour hours, whether they are credible against Rules of Thumb, and crew-days against the programme</w:t>
      </w:r>
    </w:p>
    <w:p w:rsidR="3F8F4C21" w:rsidP="3F8F4C21" w:rsidRDefault="3F8F4C21" w14:paraId="303936A5" w14:textId="71148F5D">
      <w:pPr>
        <w:pStyle w:val="ListBullet"/>
        <w:rPr/>
      </w:pPr>
      <w:r w:rsidR="3F8F4C21">
        <w:rPr/>
        <w:t>Major direct-cost exposure (materials, subcontractors, hire, crane and lifting)</w:t>
      </w:r>
    </w:p>
    <w:p w:rsidR="3F8F4C21" w:rsidP="3F8F4C21" w:rsidRDefault="3F8F4C21" w14:paraId="7B27203E" w14:textId="046656D8">
      <w:pPr>
        <w:pStyle w:val="ListBullet"/>
        <w:rPr/>
      </w:pPr>
      <w:r w:rsidR="3F8F4C21">
        <w:rPr/>
        <w:t>Confirmation that all applicable manual Nexvia items were entered before these figures were read</w:t>
      </w:r>
    </w:p>
    <w:p w:rsidR="3F8F4C21" w:rsidP="3F8F4C21" w:rsidRDefault="3F8F4C21" w14:paraId="7B254952" w14:textId="7AD9FF59">
      <w:pPr>
        <w:pStyle w:val="ListBullet"/>
        <w:rPr/>
      </w:pPr>
      <w:r w:rsidR="3F8F4C21">
        <w:rPr/>
        <w:t>Project value against the single-job size guide</w:t>
      </w:r>
    </w:p>
    <w:p w:rsidR="3F8F4C21" w:rsidP="3F8F4C21" w:rsidRDefault="3F8F4C21" w14:paraId="1BD30EF1" w14:textId="42A45BBA">
      <w:pPr>
        <w:pStyle w:val="ListBullet"/>
        <w:rPr/>
      </w:pPr>
      <w:r w:rsidR="3F8F4C21">
        <w:rPr/>
        <w:t>Commercial comment: whether the labour capacity committed to this job earns an acceptable return, and any pricing or risk issue requiring review, with the specific question for the approver</w:t>
      </w:r>
    </w:p>
    <w:p w:rsidR="3F8F4C21" w:rsidP="3F8F4C21" w:rsidRDefault="3F8F4C21" w14:paraId="7EADE670" w14:textId="5DE90A5F">
      <w:pPr>
        <w:pStyle w:val="Heading1"/>
      </w:pPr>
      <w:r w:rsidR="3F8F4C21">
        <w:rPr/>
        <w:t>6. Rules now confirmed, and what is still open</w:t>
      </w:r>
    </w:p>
    <w:p w:rsidR="3F8F4C21" w:rsidP="3F8F4C21" w:rsidRDefault="3F8F4C21" w14:paraId="40730A6F" w14:textId="25302168">
      <w:pPr>
        <w:pStyle w:val="Normal"/>
      </w:pPr>
      <w:r w:rsidR="3F8F4C21">
        <w:rPr/>
        <w:t>Confirmed since this document was written:</w:t>
      </w:r>
    </w:p>
    <w:p w:rsidR="3F8F4C21" w:rsidP="3F8F4C21" w:rsidRDefault="3F8F4C21" w14:paraId="0D336179" w14:textId="0921609D">
      <w:pPr>
        <w:pStyle w:val="ListBullet"/>
        <w:rPr/>
      </w:pPr>
      <w:r w:rsidR="3F8F4C21">
        <w:rPr/>
        <w:t>Gross margin: whole-job target 30–32%, review floor 28% (Pricing Settings). Margin by job type is still not differentiated.</w:t>
      </w:r>
    </w:p>
    <w:p w:rsidR="3F8F4C21" w:rsidP="3F8F4C21" w:rsidRDefault="3F8F4C21" w14:paraId="22E33C16" w14:textId="1837F717">
      <w:pPr>
        <w:pStyle w:val="ListBullet"/>
        <w:rPr/>
      </w:pPr>
      <w:r w:rsidR="3F8F4C21">
        <w:rPr/>
        <w:t>Labour production rates, difficulty loadings, preliminaries, wastage, material rules and commonly missed items: all in “Formclad – Estimating Rules of Thumb – CURRENT” (v1.0, 23 Sep 2026). Loadings MULTIPLY, and above a combined 1.60 the labour goes to the Operations Approver. That document replaces the wastage and difficulty lists previously carried here and in the SOP.</w:t>
      </w:r>
    </w:p>
    <w:p w:rsidR="3F8F4C21" w:rsidP="3F8F4C21" w:rsidRDefault="3F8F4C21" w14:paraId="0A8C14FF" w14:textId="10C83E3F">
      <w:pPr>
        <w:pStyle w:val="ListBullet"/>
        <w:rPr/>
      </w:pPr>
      <w:r w:rsidR="3F8F4C21">
        <w:rPr/>
        <w:t>Project-value limit: single job about 10% of annual revenue, currently about $225,000; above this needs both approvers.</w:t>
      </w:r>
    </w:p>
    <w:p w:rsidR="3F8F4C21" w:rsidP="3F8F4C21" w:rsidRDefault="3F8F4C21" w14:paraId="2FE51C0E" w14:textId="40F35DE6">
      <w:pPr>
        <w:pStyle w:val="ListBullet"/>
        <w:rPr/>
      </w:pPr>
      <w:r w:rsidR="3F8F4C21">
        <w:rPr/>
        <w:t>Delegated approval limits: set out in Approval Authorities, by issue type rather than quote value.</w:t>
      </w:r>
    </w:p>
    <w:p w:rsidR="3F8F4C21" w:rsidP="3F8F4C21" w:rsidRDefault="3F8F4C21" w14:paraId="160B289B" w14:textId="0DA9B86A">
      <w:pPr>
        <w:pStyle w:val="ListBullet"/>
        <w:rPr/>
      </w:pPr>
      <w:r w:rsidR="3F8F4C21">
        <w:rPr/>
        <w:t>Crane and lifting: minimum allowance per crane day where no quote is held and fork access is not guaranteed (Pricing Settings).</w:t>
      </w:r>
    </w:p>
    <w:p w:rsidR="3F8F4C21" w:rsidP="3F8F4C21" w:rsidRDefault="3F8F4C21" w14:paraId="766320B4" w14:textId="6C33BAB4">
      <w:pPr>
        <w:pStyle w:val="Normal"/>
      </w:pPr>
      <w:r w:rsidR="3F8F4C21">
        <w:rPr/>
        <w:t>Still requiring formal confirmation:</w:t>
      </w:r>
    </w:p>
    <w:p w:rsidR="3F8F4C21" w:rsidP="3F8F4C21" w:rsidRDefault="3F8F4C21" w14:paraId="445A7C64" w14:textId="2677DE7C">
      <w:pPr>
        <w:pStyle w:val="ListBullet"/>
        <w:rPr/>
      </w:pPr>
      <w:r w:rsidR="3F8F4C21">
        <w:rPr/>
        <w:t>Whether gross margin targets should differ by job type (architectural residential, small commercial, remedial or re-roofing).</w:t>
      </w:r>
    </w:p>
    <w:p w:rsidR="3F8F4C21" w:rsidP="3F8F4C21" w:rsidRDefault="3F8F4C21" w14:paraId="15FA3F9A" w14:textId="79B290DA">
      <w:pPr>
        <w:pStyle w:val="ListBullet"/>
        <w:rPr/>
      </w:pPr>
      <w:r w:rsidR="3F8F4C21">
        <w:rPr/>
        <w:t>Whether any builder, client or location limits apply.</w:t>
      </w:r>
    </w:p>
    <w:p w:rsidR="3F8F4C21" w:rsidP="3F8F4C21" w:rsidRDefault="3F8F4C21" w14:paraId="67092E94" w14:textId="48145F71">
      <w:pPr>
        <w:pStyle w:val="ListBullet"/>
        <w:rPr/>
      </w:pPr>
      <w:r w:rsidR="3F8F4C21">
        <w:rPr/>
        <w:t>The estimate labour sell allocation: $110/hr in the V7.3 master, $120/hr in Nexvia’s labour type settings.</w:t>
      </w:r>
    </w:p>
    <w:p w:rsidR="3F8F4C21" w:rsidP="3F8F4C21" w:rsidRDefault="3F8F4C21" w14:paraId="59E52AF7" w14:textId="222897F5">
      <w:pPr>
        <w:pStyle w:val="Normal"/>
      </w:pPr>
      <w:r w:rsidRPr="3F8F4C21" w:rsidR="3F8F4C21">
        <w:rPr>
          <w:b w:val="1"/>
          <w:bCs w:val="1"/>
        </w:rPr>
        <w:t xml:space="preserve">Control note: </w:t>
      </w:r>
      <w:r w:rsidR="3F8F4C21">
        <w:rPr/>
        <w:t>Where an older SOP, template or workbook conflicts with this rule set, flag the conflict rather than silently choosing a rule. Pricing Settings is the current authority for figures; Rules of Thumb is the current authority for estimating rates and allowances; this document is the current authority for how they are applied.</w:t>
      </w:r>
    </w:p>
    <w:sectPr w:rsidRPr="0006063C" w:rsidR="00FC693F" w:rsidSect="00034616">
      <w:pgSz w:w="12240" w:h="15840" w:orient="portrait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8F4C21"/>
    <w:rsid w:val="6C1866EA"/>
    <w:rsid w:val="7816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C1CCFDA-B4D0-4768-9EF4-2EE0C3D711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7365D" w:themeColor="text2" w:themeShade="BF"/>
      <w:spacing w:val="5"/>
      <w:kern w:val="28"/>
      <w:sz w:val="4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5F682596B7C74BBAC291B699ADA42B" ma:contentTypeVersion="0" ma:contentTypeDescription="Create a new document." ma:contentTypeScope="" ma:versionID="5e2ca917bac5c7f5daad3eca3e697ea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0E8291-8558-43CE-B7FD-B5A9E1D28CC3}"/>
</file>

<file path=customXml/itemProps3.xml><?xml version="1.0" encoding="utf-8"?>
<ds:datastoreItem xmlns:ds="http://schemas.openxmlformats.org/officeDocument/2006/customXml" ds:itemID="{087CDD38-A28E-4EE2-AE7D-555DB16AD6A8}"/>
</file>

<file path=customXml/itemProps4.xml><?xml version="1.0" encoding="utf-8"?>
<ds:datastoreItem xmlns:ds="http://schemas.openxmlformats.org/officeDocument/2006/customXml" ds:itemID="{45988869-A1CD-4278-83B4-2BD4CFAEE6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Sofia Calado</lastModifiedBy>
  <revision>2</revision>
  <dcterms:created xsi:type="dcterms:W3CDTF">2013-12-23T23:15:00.0000000Z</dcterms:created>
  <dcterms:modified xsi:type="dcterms:W3CDTF">2026-09-23T06:16:01.2742240Z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0x010100585F682596B7C74BBAC291B699ADA42B</vt:lpwstr>
  </property>
  <property fmtid="{D5CDD505-2E9C-101B-9397-08002B2CF9AE}" pid="4" name="docLang">
    <vt:lpwstr>en</vt:lpwstr>
  </property>
  <property fmtid="{D5CDD505-2E9C-101B-9397-08002B2CF9AE}" pid="5" name="Order">
    <vt:r8>448400</vt:r8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_ExtendedDescription">
    <vt:lpwstr/>
  </property>
  <property fmtid="{D5CDD505-2E9C-101B-9397-08002B2CF9AE}" pid="9" name="_CopySource">
    <vt:lpwstr>https://formclad-my.sharepoint.com/personal/sofia_formclad_com_au/Documents/Microsoft Copilot Chat Files/Formclad_Estimate_Review_Commercial_Rules_and_Delegation.docx</vt:lpwstr>
  </property>
</Properties>
</file>