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Aptos SemiBold" w:hAnsi="Aptos SemiBold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inline xmlns:a="http://schemas.openxmlformats.org/drawingml/2006/main" xmlns:pic="http://schemas.openxmlformats.org/drawingml/2006/picture">
          <wp:extent cx="5976000" cy="57021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rug-banne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976000" cy="570210"/>
                  </a:xfrm>
                  <a:prstGeom prst="rect"/>
                </pic:spPr>
              </pic:pic>
            </a:graphicData>
          </a:graphic>
        </wp:inline>
      </w:drawing>
    </w:r>
  </w:p>
  <w:p>
    <w:pPr>
      <w:pStyle w:val="Sender"/>
      <w:spacing w:before="200"/>
      <w:jc w:val="right"/>
    </w:pPr>
    <w:r>
      <w:rPr>
        <w:rFonts w:ascii="Aptos SemiBold" w:hAnsi="Aptos SemiBold"/>
        <w:color w:val="03090F"/>
      </w:rPr>
      <w:t>Name Surname</w:t>
    </w:r>
    <w:r>
      <w:t xml:space="preserve">  ·  name@rug.nl  ·  formingworlds.space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Aptos" w:hAnsi="Aptos" w:eastAsia="Aptos" w:cs="Aptos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