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cc1c5315ec05b9e6368932c7d4eac9b349bd803"/>
    <w:p>
      <w:pPr>
        <w:pStyle w:val="Heading1"/>
      </w:pPr>
      <w:r>
        <w:t xml:space="preserve">AI‑Native Workflow Standards for High‑Stakes Processes</w:t>
      </w:r>
    </w:p>
    <w:bookmarkStart w:id="31" w:name="core-process-orchestration-models"/>
    <w:p>
      <w:pPr>
        <w:pStyle w:val="Heading2"/>
      </w:pPr>
      <w:r>
        <w:t xml:space="preserve">Core Process &amp; Orchestration Models</w:t>
      </w:r>
    </w:p>
    <w:p>
      <w:pPr>
        <w:pStyle w:val="FirstParagraph"/>
      </w:pPr>
      <w:r>
        <w:t xml:space="preserve">A robust foundation is the</w:t>
      </w:r>
      <w:r>
        <w:t xml:space="preserve"> </w:t>
      </w:r>
      <w:r>
        <w:rPr>
          <w:b/>
          <w:bCs/>
        </w:rPr>
        <w:t xml:space="preserve">“triple crown”</w:t>
      </w:r>
      <w:r>
        <w:t xml:space="preserve"> </w:t>
      </w:r>
      <w:r>
        <w:t xml:space="preserve">of workflow standards: BPMN (for explicit flow models), DMN (for decision logic), and CMMN (for case management)</w:t>
      </w:r>
      <w:hyperlink r:id="rId21">
        <w:r>
          <w:rPr>
            <w:rStyle w:val="Hyperlink"/>
          </w:rPr>
          <w:t xml:space="preserve">[1]</w:t>
        </w:r>
      </w:hyperlink>
      <w:hyperlink r:id="rId22">
        <w:r>
          <w:rPr>
            <w:rStyle w:val="Hyperlink"/>
          </w:rPr>
          <w:t xml:space="preserve">[2]</w:t>
        </w:r>
      </w:hyperlink>
      <w:r>
        <w:t xml:space="preserve">. BPMN 2.0 is the de‑facto flow notation – graphical yet precise enough to execute (stakeholder‑friendly flowcharts that map to software)</w:t>
      </w:r>
      <w:hyperlink r:id="rId23">
        <w:r>
          <w:rPr>
            <w:rStyle w:val="Hyperlink"/>
          </w:rPr>
          <w:t xml:space="preserve">[3]</w:t>
        </w:r>
      </w:hyperlink>
      <w:r>
        <w:t xml:space="preserve">. DMN provides decision tables/rules that complement processes</w:t>
      </w:r>
      <w:hyperlink r:id="rId24">
        <w:r>
          <w:rPr>
            <w:rStyle w:val="Hyperlink"/>
          </w:rPr>
          <w:t xml:space="preserve">[4]</w:t>
        </w:r>
      </w:hyperlink>
      <w:r>
        <w:t xml:space="preserve">. CMMN adds support for open‑ended, event‑driven cases (knowledge‑worker tasks)</w:t>
      </w:r>
      <w:hyperlink r:id="rId25">
        <w:r>
          <w:rPr>
            <w:rStyle w:val="Hyperlink"/>
          </w:rPr>
          <w:t xml:space="preserve">[5]</w:t>
        </w:r>
      </w:hyperlink>
      <w:r>
        <w:t xml:space="preserve">. Together BPMN+CMMN+DMN cover much of prescriptive, reactive, and decision logic</w:t>
      </w:r>
      <w:hyperlink r:id="rId22">
        <w:r>
          <w:rPr>
            <w:rStyle w:val="Hyperlink"/>
          </w:rPr>
          <w:t xml:space="preserve">[2]</w:t>
        </w:r>
      </w:hyperlink>
      <w:r>
        <w:t xml:space="preserve">.</w:t>
      </w:r>
    </w:p>
    <w:p>
      <w:pPr>
        <w:pStyle w:val="BodyText"/>
      </w:pPr>
      <w:r>
        <w:t xml:space="preserve">Beyond OMG standards,</w:t>
      </w:r>
      <w:r>
        <w:t xml:space="preserve"> </w:t>
      </w:r>
      <w:r>
        <w:rPr>
          <w:b/>
          <w:bCs/>
        </w:rPr>
        <w:t xml:space="preserve">SCXML</w:t>
      </w:r>
      <w:r>
        <w:t xml:space="preserve"> </w:t>
      </w:r>
      <w:r>
        <w:t xml:space="preserve">(W3C statechart XML) offers a proven, hierarchical state‑machine semantics (parallel states, events, data model)</w:t>
      </w:r>
      <w:hyperlink r:id="rId26">
        <w:r>
          <w:rPr>
            <w:rStyle w:val="Hyperlink"/>
          </w:rPr>
          <w:t xml:space="preserve">[6]</w:t>
        </w:r>
      </w:hyperlink>
      <w:r>
        <w:t xml:space="preserve">. Cloud‑native initiatives like AWS’s Amazon States Language (for Step Functions) and CNCF’s</w:t>
      </w:r>
      <w:r>
        <w:t xml:space="preserve"> </w:t>
      </w:r>
      <w:r>
        <w:rPr>
          <w:b/>
          <w:bCs/>
        </w:rPr>
        <w:t xml:space="preserve">Serverless Workflow</w:t>
      </w:r>
      <w:r>
        <w:t xml:space="preserve"> </w:t>
      </w:r>
      <w:r>
        <w:t xml:space="preserve">spec show modern JSON/YAML DSLs for orchestration</w:t>
      </w:r>
      <w:hyperlink r:id="rId27">
        <w:r>
          <w:rPr>
            <w:rStyle w:val="Hyperlink"/>
          </w:rPr>
          <w:t xml:space="preserve">[7]</w:t>
        </w:r>
      </w:hyperlink>
      <w:hyperlink r:id="rId28">
        <w:r>
          <w:rPr>
            <w:rStyle w:val="Hyperlink"/>
          </w:rPr>
          <w:t xml:space="preserve">[8]</w:t>
        </w:r>
      </w:hyperlink>
      <w:r>
        <w:t xml:space="preserve">. Arazzo (OpenAPI Initiative) similarly embeds API calls and even AI agents into orchestrations. Legacy languages (BPEL/WS‑HumanTask, XPDL) taught hard lessons but are heavy; their durable abstractions (e.g. atomic scopes, compensation) can be adapted or retired.</w:t>
      </w:r>
    </w:p>
    <w:p>
      <w:pPr>
        <w:pStyle w:val="BodyText"/>
      </w:pPr>
      <w:r>
        <w:rPr>
          <w:b/>
          <w:bCs/>
        </w:rPr>
        <w:t xml:space="preserve">Durable patterns</w:t>
      </w:r>
      <w:r>
        <w:t xml:space="preserve"> </w:t>
      </w:r>
      <w:r>
        <w:t xml:space="preserve">(sagas, compensation, event sourcing) must be built in. Research shows many engines lack support for subtle control patterns: e.g. implicit (late) choices or complex synchronizations are often unsupported</w:t>
      </w:r>
      <w:hyperlink r:id="rId29">
        <w:r>
          <w:rPr>
            <w:rStyle w:val="Hyperlink"/>
          </w:rPr>
          <w:t xml:space="preserve">[9]</w:t>
        </w:r>
      </w:hyperlink>
      <w:hyperlink r:id="rId30">
        <w:r>
          <w:rPr>
            <w:rStyle w:val="Hyperlink"/>
          </w:rPr>
          <w:t xml:space="preserve">[10]</w:t>
        </w:r>
      </w:hyperlink>
      <w:r>
        <w:t xml:space="preserve">. Petri‑net‐style models excel at concurrency but struggle with multi‐instance loops and cancellation</w:t>
      </w:r>
      <w:hyperlink r:id="rId30">
        <w:r>
          <w:rPr>
            <w:rStyle w:val="Hyperlink"/>
          </w:rPr>
          <w:t xml:space="preserve">[10]</w:t>
        </w:r>
      </w:hyperlink>
      <w:r>
        <w:t xml:space="preserve">. A modern standard should</w:t>
      </w:r>
      <w:r>
        <w:t xml:space="preserve"> </w:t>
      </w:r>
      <w:r>
        <w:rPr>
          <w:b/>
          <w:bCs/>
        </w:rPr>
        <w:t xml:space="preserve">adopt</w:t>
      </w:r>
      <w:r>
        <w:t xml:space="preserve"> </w:t>
      </w:r>
      <w:r>
        <w:t xml:space="preserve">explicit support for common workflow patterns (splits/joins, multi‑instance, transactions) while</w:t>
      </w:r>
      <w:r>
        <w:t xml:space="preserve"> </w:t>
      </w:r>
      <w:r>
        <w:rPr>
          <w:b/>
          <w:bCs/>
        </w:rPr>
        <w:t xml:space="preserve">highlighting</w:t>
      </w:r>
      <w:r>
        <w:t xml:space="preserve"> </w:t>
      </w:r>
      <w:r>
        <w:t xml:space="preserve">less‑supported patterns (late choice, complex cancellation) as areas needing careful design or extension.</w:t>
      </w:r>
    </w:p>
    <w:bookmarkEnd w:id="31"/>
    <w:bookmarkStart w:id="35" w:name="human-tasks-case-management"/>
    <w:p>
      <w:pPr>
        <w:pStyle w:val="Heading2"/>
      </w:pPr>
      <w:r>
        <w:t xml:space="preserve">Human Tasks &amp; Case Management</w:t>
      </w:r>
    </w:p>
    <w:p>
      <w:pPr>
        <w:pStyle w:val="FirstParagraph"/>
      </w:pPr>
      <w:r>
        <w:t xml:space="preserve">Standards like OASIS</w:t>
      </w:r>
      <w:r>
        <w:t xml:space="preserve"> </w:t>
      </w:r>
      <w:r>
        <w:rPr>
          <w:b/>
          <w:bCs/>
        </w:rPr>
        <w:t xml:space="preserve">WS‑HumanTask</w:t>
      </w:r>
      <w:r>
        <w:t xml:space="preserve"> </w:t>
      </w:r>
      <w:r>
        <w:t xml:space="preserve">(with BPEL4People) define rich task lifecycles (states</w:t>
      </w:r>
      <w:r>
        <w:t xml:space="preserve"> </w:t>
      </w:r>
      <w:r>
        <w:rPr>
          <w:i/>
          <w:iCs/>
        </w:rPr>
        <w:t xml:space="preserve">Created, Ready, Reserved, InProgress, Completed</w:t>
      </w:r>
      <w:r>
        <w:t xml:space="preserve">, etc.) with operations for claim/unclaim, start, delegate, fail, skip and deadlines</w:t>
      </w:r>
      <w:hyperlink r:id="rId32">
        <w:r>
          <w:rPr>
            <w:rStyle w:val="Hyperlink"/>
          </w:rPr>
          <w:t xml:space="preserve">[11]</w:t>
        </w:r>
      </w:hyperlink>
      <w:r>
        <w:t xml:space="preserve">. These reflect real human‑in‑loop semantics: assignment, delegation, retraction, suspension. We should</w:t>
      </w:r>
      <w:r>
        <w:t xml:space="preserve"> </w:t>
      </w:r>
      <w:r>
        <w:rPr>
          <w:b/>
          <w:bCs/>
        </w:rPr>
        <w:t xml:space="preserve">adopt</w:t>
      </w:r>
      <w:r>
        <w:t xml:space="preserve"> </w:t>
      </w:r>
      <w:r>
        <w:t xml:space="preserve">these lifecycle concepts: tasks should carry metadata (assignees, due dates, outcomes) and support operations (delegate, suspend, escalate). CMMN’s case model explicitly treats tasks/events/discretionary items, enabling rework and ad‑hoc insertion</w:t>
      </w:r>
      <w:hyperlink r:id="rId25">
        <w:r>
          <w:rPr>
            <w:rStyle w:val="Hyperlink"/>
          </w:rPr>
          <w:t xml:space="preserve">[5]</w:t>
        </w:r>
      </w:hyperlink>
      <w:r>
        <w:t xml:space="preserve">; its “case file” (mutable data) is a useful concept. Domain exemplars like</w:t>
      </w:r>
      <w:r>
        <w:t xml:space="preserve"> </w:t>
      </w:r>
      <w:r>
        <w:rPr>
          <w:b/>
          <w:bCs/>
        </w:rPr>
        <w:t xml:space="preserve">FHIR PlanDefinition/ActivityDefinition</w:t>
      </w:r>
      <w:r>
        <w:t xml:space="preserve"> </w:t>
      </w:r>
      <w:r>
        <w:t xml:space="preserve">(defines healthcare protocols) plus</w:t>
      </w:r>
      <w:r>
        <w:t xml:space="preserve"> </w:t>
      </w:r>
      <w:r>
        <w:rPr>
          <w:b/>
          <w:bCs/>
        </w:rPr>
        <w:t xml:space="preserve">FHIR Task</w:t>
      </w:r>
      <w:r>
        <w:t xml:space="preserve"> </w:t>
      </w:r>
      <w:r>
        <w:t xml:space="preserve">(an actionable work item) illustrate interoperability of tasks (with states tracked through completion)</w:t>
      </w:r>
      <w:hyperlink r:id="rId33">
        <w:r>
          <w:rPr>
            <w:rStyle w:val="Hyperlink"/>
          </w:rPr>
          <w:t xml:space="preserve">[12]</w:t>
        </w:r>
      </w:hyperlink>
      <w:hyperlink r:id="rId34">
        <w:r>
          <w:rPr>
            <w:rStyle w:val="Hyperlink"/>
          </w:rPr>
          <w:t xml:space="preserve">[13]</w:t>
        </w:r>
      </w:hyperlink>
      <w:r>
        <w:t xml:space="preserve">.</w:t>
      </w:r>
    </w:p>
    <w:p>
      <w:pPr>
        <w:pStyle w:val="BodyText"/>
      </w:pPr>
      <w:r>
        <w:rPr>
          <w:b/>
          <w:bCs/>
        </w:rPr>
        <w:t xml:space="preserve">Missing</w:t>
      </w:r>
      <w:r>
        <w:t xml:space="preserve"> </w:t>
      </w:r>
      <w:r>
        <w:t xml:space="preserve">from most specs is fine‑grained work management: e.g. skill‑based routing, SLA clocks, partial worksets, selective visibility, notes/evidence attached to tasks. These cross‑cut all high‑stakes domains (grants, benefits, compliance). A new standard should</w:t>
      </w:r>
      <w:r>
        <w:t xml:space="preserve"> </w:t>
      </w:r>
      <w:r>
        <w:rPr>
          <w:b/>
          <w:bCs/>
        </w:rPr>
        <w:t xml:space="preserve">adapt</w:t>
      </w:r>
      <w:r>
        <w:t xml:space="preserve"> </w:t>
      </w:r>
      <w:r>
        <w:t xml:space="preserve">WS‑HumanTask by including features like assignment rules, override rights, annotation slots, and rework flows. It should also</w:t>
      </w:r>
      <w:r>
        <w:t xml:space="preserve"> </w:t>
      </w:r>
      <w:r>
        <w:rPr>
          <w:b/>
          <w:bCs/>
        </w:rPr>
        <w:t xml:space="preserve">adopt</w:t>
      </w:r>
      <w:r>
        <w:t xml:space="preserve"> </w:t>
      </w:r>
      <w:r>
        <w:t xml:space="preserve">the notion of a “case file” (carries evolving evidence) from CMMN. If out of scope, explicit mention of UI/UX details (e.g. inbox design) can be avoided, but tasks themselves must be first-class, not mere loopbacks in a process.</w:t>
      </w:r>
    </w:p>
    <w:bookmarkEnd w:id="35"/>
    <w:bookmarkStart w:id="36" w:name="formal-semantics-execution-models"/>
    <w:p>
      <w:pPr>
        <w:pStyle w:val="Heading2"/>
      </w:pPr>
      <w:r>
        <w:t xml:space="preserve">Formal Semantics &amp; Execution Models</w:t>
      </w:r>
    </w:p>
    <w:p>
      <w:pPr>
        <w:pStyle w:val="FirstParagraph"/>
      </w:pPr>
      <w:r>
        <w:t xml:space="preserve">Workflow correctness demands solid formal underpinnings. Hierarchical finite state machines (statecharts) with events and data offer well-understood semantics (SCXML is one instantiation)</w:t>
      </w:r>
      <w:hyperlink r:id="rId26">
        <w:r>
          <w:rPr>
            <w:rStyle w:val="Hyperlink"/>
          </w:rPr>
          <w:t xml:space="preserve">[6]</w:t>
        </w:r>
      </w:hyperlink>
      <w:r>
        <w:t xml:space="preserve">. Petri nets (and high‑level colored nets) underlie many analytic results; however, as YAWL notes,</w:t>
      </w:r>
      <w:r>
        <w:t xml:space="preserve"> </w:t>
      </w:r>
      <w:r>
        <w:rPr>
          <w:i/>
          <w:iCs/>
        </w:rPr>
        <w:t xml:space="preserve">even advanced Petri‑net models hit limits</w:t>
      </w:r>
      <w:r>
        <w:t xml:space="preserve"> </w:t>
      </w:r>
      <w:r>
        <w:t xml:space="preserve">on multi-instance patterns, complex joins, and cancellation</w:t>
      </w:r>
      <w:hyperlink r:id="rId30">
        <w:r>
          <w:rPr>
            <w:rStyle w:val="Hyperlink"/>
          </w:rPr>
          <w:t xml:space="preserve">[10]</w:t>
        </w:r>
      </w:hyperlink>
      <w:r>
        <w:t xml:space="preserve">. Saga patterns and compensation handlers (as in durable transactions) must be explicit in the model.</w:t>
      </w:r>
    </w:p>
    <w:p>
      <w:pPr>
        <w:pStyle w:val="BodyText"/>
      </w:pPr>
      <w:r>
        <w:t xml:space="preserve">Declarative or constraint models (DECLARE, DCR Graphs, GSM) encode</w:t>
      </w:r>
      <w:r>
        <w:t xml:space="preserve"> </w:t>
      </w:r>
      <w:r>
        <w:rPr>
          <w:i/>
          <w:iCs/>
        </w:rPr>
        <w:t xml:space="preserve">what</w:t>
      </w:r>
      <w:r>
        <w:t xml:space="preserve"> </w:t>
      </w:r>
      <w:r>
        <w:t xml:space="preserve">must happen rather than</w:t>
      </w:r>
      <w:r>
        <w:t xml:space="preserve"> </w:t>
      </w:r>
      <w:r>
        <w:rPr>
          <w:i/>
          <w:iCs/>
        </w:rPr>
        <w:t xml:space="preserve">how</w:t>
      </w:r>
      <w:r>
        <w:t xml:space="preserve">. These approaches handle uncertainty (missing data, evolving conditions) elegantly and deserve consideration: e.g. adding a constraint layer atop flow to express obligations, permissions, prohibitions (deontic logic). We should</w:t>
      </w:r>
      <w:r>
        <w:t xml:space="preserve"> </w:t>
      </w:r>
      <w:r>
        <w:rPr>
          <w:b/>
          <w:bCs/>
        </w:rPr>
        <w:t xml:space="preserve">adopt</w:t>
      </w:r>
      <w:r>
        <w:t xml:space="preserve"> </w:t>
      </w:r>
      <w:r>
        <w:t xml:space="preserve">core state/action constructs (like</w:t>
      </w:r>
      <w:r>
        <w:t xml:space="preserve"> </w:t>
      </w:r>
      <w:r>
        <w:rPr>
          <w:i/>
          <w:iCs/>
        </w:rPr>
        <w:t xml:space="preserve">Entity/Activity/Agent</w:t>
      </w:r>
      <w:r>
        <w:t xml:space="preserve"> </w:t>
      </w:r>
      <w:r>
        <w:t xml:space="preserve">in PROV) and</w:t>
      </w:r>
      <w:r>
        <w:t xml:space="preserve"> </w:t>
      </w:r>
      <w:r>
        <w:rPr>
          <w:b/>
          <w:bCs/>
        </w:rPr>
        <w:t xml:space="preserve">adapt</w:t>
      </w:r>
      <w:r>
        <w:t xml:space="preserve"> </w:t>
      </w:r>
      <w:r>
        <w:t xml:space="preserve">pattern catalogs (e.g. Workflow Patterns) to ensure support for exceptional flows. Any elegant theory (e.g. implicit OR‑joins) that is brittle in practice should be marked</w:t>
      </w:r>
      <w:r>
        <w:t xml:space="preserve"> </w:t>
      </w:r>
      <w:r>
        <w:rPr>
          <w:b/>
          <w:bCs/>
        </w:rPr>
        <w:t xml:space="preserve">adapt</w:t>
      </w:r>
      <w:r>
        <w:t xml:space="preserve"> </w:t>
      </w:r>
      <w:r>
        <w:t xml:space="preserve">or</w:t>
      </w:r>
      <w:r>
        <w:t xml:space="preserve"> </w:t>
      </w:r>
      <w:r>
        <w:rPr>
          <w:b/>
          <w:bCs/>
        </w:rPr>
        <w:t xml:space="preserve">out-of-scope</w:t>
      </w:r>
      <w:r>
        <w:t xml:space="preserve"> </w:t>
      </w:r>
      <w:r>
        <w:t xml:space="preserve">(use guarded tasks instead).</w:t>
      </w:r>
    </w:p>
    <w:bookmarkEnd w:id="36"/>
    <w:bookmarkStart w:id="38" w:name="decision-policy-and-authorization"/>
    <w:p>
      <w:pPr>
        <w:pStyle w:val="Heading2"/>
      </w:pPr>
      <w:r>
        <w:t xml:space="preserve">Decision, Policy, and Authorization</w:t>
      </w:r>
    </w:p>
    <w:p>
      <w:pPr>
        <w:pStyle w:val="FirstParagraph"/>
      </w:pPr>
      <w:r>
        <w:t xml:space="preserve">Decisions and policies should be distinct from flow.</w:t>
      </w:r>
      <w:r>
        <w:t xml:space="preserve"> </w:t>
      </w:r>
      <w:r>
        <w:rPr>
          <w:b/>
          <w:bCs/>
        </w:rPr>
        <w:t xml:space="preserve">Adopt</w:t>
      </w:r>
      <w:r>
        <w:t xml:space="preserve"> </w:t>
      </w:r>
      <w:r>
        <w:t xml:space="preserve">decision models like DMN for business rules and eligibility logic</w:t>
      </w:r>
      <w:hyperlink r:id="rId24">
        <w:r>
          <w:rPr>
            <w:rStyle w:val="Hyperlink"/>
          </w:rPr>
          <w:t xml:space="preserve">[4]</w:t>
        </w:r>
      </w:hyperlink>
      <w:r>
        <w:t xml:space="preserve">. The new standard should allow plugging in an external policy engine via a standard interface (a request context → decision + obligations). XACML illustrates the power of attribute‑based control: it separates PDP/PEP, combines policies, and supports obligations</w:t>
      </w:r>
      <w:hyperlink r:id="rId37">
        <w:r>
          <w:rPr>
            <w:rStyle w:val="Hyperlink"/>
          </w:rPr>
          <w:t xml:space="preserve">[14]</w:t>
        </w:r>
      </w:hyperlink>
      <w:r>
        <w:t xml:space="preserve">. We should</w:t>
      </w:r>
      <w:r>
        <w:t xml:space="preserve"> </w:t>
      </w:r>
      <w:r>
        <w:rPr>
          <w:b/>
          <w:bCs/>
        </w:rPr>
        <w:t xml:space="preserve">adopt</w:t>
      </w:r>
      <w:r>
        <w:t xml:space="preserve"> </w:t>
      </w:r>
      <w:r>
        <w:t xml:space="preserve">this separation: design for a policy evaluation point (PDP) that can use rich policy languages (ABAC, even deontic rules) without hard‑coding a single policy DSL. Essential capabilities (perhaps</w:t>
      </w:r>
      <w:r>
        <w:t xml:space="preserve"> </w:t>
      </w:r>
      <w:r>
        <w:rPr>
          <w:b/>
          <w:bCs/>
        </w:rPr>
        <w:t xml:space="preserve">missing</w:t>
      </w:r>
      <w:r>
        <w:t xml:space="preserve"> </w:t>
      </w:r>
      <w:r>
        <w:t xml:space="preserve">today) include: versioned policy sets, hierarchical inheritance, conflict resolution strategies, temporal attributes (effective/expiry), and rights/governance tags on tasks or evidence. The standard might define a</w:t>
      </w:r>
      <w:r>
        <w:t xml:space="preserve"> </w:t>
      </w:r>
      <w:r>
        <w:rPr>
          <w:i/>
          <w:iCs/>
        </w:rPr>
        <w:t xml:space="preserve">policy evaluation API</w:t>
      </w:r>
      <w:r>
        <w:t xml:space="preserve"> </w:t>
      </w:r>
      <w:r>
        <w:t xml:space="preserve">(input: subject/action/context; output: allow/deny plus advice/obligations), but leave the policy language choice open.</w:t>
      </w:r>
    </w:p>
    <w:bookmarkEnd w:id="38"/>
    <w:bookmarkStart w:id="39" w:name="data-contracts-schemas"/>
    <w:p>
      <w:pPr>
        <w:pStyle w:val="Heading2"/>
      </w:pPr>
      <w:r>
        <w:t xml:space="preserve">Data Contracts &amp; Schemas</w:t>
      </w:r>
    </w:p>
    <w:p>
      <w:pPr>
        <w:pStyle w:val="FirstParagraph"/>
      </w:pPr>
      <w:r>
        <w:t xml:space="preserve">Workflows move data. We should</w:t>
      </w:r>
      <w:r>
        <w:t xml:space="preserve"> </w:t>
      </w:r>
      <w:r>
        <w:rPr>
          <w:b/>
          <w:bCs/>
        </w:rPr>
        <w:t xml:space="preserve">adopt</w:t>
      </w:r>
      <w:r>
        <w:t xml:space="preserve"> </w:t>
      </w:r>
      <w:r>
        <w:t xml:space="preserve">JSON/YAML schemas for all structured artifacts (tasks, decisions, evidence). JSON Schema is pervasive; OpenAPI (REST/GraphQL) and AsyncAPI (event streams) are de‑facto for interfaces. The standard must mandate explicit schemas for inputs/outputs of tasks and tools, with versioning. Typed envelopes (with schema URIs and content hashes) can ensure idempotency/replay.</w:t>
      </w:r>
      <w:r>
        <w:t xml:space="preserve"> </w:t>
      </w:r>
      <w:r>
        <w:rPr>
          <w:b/>
          <w:bCs/>
        </w:rPr>
        <w:t xml:space="preserve">Missing</w:t>
      </w:r>
      <w:r>
        <w:t xml:space="preserve"> </w:t>
      </w:r>
      <w:r>
        <w:t xml:space="preserve">today is a general affordance model for non-HTTP tools (e.g. graph‑query, shell commands, proprietary services). We might adapt interfaces like CWL (in bioinformatics) or Helm charts: separate</w:t>
      </w:r>
      <w:r>
        <w:t xml:space="preserve"> </w:t>
      </w:r>
      <w:r>
        <w:rPr>
          <w:i/>
          <w:iCs/>
        </w:rPr>
        <w:t xml:space="preserve">tool definition</w:t>
      </w:r>
      <w:r>
        <w:t xml:space="preserve"> </w:t>
      </w:r>
      <w:r>
        <w:t xml:space="preserve">(input/output schema, invocation command) from</w:t>
      </w:r>
      <w:r>
        <w:t xml:space="preserve"> </w:t>
      </w:r>
      <w:r>
        <w:rPr>
          <w:i/>
          <w:iCs/>
        </w:rPr>
        <w:t xml:space="preserve">workflow composition</w:t>
      </w:r>
      <w:r>
        <w:t xml:space="preserve">. Migration/versioning rules (evolution of schemas without breaking existing cases) should be prescribed (semantic versioning, compatibility checks).</w:t>
      </w:r>
    </w:p>
    <w:bookmarkEnd w:id="39"/>
    <w:bookmarkStart w:id="41" w:name="eventing-integration"/>
    <w:p>
      <w:pPr>
        <w:pStyle w:val="Heading2"/>
      </w:pPr>
      <w:r>
        <w:t xml:space="preserve">Eventing &amp; Integration</w:t>
      </w:r>
    </w:p>
    <w:p>
      <w:pPr>
        <w:pStyle w:val="FirstParagraph"/>
      </w:pPr>
      <w:r>
        <w:t xml:space="preserve">Workflows often rely on asynchronous events.</w:t>
      </w:r>
      <w:r>
        <w:t xml:space="preserve"> </w:t>
      </w:r>
      <w:r>
        <w:rPr>
          <w:b/>
          <w:bCs/>
        </w:rPr>
        <w:t xml:space="preserve">Adopt</w:t>
      </w:r>
      <w:r>
        <w:t xml:space="preserve"> </w:t>
      </w:r>
      <w:r>
        <w:t xml:space="preserve">standards like</w:t>
      </w:r>
      <w:r>
        <w:t xml:space="preserve"> </w:t>
      </w:r>
      <w:r>
        <w:rPr>
          <w:b/>
          <w:bCs/>
        </w:rPr>
        <w:t xml:space="preserve">CloudEvents</w:t>
      </w:r>
      <w:r>
        <w:t xml:space="preserve"> </w:t>
      </w:r>
      <w:r>
        <w:t xml:space="preserve">(CNCF) for event envelope format</w:t>
      </w:r>
      <w:hyperlink r:id="rId40">
        <w:r>
          <w:rPr>
            <w:rStyle w:val="Hyperlink"/>
          </w:rPr>
          <w:t xml:space="preserve">[15]</w:t>
        </w:r>
      </w:hyperlink>
      <w:r>
        <w:t xml:space="preserve"> </w:t>
      </w:r>
      <w:r>
        <w:t xml:space="preserve">and W3C Trace Context for correlation. Design should include stable IDs and causal links. Idempotency must be explicit: e.g. allow clients to supply</w:t>
      </w:r>
      <w:r>
        <w:t xml:space="preserve"> </w:t>
      </w:r>
      <w:r>
        <w:rPr>
          <w:i/>
          <w:iCs/>
        </w:rPr>
        <w:t xml:space="preserve">idempotency keys</w:t>
      </w:r>
      <w:r>
        <w:t xml:space="preserve"> </w:t>
      </w:r>
      <w:r>
        <w:t xml:space="preserve">for steps or events, and record event hashes to detect duplicates. Replay semantics (e.g. of CloudEvent in durable logs) must be clear. The standard should reference delivery guarantees (at-least-once with dedupe, exactly-once via confirmations) as profiles. Enterprise integration patterns (channels, message buses, pub/sub, etc.) inform this: e.g. define standard topics for inter-org handoffs, backlog isolation (queues), and dead-letter channels. While not reinventing these, the workflow spec should accommodate hooking into any message transport with minimal glue.</w:t>
      </w:r>
    </w:p>
    <w:bookmarkEnd w:id="41"/>
    <w:bookmarkStart w:id="43" w:name="provenance-audit-observability"/>
    <w:p>
      <w:pPr>
        <w:pStyle w:val="Heading2"/>
      </w:pPr>
      <w:r>
        <w:t xml:space="preserve">Provenance, Audit, &amp; Observability</w:t>
      </w:r>
    </w:p>
    <w:p>
      <w:pPr>
        <w:pStyle w:val="FirstParagraph"/>
      </w:pPr>
      <w:r>
        <w:t xml:space="preserve">Transparency demands a rich audit trail.</w:t>
      </w:r>
      <w:r>
        <w:t xml:space="preserve"> </w:t>
      </w:r>
      <w:r>
        <w:rPr>
          <w:b/>
          <w:bCs/>
        </w:rPr>
        <w:t xml:space="preserve">Adopt</w:t>
      </w:r>
      <w:r>
        <w:t xml:space="preserve"> </w:t>
      </w:r>
      <w:r>
        <w:t xml:space="preserve">W3C PROV-DM ontology for core provenance: every</w:t>
      </w:r>
      <w:r>
        <w:t xml:space="preserve"> </w:t>
      </w:r>
      <w:r>
        <w:rPr>
          <w:i/>
          <w:iCs/>
        </w:rPr>
        <w:t xml:space="preserve">Entity</w:t>
      </w:r>
      <w:r>
        <w:t xml:space="preserve"> </w:t>
      </w:r>
      <w:r>
        <w:t xml:space="preserve">(data, case),</w:t>
      </w:r>
      <w:r>
        <w:t xml:space="preserve"> </w:t>
      </w:r>
      <w:r>
        <w:rPr>
          <w:i/>
          <w:iCs/>
        </w:rPr>
        <w:t xml:space="preserve">Activity</w:t>
      </w:r>
      <w:r>
        <w:t xml:space="preserve"> </w:t>
      </w:r>
      <w:r>
        <w:t xml:space="preserve">(action, decision),</w:t>
      </w:r>
      <w:r>
        <w:t xml:space="preserve"> </w:t>
      </w:r>
      <w:r>
        <w:rPr>
          <w:i/>
          <w:iCs/>
        </w:rPr>
        <w:t xml:space="preserve">Agent</w:t>
      </w:r>
      <w:r>
        <w:t xml:space="preserve"> </w:t>
      </w:r>
      <w:r>
        <w:t xml:space="preserve">(human/system/AI) is recorded with</w:t>
      </w:r>
      <w:r>
        <w:t xml:space="preserve"> </w:t>
      </w:r>
      <w:r>
        <w:rPr>
          <w:i/>
          <w:iCs/>
        </w:rPr>
        <w:t xml:space="preserve">used/wasGeneratedBy</w:t>
      </w:r>
      <w:r>
        <w:t xml:space="preserve"> </w:t>
      </w:r>
      <w:r>
        <w:t xml:space="preserve">edges</w:t>
      </w:r>
      <w:hyperlink r:id="rId42">
        <w:r>
          <w:rPr>
            <w:rStyle w:val="Hyperlink"/>
          </w:rPr>
          <w:t xml:space="preserve">[16]</w:t>
        </w:r>
      </w:hyperlink>
      <w:r>
        <w:t xml:space="preserve">. Crucially, distinguish</w:t>
      </w:r>
      <w:r>
        <w:t xml:space="preserve"> </w:t>
      </w:r>
      <w:r>
        <w:rPr>
          <w:i/>
          <w:iCs/>
        </w:rPr>
        <w:t xml:space="preserve">factual events</w:t>
      </w:r>
      <w:r>
        <w:t xml:space="preserve"> </w:t>
      </w:r>
      <w:r>
        <w:t xml:space="preserve">from</w:t>
      </w:r>
      <w:r>
        <w:t xml:space="preserve"> </w:t>
      </w:r>
      <w:r>
        <w:rPr>
          <w:i/>
          <w:iCs/>
        </w:rPr>
        <w:t xml:space="preserve">derived narrative</w:t>
      </w:r>
      <w:r>
        <w:t xml:space="preserve">: e.g. record the raw outputs of an AI tool (as evidence) versus any human‑written summary. Logs should be</w:t>
      </w:r>
      <w:r>
        <w:t xml:space="preserve"> </w:t>
      </w:r>
      <w:r>
        <w:rPr>
          <w:b/>
          <w:bCs/>
        </w:rPr>
        <w:t xml:space="preserve">immutable</w:t>
      </w:r>
      <w:r>
        <w:t xml:space="preserve"> </w:t>
      </w:r>
      <w:r>
        <w:t xml:space="preserve">(append-only) and tamper-evident (e.g. cryptographic chaining). Multi-layer logs help: factual level (timestamps, inputs/outputs), structural level (workflow state transitions), and explanatory level (rationale text). Object-centric logging (tying events to business objects/cases) should be supported, not just per-instance traces. The standard can</w:t>
      </w:r>
      <w:r>
        <w:t xml:space="preserve"> </w:t>
      </w:r>
      <w:r>
        <w:rPr>
          <w:b/>
          <w:bCs/>
        </w:rPr>
        <w:t xml:space="preserve">adapt</w:t>
      </w:r>
      <w:r>
        <w:t xml:space="preserve"> </w:t>
      </w:r>
      <w:r>
        <w:t xml:space="preserve">by prescribing a reference audit schema (perhaps aligned to PROV-O or a domain meta-model) and validators to check consistency. Conformance profiles might require secure logging (e.g. write-only storage, Merkle proofs) for high-assurance environments.</w:t>
      </w:r>
    </w:p>
    <w:bookmarkEnd w:id="43"/>
    <w:bookmarkStart w:id="46" w:name="durable-execution-resilience"/>
    <w:p>
      <w:pPr>
        <w:pStyle w:val="Heading2"/>
      </w:pPr>
      <w:r>
        <w:t xml:space="preserve">Durable Execution &amp; Resilience</w:t>
      </w:r>
    </w:p>
    <w:p>
      <w:pPr>
        <w:pStyle w:val="FirstParagraph"/>
      </w:pPr>
      <w:r>
        <w:t xml:space="preserve">Workflows must survive faults and long waits. We should</w:t>
      </w:r>
      <w:r>
        <w:t xml:space="preserve"> </w:t>
      </w:r>
      <w:r>
        <w:rPr>
          <w:b/>
          <w:bCs/>
        </w:rPr>
        <w:t xml:space="preserve">adopt</w:t>
      </w:r>
      <w:r>
        <w:t xml:space="preserve"> </w:t>
      </w:r>
      <w:r>
        <w:t xml:space="preserve">patterns for retries, timeouts, and durable state. For example, modern engines like Temporal persist an append-only event log of “activities invoked + results”</w:t>
      </w:r>
      <w:hyperlink r:id="rId44">
        <w:r>
          <w:rPr>
            <w:rStyle w:val="Hyperlink"/>
          </w:rPr>
          <w:t xml:space="preserve">[17]</w:t>
        </w:r>
      </w:hyperlink>
      <w:r>
        <w:t xml:space="preserve">. Similarly, the standard should treat each step (including AI/tool calls) as</w:t>
      </w:r>
      <w:r>
        <w:t xml:space="preserve"> </w:t>
      </w:r>
      <w:r>
        <w:rPr>
          <w:b/>
          <w:bCs/>
        </w:rPr>
        <w:t xml:space="preserve">external interactions whose results are recorded</w:t>
      </w:r>
      <w:r>
        <w:t xml:space="preserve">. This enables replay from any point: nondeterministic steps (LLM outputs) become fixed on first execution (like capturing a random seed). Features needed include versioning of the workflow logic (allowing “code upgrades” mid-flight) and deterministic replay modes. Compensation/saga constructs must be explicit: the standard should describe “compensating actions” (rollbacks) attached to steps. Patterns like backoff algorithms and queueing for retries should be configurable declaratively (as Temporal does)</w:t>
      </w:r>
      <w:hyperlink r:id="rId45">
        <w:r>
          <w:rPr>
            <w:rStyle w:val="Hyperlink"/>
          </w:rPr>
          <w:t xml:space="preserve">[18]</w:t>
        </w:r>
      </w:hyperlink>
      <w:r>
        <w:t xml:space="preserve">. In short,</w:t>
      </w:r>
      <w:r>
        <w:t xml:space="preserve"> </w:t>
      </w:r>
      <w:r>
        <w:rPr>
          <w:b/>
          <w:bCs/>
        </w:rPr>
        <w:t xml:space="preserve">missed</w:t>
      </w:r>
      <w:r>
        <w:t xml:space="preserve"> </w:t>
      </w:r>
      <w:r>
        <w:t xml:space="preserve">capabilities (relative to traditional BPM) like durable timers, checkpointing, and kill-switches (emergency abort) should be first-class in the spec, not afterthoughts.</w:t>
      </w:r>
    </w:p>
    <w:bookmarkEnd w:id="46"/>
    <w:bookmarkStart w:id="48" w:name="ainative-authoring-validation"/>
    <w:p>
      <w:pPr>
        <w:pStyle w:val="Heading2"/>
      </w:pPr>
      <w:r>
        <w:t xml:space="preserve">AI‑Native Authoring &amp; Validation</w:t>
      </w:r>
    </w:p>
    <w:p>
      <w:pPr>
        <w:pStyle w:val="FirstParagraph"/>
      </w:pPr>
      <w:r>
        <w:t xml:space="preserve">The standard itself should be</w:t>
      </w:r>
      <w:r>
        <w:t xml:space="preserve"> </w:t>
      </w:r>
      <w:r>
        <w:rPr>
          <w:b/>
          <w:bCs/>
        </w:rPr>
        <w:t xml:space="preserve">easy for LLMs to generate and reason about</w:t>
      </w:r>
      <w:r>
        <w:t xml:space="preserve">. This means using structured JSON/YAML syntax with explicit types, rather than free-form text. A declarative</w:t>
      </w:r>
      <w:r>
        <w:t xml:space="preserve"> </w:t>
      </w:r>
      <w:r>
        <w:rPr>
          <w:b/>
          <w:bCs/>
        </w:rPr>
        <w:t xml:space="preserve">pipeline DSL</w:t>
      </w:r>
      <w:r>
        <w:t xml:space="preserve"> </w:t>
      </w:r>
      <w:r>
        <w:t xml:space="preserve">(as proposed in recent research) can express common patterns (parallel forks, filters, loops) as high-level primitives</w:t>
      </w:r>
      <w:hyperlink r:id="rId47">
        <w:r>
          <w:rPr>
            <w:rStyle w:val="Hyperlink"/>
          </w:rPr>
          <w:t xml:space="preserve">[19]</w:t>
        </w:r>
      </w:hyperlink>
      <w:r>
        <w:t xml:space="preserve">. We should</w:t>
      </w:r>
      <w:r>
        <w:t xml:space="preserve"> </w:t>
      </w:r>
      <w:r>
        <w:rPr>
          <w:b/>
          <w:bCs/>
        </w:rPr>
        <w:t xml:space="preserve">adopt</w:t>
      </w:r>
      <w:r>
        <w:t xml:space="preserve"> </w:t>
      </w:r>
      <w:r>
        <w:t xml:space="preserve">a small core grammar (states, transitions, tasks, data) and allow annotations for natural‑language descriptions. To facilitate AI tools, include machine‑readable schemas and semantic metadata so that an LLM can validate and propose edits: e.g., a “variable references undefined data” or “deferred choice without event” warning. Provide hooks for static analysis: checking coverage of branches, unreachable tasks, contradictory rules. Simulation should be supported (generate a test trace, optionally with stochastic variations) to verify the workflow. Conceptually, think “GitHub Copilot for workflows”: the standard’s format should allow round‑tripping between a flowchart/English spec and the executable definition. A canonical serialization (e.g. sorted keys, normalized JSON-LD context) is needed so definitions can be hashed/signed for provenance.</w:t>
      </w:r>
      <w:r>
        <w:t xml:space="preserve"> </w:t>
      </w:r>
      <w:r>
        <w:rPr>
          <w:b/>
          <w:bCs/>
        </w:rPr>
        <w:t xml:space="preserve">Missing</w:t>
      </w:r>
      <w:r>
        <w:t xml:space="preserve"> </w:t>
      </w:r>
      <w:r>
        <w:t xml:space="preserve">in legacy specs is any notion of “semantic diff” or refactoring; a modern standard can define structured edit operations (add/remove step, change decision) with known effects.</w:t>
      </w:r>
    </w:p>
    <w:bookmarkEnd w:id="48"/>
    <w:bookmarkStart w:id="49" w:name="ai-agents-human-oversight"/>
    <w:p>
      <w:pPr>
        <w:pStyle w:val="Heading2"/>
      </w:pPr>
      <w:r>
        <w:t xml:space="preserve">AI Agents &amp; Human Oversight</w:t>
      </w:r>
    </w:p>
    <w:p>
      <w:pPr>
        <w:pStyle w:val="FirstParagraph"/>
      </w:pPr>
      <w:r>
        <w:t xml:space="preserve">This standard’s raison d’être is high‑stakes</w:t>
      </w:r>
      <w:r>
        <w:t xml:space="preserve"> </w:t>
      </w:r>
      <w:r>
        <w:rPr>
          <w:b/>
          <w:bCs/>
        </w:rPr>
        <w:t xml:space="preserve">AI-assisted</w:t>
      </w:r>
      <w:r>
        <w:t xml:space="preserve"> </w:t>
      </w:r>
      <w:r>
        <w:t xml:space="preserve">workflows. Thus we must treat agents as first-class</w:t>
      </w:r>
      <w:r>
        <w:t xml:space="preserve"> </w:t>
      </w:r>
      <w:r>
        <w:rPr>
          <w:i/>
          <w:iCs/>
        </w:rPr>
        <w:t xml:space="preserve">actors</w:t>
      </w:r>
      <w:r>
        <w:t xml:space="preserve"> </w:t>
      </w:r>
      <w:r>
        <w:t xml:space="preserve">(alongside human and system roles). The spec should support multi-agent steps: e.g. “LLM proposes a solution, then worker reviews”. Key needs include</w:t>
      </w:r>
      <w:r>
        <w:t xml:space="preserve"> </w:t>
      </w:r>
      <w:r>
        <w:rPr>
          <w:b/>
          <w:bCs/>
        </w:rPr>
        <w:t xml:space="preserve">clear modes of autonomy</w:t>
      </w:r>
      <w:r>
        <w:t xml:space="preserve">: e.g. permissible degree of agent decision‑making, and explicit</w:t>
      </w:r>
      <w:r>
        <w:t xml:space="preserve"> </w:t>
      </w:r>
      <w:r>
        <w:rPr>
          <w:i/>
          <w:iCs/>
        </w:rPr>
        <w:t xml:space="preserve">abstention</w:t>
      </w:r>
      <w:r>
        <w:t xml:space="preserve"> </w:t>
      </w:r>
      <w:r>
        <w:t xml:space="preserve">(“I’m not confident enough”) outputs. Control transfer semantics must be defined: distinction between “proposal” (agent suggestion) vs “commit” (recorded action). Agents often behave nondeterministically; the standard should mandate logging of full prompt, model version, confidence, and structured outputs. Prompt injection and policy drift hazards mean workflows need guardrails: e.g. tasks where agent input is validated by another system or human step.</w:t>
      </w:r>
    </w:p>
    <w:p>
      <w:pPr>
        <w:pStyle w:val="BodyText"/>
      </w:pPr>
      <w:r>
        <w:t xml:space="preserve">Human-on‑loop models should be specified with care: e.g. an “escalation” step should include confidence thresholds and must notify the human decision-maker of model uncertainty. Merely inserting a human after an AI doesn’t suffice; timing and clarity matter. The spec might define special constructs like</w:t>
      </w:r>
      <w:r>
        <w:t xml:space="preserve"> </w:t>
      </w:r>
      <w:r>
        <w:rPr>
          <w:i/>
          <w:iCs/>
        </w:rPr>
        <w:t xml:space="preserve">Ask Human</w:t>
      </w:r>
      <w:r>
        <w:t xml:space="preserve"> </w:t>
      </w:r>
      <w:r>
        <w:t xml:space="preserve">or</w:t>
      </w:r>
      <w:r>
        <w:t xml:space="preserve"> </w:t>
      </w:r>
      <w:r>
        <w:rPr>
          <w:i/>
          <w:iCs/>
        </w:rPr>
        <w:t xml:space="preserve">Sanction</w:t>
      </w:r>
      <w:r>
        <w:t xml:space="preserve"> </w:t>
      </w:r>
      <w:r>
        <w:t xml:space="preserve">that trigger review only in adverse scenarios.</w:t>
      </w:r>
      <w:r>
        <w:t xml:space="preserve"> </w:t>
      </w:r>
      <w:r>
        <w:rPr>
          <w:b/>
          <w:bCs/>
        </w:rPr>
        <w:t xml:space="preserve">Missing</w:t>
      </w:r>
      <w:r>
        <w:t xml:space="preserve"> </w:t>
      </w:r>
      <w:r>
        <w:t xml:space="preserve">today in both AI and BPM is a rigorous way to capture agent reasoning and counterfactuals: e.g. if an AI denies a benefit, the workflow should automatically generate a “reason code” artifact and an appeal subflow.</w:t>
      </w:r>
    </w:p>
    <w:p>
      <w:pPr>
        <w:pStyle w:val="BodyText"/>
      </w:pPr>
      <w:r>
        <w:t xml:space="preserve">For agent interactions, follow modern protocols (e.g. OpenAI function calling) but</w:t>
      </w:r>
      <w:r>
        <w:t xml:space="preserve"> </w:t>
      </w:r>
      <w:r>
        <w:rPr>
          <w:b/>
          <w:bCs/>
        </w:rPr>
        <w:t xml:space="preserve">adapt</w:t>
      </w:r>
      <w:r>
        <w:t xml:space="preserve"> </w:t>
      </w:r>
      <w:r>
        <w:t xml:space="preserve">them into workflow semantics: each tool/API call should be modeled as an idempotent, schema‑typed step (with input/output digests) so that the orchestrator can simulate or review it. Delegation chains (AI → AI → human) must preserve accountability: track which agent (or persona) made each suggestion. The standard might even allow labeling steps by “trust level” of actor. In short, define “agent involvement constraints”: metadata on activities specifying whether they are</w:t>
      </w:r>
      <w:r>
        <w:t xml:space="preserve"> </w:t>
      </w:r>
      <w:r>
        <w:rPr>
          <w:i/>
          <w:iCs/>
        </w:rPr>
        <w:t xml:space="preserve">automated, human-review, or AI-autonomous</w:t>
      </w:r>
      <w:r>
        <w:t xml:space="preserve"> </w:t>
      </w:r>
      <w:r>
        <w:t xml:space="preserve">and rules for when override is required. These go beyond mere flow: they embed governance into the workflow’s core.</w:t>
      </w:r>
    </w:p>
    <w:bookmarkEnd w:id="49"/>
    <w:bookmarkStart w:id="52" w:name="governance-impact-legal-frameworks"/>
    <w:p>
      <w:pPr>
        <w:pStyle w:val="Heading2"/>
      </w:pPr>
      <w:r>
        <w:t xml:space="preserve">Governance, Impact &amp; Legal Frameworks</w:t>
      </w:r>
    </w:p>
    <w:p>
      <w:pPr>
        <w:pStyle w:val="FirstParagraph"/>
      </w:pPr>
      <w:r>
        <w:t xml:space="preserve">High‑stakes workflows often fall under law. We must bake in rights and safeguards. For example, the EU AI Act (for high‑risk systems)</w:t>
      </w:r>
      <w:r>
        <w:t xml:space="preserve"> </w:t>
      </w:r>
      <w:r>
        <w:rPr>
          <w:b/>
          <w:bCs/>
        </w:rPr>
        <w:t xml:space="preserve">mandates</w:t>
      </w:r>
      <w:r>
        <w:t xml:space="preserve"> </w:t>
      </w:r>
      <w:r>
        <w:t xml:space="preserve">built‑in logging and human‑oversight capabilities</w:t>
      </w:r>
      <w:hyperlink r:id="rId50">
        <w:r>
          <w:rPr>
            <w:rStyle w:val="Hyperlink"/>
          </w:rPr>
          <w:t xml:space="preserve">[20]</w:t>
        </w:r>
      </w:hyperlink>
      <w:r>
        <w:t xml:space="preserve">. NIST’s voluntary AI RMF urges “trustworthiness by design”</w:t>
      </w:r>
      <w:hyperlink r:id="rId51">
        <w:r>
          <w:rPr>
            <w:rStyle w:val="Hyperlink"/>
          </w:rPr>
          <w:t xml:space="preserve">[21]</w:t>
        </w:r>
      </w:hyperlink>
      <w:r>
        <w:t xml:space="preserve">. U.S. and state laws (e.g. New York’s ADS law, Illinois law) demand transparency and appeal mechanisms. These translate into design requirements: workflows must enable</w:t>
      </w:r>
      <w:r>
        <w:t xml:space="preserve"> </w:t>
      </w:r>
      <w:r>
        <w:rPr>
          <w:b/>
          <w:bCs/>
        </w:rPr>
        <w:t xml:space="preserve">notice</w:t>
      </w:r>
      <w:r>
        <w:t xml:space="preserve"> </w:t>
      </w:r>
      <w:r>
        <w:t xml:space="preserve">(clearly log that an automated decision occurred),</w:t>
      </w:r>
      <w:r>
        <w:t xml:space="preserve"> </w:t>
      </w:r>
      <w:r>
        <w:rPr>
          <w:b/>
          <w:bCs/>
        </w:rPr>
        <w:t xml:space="preserve">explanation</w:t>
      </w:r>
      <w:r>
        <w:t xml:space="preserve"> </w:t>
      </w:r>
      <w:r>
        <w:t xml:space="preserve">(record the rules/evidence used), and</w:t>
      </w:r>
      <w:r>
        <w:t xml:space="preserve"> </w:t>
      </w:r>
      <w:r>
        <w:rPr>
          <w:b/>
          <w:bCs/>
        </w:rPr>
        <w:t xml:space="preserve">appeal flows</w:t>
      </w:r>
      <w:r>
        <w:t xml:space="preserve"> </w:t>
      </w:r>
      <w:r>
        <w:t xml:space="preserve">(grievance sub-process). We should treat these as</w:t>
      </w:r>
      <w:r>
        <w:t xml:space="preserve"> </w:t>
      </w:r>
      <w:r>
        <w:rPr>
          <w:b/>
          <w:bCs/>
        </w:rPr>
        <w:t xml:space="preserve">non-negotiable</w:t>
      </w:r>
      <w:r>
        <w:t xml:space="preserve"> </w:t>
      </w:r>
      <w:r>
        <w:t xml:space="preserve">constraints: any “AI step” might require a linked “compliance sub-workflow” (impact assessment, human review, customer notice).</w:t>
      </w:r>
    </w:p>
    <w:p>
      <w:pPr>
        <w:pStyle w:val="BodyText"/>
      </w:pPr>
      <w:r>
        <w:t xml:space="preserve">Specifically, incorporate a primitive for “due process” steps: e.g. after a denial decision, automatically create an “appeal” task that carries the original evidence and invites review. Represent obligations (e.g. “must notify user within 5 days”) in the process.</w:t>
      </w:r>
      <w:r>
        <w:t xml:space="preserve"> </w:t>
      </w:r>
      <w:r>
        <w:rPr>
          <w:i/>
          <w:iCs/>
        </w:rPr>
        <w:t xml:space="preserve">Delegating</w:t>
      </w:r>
      <w:r>
        <w:t xml:space="preserve"> </w:t>
      </w:r>
      <w:r>
        <w:t xml:space="preserve">these to informal policy is insufficient; if the standard is for public-sector workflows, it should include constructs for evidentiary notices, consent captures, and time‑boxed escalations. Parts of classical administrative law – like “defer decision until after hearing” – might be too deep for a core standard, but at least allow building such flows. Anything dealing with internal model chain‑of‑thought or proprietary prompts is</w:t>
      </w:r>
      <w:r>
        <w:t xml:space="preserve"> </w:t>
      </w:r>
      <w:r>
        <w:rPr>
          <w:b/>
          <w:bCs/>
        </w:rPr>
        <w:t xml:space="preserve">out of scope</w:t>
      </w:r>
      <w:r>
        <w:t xml:space="preserve">; rather, focus on logging what was delivered as output and linking it to policies.</w:t>
      </w:r>
    </w:p>
    <w:bookmarkEnd w:id="52"/>
    <w:bookmarkStart w:id="53" w:name="domain-exemplars-interoperability"/>
    <w:p>
      <w:pPr>
        <w:pStyle w:val="Heading2"/>
      </w:pPr>
      <w:r>
        <w:t xml:space="preserve">Domain Exemplars &amp; Interoperability</w:t>
      </w:r>
    </w:p>
    <w:p>
      <w:pPr>
        <w:pStyle w:val="FirstParagraph"/>
      </w:pPr>
      <w:r>
        <w:t xml:space="preserve">Look to sectors with high compliance: healthcare’s</w:t>
      </w:r>
      <w:r>
        <w:t xml:space="preserve"> </w:t>
      </w:r>
      <w:r>
        <w:rPr>
          <w:b/>
          <w:bCs/>
        </w:rPr>
        <w:t xml:space="preserve">HL7 FHIR</w:t>
      </w:r>
      <w:r>
        <w:t xml:space="preserve"> </w:t>
      </w:r>
      <w:r>
        <w:t xml:space="preserve">defines a rich “Workflow” hierarchy (PlanDefinition → ActivityDefinition → Request/Task)</w:t>
      </w:r>
      <w:hyperlink r:id="rId33">
        <w:r>
          <w:rPr>
            <w:rStyle w:val="Hyperlink"/>
          </w:rPr>
          <w:t xml:space="preserve">[12]</w:t>
        </w:r>
      </w:hyperlink>
      <w:hyperlink r:id="rId34">
        <w:r>
          <w:rPr>
            <w:rStyle w:val="Hyperlink"/>
          </w:rPr>
          <w:t xml:space="preserve">[13]</w:t>
        </w:r>
      </w:hyperlink>
      <w:r>
        <w:t xml:space="preserve">. Financial services use rigorously versioned APIs (Open Banking) and obligation standards (ISDA). E-government programs (like cross-agency case management) often define data exchange standards (NIEM schemas, electronic records rules). We should</w:t>
      </w:r>
      <w:r>
        <w:t xml:space="preserve"> </w:t>
      </w:r>
      <w:r>
        <w:rPr>
          <w:b/>
          <w:bCs/>
        </w:rPr>
        <w:t xml:space="preserve">adapt</w:t>
      </w:r>
      <w:r>
        <w:t xml:space="preserve"> </w:t>
      </w:r>
      <w:r>
        <w:t xml:space="preserve">proven constructs: for instance, FHIR’s Task resource is conceptually similar to a general “workflow step” and carries status and inputs. Interoperability proofs might include building profiles of our standard on top of FHIR or xAPI (Experience API) for auditing, or mapping policies to schema.org actions for legal contexts. While we cannot cover every domain, referencing a couple of matured ecosystems (e.g. eHealth, eGov) will ground the standard.</w:t>
      </w:r>
    </w:p>
    <w:bookmarkEnd w:id="53"/>
    <w:bookmarkStart w:id="54" w:name="X38d5bb746538dea70d5c9a8ea5762ffeddaee5d"/>
    <w:p>
      <w:pPr>
        <w:pStyle w:val="Heading2"/>
      </w:pPr>
      <w:r>
        <w:t xml:space="preserve">Concept Classification (Adopt/Adapt/Missing/Out‑of‑Scope)</w:t>
      </w:r>
    </w:p>
    <w:p>
      <w:pPr>
        <w:pStyle w:val="Compact"/>
        <w:numPr>
          <w:ilvl w:val="0"/>
          <w:numId w:val="1001"/>
        </w:numPr>
      </w:pPr>
      <w:r>
        <w:rPr>
          <w:b/>
          <w:bCs/>
        </w:rPr>
        <w:t xml:space="preserve">Flow Graph (BPMN/CMMN)</w:t>
      </w:r>
      <w:r>
        <w:t xml:space="preserve">:</w:t>
      </w:r>
      <w:r>
        <w:t xml:space="preserve"> </w:t>
      </w:r>
      <w:r>
        <w:rPr>
          <w:i/>
          <w:iCs/>
        </w:rPr>
        <w:t xml:space="preserve">Adopt</w:t>
      </w:r>
      <w:r>
        <w:t xml:space="preserve">. Proven, stakeholder-friendly. Should keep core flow constructs (tasks, gateways, events).</w:t>
      </w:r>
      <w:r>
        <w:t xml:space="preserve"> </w:t>
      </w:r>
      <w:r>
        <w:rPr>
          <w:b/>
          <w:bCs/>
        </w:rPr>
        <w:t xml:space="preserve">Adapt</w:t>
      </w:r>
      <w:r>
        <w:t xml:space="preserve"> </w:t>
      </w:r>
      <w:r>
        <w:t xml:space="preserve">by adding “agent” and “human” roles, and by making flows AI-aware (e.g. conditional branches on confidence values).</w:t>
      </w:r>
    </w:p>
    <w:p>
      <w:pPr>
        <w:pStyle w:val="Compact"/>
        <w:numPr>
          <w:ilvl w:val="0"/>
          <w:numId w:val="1001"/>
        </w:numPr>
      </w:pPr>
      <w:r>
        <w:rPr>
          <w:b/>
          <w:bCs/>
        </w:rPr>
        <w:t xml:space="preserve">Decision/Rules (DMN)</w:t>
      </w:r>
      <w:r>
        <w:t xml:space="preserve">:</w:t>
      </w:r>
      <w:r>
        <w:t xml:space="preserve"> </w:t>
      </w:r>
      <w:r>
        <w:rPr>
          <w:i/>
          <w:iCs/>
        </w:rPr>
        <w:t xml:space="preserve">Adopt</w:t>
      </w:r>
      <w:r>
        <w:t xml:space="preserve">. Provide separate decision graphs/tables. Include obligation and advice as in XACML for side-effects.</w:t>
      </w:r>
    </w:p>
    <w:p>
      <w:pPr>
        <w:pStyle w:val="Compact"/>
        <w:numPr>
          <w:ilvl w:val="0"/>
          <w:numId w:val="1001"/>
        </w:numPr>
      </w:pPr>
      <w:r>
        <w:rPr>
          <w:b/>
          <w:bCs/>
        </w:rPr>
        <w:t xml:space="preserve">Task Lifecycle</w:t>
      </w:r>
      <w:r>
        <w:t xml:space="preserve">:</w:t>
      </w:r>
      <w:r>
        <w:t xml:space="preserve"> </w:t>
      </w:r>
      <w:r>
        <w:rPr>
          <w:i/>
          <w:iCs/>
        </w:rPr>
        <w:t xml:space="preserve">Adopt</w:t>
      </w:r>
      <w:r>
        <w:t xml:space="preserve">. Use WS-HumanTask (Created→Ready→Reserved→Started→Completed).</w:t>
      </w:r>
      <w:r>
        <w:t xml:space="preserve"> </w:t>
      </w:r>
      <w:r>
        <w:rPr>
          <w:b/>
          <w:bCs/>
        </w:rPr>
        <w:t xml:space="preserve">Adapt</w:t>
      </w:r>
      <w:r>
        <w:t xml:space="preserve"> </w:t>
      </w:r>
      <w:r>
        <w:t xml:space="preserve">by marking tasks as</w:t>
      </w:r>
      <w:r>
        <w:t xml:space="preserve"> </w:t>
      </w:r>
      <w:r>
        <w:rPr>
          <w:i/>
          <w:iCs/>
        </w:rPr>
        <w:t xml:space="preserve">auto-filled</w:t>
      </w:r>
      <w:r>
        <w:t xml:space="preserve"> </w:t>
      </w:r>
      <w:r>
        <w:t xml:space="preserve">or</w:t>
      </w:r>
      <w:r>
        <w:t xml:space="preserve"> </w:t>
      </w:r>
      <w:r>
        <w:rPr>
          <w:i/>
          <w:iCs/>
        </w:rPr>
        <w:t xml:space="preserve">AI-proposed</w:t>
      </w:r>
      <w:r>
        <w:t xml:space="preserve"> </w:t>
      </w:r>
      <w:r>
        <w:t xml:space="preserve">and by adding explicit “Delegate to Agent” actions.</w:t>
      </w:r>
    </w:p>
    <w:p>
      <w:pPr>
        <w:pStyle w:val="Compact"/>
        <w:numPr>
          <w:ilvl w:val="0"/>
          <w:numId w:val="1001"/>
        </w:numPr>
      </w:pPr>
      <w:r>
        <w:rPr>
          <w:b/>
          <w:bCs/>
        </w:rPr>
        <w:t xml:space="preserve">State Machine Semantics (SCXML)</w:t>
      </w:r>
      <w:r>
        <w:t xml:space="preserve">:</w:t>
      </w:r>
      <w:r>
        <w:t xml:space="preserve"> </w:t>
      </w:r>
      <w:r>
        <w:rPr>
          <w:i/>
          <w:iCs/>
        </w:rPr>
        <w:t xml:space="preserve">Adapt</w:t>
      </w:r>
      <w:r>
        <w:t xml:space="preserve">. SCXML’s parallel states and event model are powerful; use as core semantics. Might slim features (omit obsolete layers) but preserve data-binding.</w:t>
      </w:r>
    </w:p>
    <w:p>
      <w:pPr>
        <w:pStyle w:val="Compact"/>
        <w:numPr>
          <w:ilvl w:val="0"/>
          <w:numId w:val="1001"/>
        </w:numPr>
      </w:pPr>
      <w:r>
        <w:rPr>
          <w:b/>
          <w:bCs/>
        </w:rPr>
        <w:t xml:space="preserve">Petri/Pattern Constructs</w:t>
      </w:r>
      <w:r>
        <w:t xml:space="preserve">:</w:t>
      </w:r>
      <w:r>
        <w:t xml:space="preserve"> </w:t>
      </w:r>
      <w:r>
        <w:rPr>
          <w:i/>
          <w:iCs/>
        </w:rPr>
        <w:t xml:space="preserve">Adapt</w:t>
      </w:r>
      <w:r>
        <w:t xml:space="preserve">. Encourage expressiveness for multi-instance, loops, compensations. Mark under‑supported patterns (implicit OR, multi-instance merge) as areas where workflows should explicitly model alternatives.</w:t>
      </w:r>
    </w:p>
    <w:p>
      <w:pPr>
        <w:pStyle w:val="Compact"/>
        <w:numPr>
          <w:ilvl w:val="0"/>
          <w:numId w:val="1001"/>
        </w:numPr>
      </w:pPr>
      <w:r>
        <w:rPr>
          <w:b/>
          <w:bCs/>
        </w:rPr>
        <w:t xml:space="preserve">Data Schemas (JSON/Avro)</w:t>
      </w:r>
      <w:r>
        <w:t xml:space="preserve">:</w:t>
      </w:r>
      <w:r>
        <w:t xml:space="preserve"> </w:t>
      </w:r>
      <w:r>
        <w:rPr>
          <w:i/>
          <w:iCs/>
        </w:rPr>
        <w:t xml:space="preserve">Adopt</w:t>
      </w:r>
      <w:r>
        <w:t xml:space="preserve">. Schema‑validate all data. Support evolution. Do</w:t>
      </w:r>
      <w:r>
        <w:t xml:space="preserve"> </w:t>
      </w:r>
      <w:r>
        <w:rPr>
          <w:b/>
          <w:bCs/>
        </w:rPr>
        <w:t xml:space="preserve">not</w:t>
      </w:r>
      <w:r>
        <w:t xml:space="preserve"> </w:t>
      </w:r>
      <w:r>
        <w:t xml:space="preserve">prescribe a single type system beyond JSON Schema/JSON-LD (keep language-agnostic).</w:t>
      </w:r>
    </w:p>
    <w:p>
      <w:pPr>
        <w:pStyle w:val="Compact"/>
        <w:numPr>
          <w:ilvl w:val="0"/>
          <w:numId w:val="1001"/>
        </w:numPr>
      </w:pPr>
      <w:r>
        <w:rPr>
          <w:b/>
          <w:bCs/>
        </w:rPr>
        <w:t xml:space="preserve">Messaging (CloudEvents, AsyncAPI)</w:t>
      </w:r>
      <w:r>
        <w:t xml:space="preserve">:</w:t>
      </w:r>
      <w:r>
        <w:t xml:space="preserve"> </w:t>
      </w:r>
      <w:r>
        <w:rPr>
          <w:i/>
          <w:iCs/>
        </w:rPr>
        <w:t xml:space="preserve">Adopt</w:t>
      </w:r>
      <w:r>
        <w:t xml:space="preserve">. Use CloudEvents for externals. Support callback/async triggers with correlation.</w:t>
      </w:r>
    </w:p>
    <w:p>
      <w:pPr>
        <w:pStyle w:val="Compact"/>
        <w:numPr>
          <w:ilvl w:val="0"/>
          <w:numId w:val="1001"/>
        </w:numPr>
      </w:pPr>
      <w:r>
        <w:rPr>
          <w:b/>
          <w:bCs/>
        </w:rPr>
        <w:t xml:space="preserve">Provenance (PROV)</w:t>
      </w:r>
      <w:r>
        <w:t xml:space="preserve">:</w:t>
      </w:r>
      <w:r>
        <w:t xml:space="preserve"> </w:t>
      </w:r>
      <w:r>
        <w:rPr>
          <w:i/>
          <w:iCs/>
        </w:rPr>
        <w:t xml:space="preserve">Adopt</w:t>
      </w:r>
      <w:r>
        <w:t xml:space="preserve">. Use PROV core. Provide optional cryptographic attestation. Keep provenance logs separate from content stores (to avoid pollution).</w:t>
      </w:r>
    </w:p>
    <w:p>
      <w:pPr>
        <w:pStyle w:val="Compact"/>
        <w:numPr>
          <w:ilvl w:val="0"/>
          <w:numId w:val="1001"/>
        </w:numPr>
      </w:pPr>
      <w:r>
        <w:rPr>
          <w:b/>
          <w:bCs/>
        </w:rPr>
        <w:t xml:space="preserve">Durable Re/Play (Temporal‑style)</w:t>
      </w:r>
      <w:r>
        <w:t xml:space="preserve">:</w:t>
      </w:r>
      <w:r>
        <w:t xml:space="preserve"> </w:t>
      </w:r>
      <w:r>
        <w:rPr>
          <w:i/>
          <w:iCs/>
        </w:rPr>
        <w:t xml:space="preserve">Adopt &amp; Adapt</w:t>
      </w:r>
      <w:r>
        <w:t xml:space="preserve">. Use Temporal’s event-sourcing lesson: log everything, enable replay. But design a neutral format (not vendor lock). Provide idempotent call envelopes.</w:t>
      </w:r>
    </w:p>
    <w:p>
      <w:pPr>
        <w:pStyle w:val="Compact"/>
        <w:numPr>
          <w:ilvl w:val="0"/>
          <w:numId w:val="1001"/>
        </w:numPr>
      </w:pPr>
      <w:r>
        <w:rPr>
          <w:b/>
          <w:bCs/>
        </w:rPr>
        <w:t xml:space="preserve">AI‑Native DSL</w:t>
      </w:r>
      <w:r>
        <w:t xml:space="preserve">:</w:t>
      </w:r>
      <w:r>
        <w:t xml:space="preserve"> </w:t>
      </w:r>
      <w:r>
        <w:rPr>
          <w:i/>
          <w:iCs/>
        </w:rPr>
        <w:t xml:space="preserve">Missing (critical)</w:t>
      </w:r>
      <w:r>
        <w:t xml:space="preserve">. Current standards are not optimized for AI-assisted authoring. We should</w:t>
      </w:r>
      <w:r>
        <w:t xml:space="preserve"> </w:t>
      </w:r>
      <w:r>
        <w:rPr>
          <w:b/>
          <w:bCs/>
        </w:rPr>
        <w:t xml:space="preserve">add</w:t>
      </w:r>
      <w:r>
        <w:t xml:space="preserve"> </w:t>
      </w:r>
      <w:r>
        <w:t xml:space="preserve">a DSL layer or profile that favors tree/JSON structure (like CWL or Arrows) and ties into prompt/response patterns.</w:t>
      </w:r>
    </w:p>
    <w:p>
      <w:pPr>
        <w:pStyle w:val="Compact"/>
        <w:numPr>
          <w:ilvl w:val="0"/>
          <w:numId w:val="1001"/>
        </w:numPr>
      </w:pPr>
      <w:r>
        <w:rPr>
          <w:b/>
          <w:bCs/>
        </w:rPr>
        <w:t xml:space="preserve">Agent Governance</w:t>
      </w:r>
      <w:r>
        <w:t xml:space="preserve">:</w:t>
      </w:r>
      <w:r>
        <w:t xml:space="preserve"> </w:t>
      </w:r>
      <w:r>
        <w:rPr>
          <w:i/>
          <w:iCs/>
        </w:rPr>
        <w:t xml:space="preserve">Missing and critical</w:t>
      </w:r>
      <w:r>
        <w:t xml:space="preserve">. No existing spec natively accounts for AI/agent actions. Must</w:t>
      </w:r>
      <w:r>
        <w:t xml:space="preserve"> </w:t>
      </w:r>
      <w:r>
        <w:rPr>
          <w:b/>
          <w:bCs/>
        </w:rPr>
        <w:t xml:space="preserve">add</w:t>
      </w:r>
      <w:r>
        <w:t xml:space="preserve"> </w:t>
      </w:r>
      <w:r>
        <w:t xml:space="preserve">first-class concepts (agent actors, propose/commit events, trust labels). AI-specific safety concepts (abstention, uncertainty) need new primitives.</w:t>
      </w:r>
    </w:p>
    <w:p>
      <w:pPr>
        <w:pStyle w:val="Compact"/>
        <w:numPr>
          <w:ilvl w:val="0"/>
          <w:numId w:val="1001"/>
        </w:numPr>
      </w:pPr>
      <w:r>
        <w:rPr>
          <w:b/>
          <w:bCs/>
        </w:rPr>
        <w:t xml:space="preserve">Human Oversight Protocols</w:t>
      </w:r>
      <w:r>
        <w:t xml:space="preserve">:</w:t>
      </w:r>
      <w:r>
        <w:t xml:space="preserve"> </w:t>
      </w:r>
      <w:r>
        <w:rPr>
          <w:i/>
          <w:iCs/>
        </w:rPr>
        <w:t xml:space="preserve">Missing</w:t>
      </w:r>
      <w:r>
        <w:t xml:space="preserve">. High-level “human in loop” is insufficient without structure. We should</w:t>
      </w:r>
      <w:r>
        <w:t xml:space="preserve"> </w:t>
      </w:r>
      <w:r>
        <w:rPr>
          <w:b/>
          <w:bCs/>
        </w:rPr>
        <w:t xml:space="preserve">add</w:t>
      </w:r>
      <w:r>
        <w:t xml:space="preserve"> </w:t>
      </w:r>
      <w:r>
        <w:t xml:space="preserve">constructs for calibration (e.g. “only escalate if confidence &lt; X”), multiplex reviewers (curated vs random audit), and blockchains or countersignatures for approvals.</w:t>
      </w:r>
    </w:p>
    <w:p>
      <w:pPr>
        <w:pStyle w:val="Compact"/>
        <w:numPr>
          <w:ilvl w:val="0"/>
          <w:numId w:val="1001"/>
        </w:numPr>
      </w:pPr>
      <w:r>
        <w:rPr>
          <w:b/>
          <w:bCs/>
        </w:rPr>
        <w:t xml:space="preserve">Policy Interface (PDP/PEP)</w:t>
      </w:r>
      <w:r>
        <w:t xml:space="preserve">:</w:t>
      </w:r>
      <w:r>
        <w:t xml:space="preserve"> </w:t>
      </w:r>
      <w:r>
        <w:rPr>
          <w:i/>
          <w:iCs/>
        </w:rPr>
        <w:t xml:space="preserve">Adopt</w:t>
      </w:r>
      <w:r>
        <w:t xml:space="preserve">. Follow XACML’s separation. The standard should define a generic policy hook (context + decision interface) but</w:t>
      </w:r>
      <w:r>
        <w:t xml:space="preserve"> </w:t>
      </w:r>
      <w:r>
        <w:rPr>
          <w:b/>
          <w:bCs/>
        </w:rPr>
        <w:t xml:space="preserve">not</w:t>
      </w:r>
      <w:r>
        <w:t xml:space="preserve"> </w:t>
      </w:r>
      <w:r>
        <w:t xml:space="preserve">enforce one language.</w:t>
      </w:r>
    </w:p>
    <w:p>
      <w:pPr>
        <w:pStyle w:val="Compact"/>
        <w:numPr>
          <w:ilvl w:val="0"/>
          <w:numId w:val="1001"/>
        </w:numPr>
      </w:pPr>
      <w:r>
        <w:rPr>
          <w:b/>
          <w:bCs/>
        </w:rPr>
        <w:t xml:space="preserve">Constraint Layer (e.g. DECLARE)</w:t>
      </w:r>
      <w:r>
        <w:t xml:space="preserve">:</w:t>
      </w:r>
      <w:r>
        <w:t xml:space="preserve"> </w:t>
      </w:r>
      <w:r>
        <w:rPr>
          <w:i/>
          <w:iCs/>
        </w:rPr>
        <w:t xml:space="preserve">Potentially Adapt</w:t>
      </w:r>
      <w:r>
        <w:t xml:space="preserve">. A lightweight declarative constraints sub-language could coexist (for high‑flexibility cases), but may be out-of-scope for minimal core. If included, it should be optional.</w:t>
      </w:r>
    </w:p>
    <w:p>
      <w:pPr>
        <w:pStyle w:val="Compact"/>
        <w:numPr>
          <w:ilvl w:val="0"/>
          <w:numId w:val="1001"/>
        </w:numPr>
      </w:pPr>
      <w:r>
        <w:rPr>
          <w:b/>
          <w:bCs/>
        </w:rPr>
        <w:t xml:space="preserve">Multi-Object Cases</w:t>
      </w:r>
      <w:r>
        <w:t xml:space="preserve">:</w:t>
      </w:r>
      <w:r>
        <w:t xml:space="preserve"> </w:t>
      </w:r>
      <w:r>
        <w:rPr>
          <w:i/>
          <w:iCs/>
        </w:rPr>
        <w:t xml:space="preserve">Missing</w:t>
      </w:r>
      <w:r>
        <w:t xml:space="preserve">. Traditional WF models focus on one case instance. Modern issues (e.g. an investigation involves multiple related objects) suggest</w:t>
      </w:r>
      <w:r>
        <w:t xml:space="preserve"> </w:t>
      </w:r>
      <w:r>
        <w:rPr>
          <w:b/>
          <w:bCs/>
        </w:rPr>
        <w:t xml:space="preserve">adopting</w:t>
      </w:r>
      <w:r>
        <w:t xml:space="preserve"> </w:t>
      </w:r>
      <w:r>
        <w:t xml:space="preserve">an object-centric view: allow multiple “case tokens” to be correlated in one workflow.</w:t>
      </w:r>
    </w:p>
    <w:p>
      <w:pPr>
        <w:pStyle w:val="Compact"/>
        <w:numPr>
          <w:ilvl w:val="0"/>
          <w:numId w:val="1001"/>
        </w:numPr>
      </w:pPr>
      <w:r>
        <w:rPr>
          <w:b/>
          <w:bCs/>
        </w:rPr>
        <w:t xml:space="preserve">Audit/Replay Structure</w:t>
      </w:r>
      <w:r>
        <w:t xml:space="preserve">:</w:t>
      </w:r>
      <w:r>
        <w:t xml:space="preserve"> </w:t>
      </w:r>
      <w:r>
        <w:rPr>
          <w:i/>
          <w:iCs/>
        </w:rPr>
        <w:t xml:space="preserve">Adapt</w:t>
      </w:r>
      <w:r>
        <w:t xml:space="preserve">. Instead of a flat event log, support multi-layer logs (facts vs reasoning). Possibly extend PROV with “trace vs commentary” roles.</w:t>
      </w:r>
    </w:p>
    <w:p>
      <w:pPr>
        <w:pStyle w:val="Compact"/>
        <w:numPr>
          <w:ilvl w:val="0"/>
          <w:numId w:val="1001"/>
        </w:numPr>
      </w:pPr>
      <w:r>
        <w:rPr>
          <w:b/>
          <w:bCs/>
        </w:rPr>
        <w:t xml:space="preserve">Trust Envelopes</w:t>
      </w:r>
      <w:r>
        <w:t xml:space="preserve">:</w:t>
      </w:r>
      <w:r>
        <w:t xml:space="preserve"> </w:t>
      </w:r>
      <w:r>
        <w:rPr>
          <w:i/>
          <w:iCs/>
        </w:rPr>
        <w:t xml:space="preserve">Missing</w:t>
      </w:r>
      <w:r>
        <w:t xml:space="preserve">. With untrusted inputs, need labeling (e.g. “source: AI/verified”) and filtering rules. Standard should provide metadata slots for trust level/policy tags on data.</w:t>
      </w:r>
    </w:p>
    <w:p>
      <w:pPr>
        <w:pStyle w:val="Compact"/>
        <w:numPr>
          <w:ilvl w:val="0"/>
          <w:numId w:val="1001"/>
        </w:numPr>
      </w:pPr>
      <w:r>
        <w:rPr>
          <w:b/>
          <w:bCs/>
        </w:rPr>
        <w:t xml:space="preserve">AI Lifecycle (Models/Memory)</w:t>
      </w:r>
      <w:r>
        <w:t xml:space="preserve">:</w:t>
      </w:r>
      <w:r>
        <w:t xml:space="preserve"> </w:t>
      </w:r>
      <w:r>
        <w:rPr>
          <w:i/>
          <w:iCs/>
        </w:rPr>
        <w:t xml:space="preserve">Out-of-Scope for standard</w:t>
      </w:r>
      <w:r>
        <w:t xml:space="preserve">. Details of model internals, RLHF, chain-of-thought, and internal memory management are implementation details. We only require external representation (outputs, confidence, source).</w:t>
      </w:r>
    </w:p>
    <w:p>
      <w:pPr>
        <w:pStyle w:val="Compact"/>
        <w:numPr>
          <w:ilvl w:val="0"/>
          <w:numId w:val="1001"/>
        </w:numPr>
      </w:pPr>
      <w:r>
        <w:rPr>
          <w:b/>
          <w:bCs/>
        </w:rPr>
        <w:t xml:space="preserve">Tool Capability Descriptor</w:t>
      </w:r>
      <w:r>
        <w:t xml:space="preserve">:</w:t>
      </w:r>
      <w:r>
        <w:t xml:space="preserve"> </w:t>
      </w:r>
      <w:r>
        <w:rPr>
          <w:i/>
          <w:iCs/>
        </w:rPr>
        <w:t xml:space="preserve">Adapt/Missing</w:t>
      </w:r>
      <w:r>
        <w:t xml:space="preserve">. Beyond HTTP (OpenAPI) or CLI (CWL), we may need an “affordance” schema so an agent knows what a workflow step can do. E.g. define tools by effect on data (like an OpenAPI with input/output schema and description). This is mostly unexplored in workflows and could be</w:t>
      </w:r>
      <w:r>
        <w:t xml:space="preserve"> </w:t>
      </w:r>
      <w:r>
        <w:rPr>
          <w:b/>
          <w:bCs/>
        </w:rPr>
        <w:t xml:space="preserve">added</w:t>
      </w:r>
      <w:r>
        <w:t xml:space="preserve"> </w:t>
      </w:r>
      <w:r>
        <w:t xml:space="preserve">as an optional profile.</w:t>
      </w:r>
    </w:p>
    <w:bookmarkEnd w:id="54"/>
    <w:bookmarkStart w:id="55" w:name="conceptual-architecture-conformance"/>
    <w:p>
      <w:pPr>
        <w:pStyle w:val="Heading2"/>
      </w:pPr>
      <w:r>
        <w:t xml:space="preserve">Conceptual Architecture &amp; Conformance</w:t>
      </w:r>
    </w:p>
    <w:p>
      <w:pPr>
        <w:pStyle w:val="FirstParagraph"/>
      </w:pPr>
      <w:r>
        <w:t xml:space="preserve">The standard should center on a</w:t>
      </w:r>
      <w:r>
        <w:t xml:space="preserve"> </w:t>
      </w:r>
      <w:r>
        <w:rPr>
          <w:b/>
          <w:bCs/>
        </w:rPr>
        <w:t xml:space="preserve">small semantic kernel</w:t>
      </w:r>
      <w:r>
        <w:t xml:space="preserve"> </w:t>
      </w:r>
      <w:r>
        <w:t xml:space="preserve">(immutable states, events, tasks, transitions, and data) with layered interfaces for concerns like policy, UI hints, and provenance. A monolithic DSL would be brittle; instead, use a modular architecture: core workflow graph + decision nodes + task annotations + audit traces. Governance (policy) and observability can be separate layers or modules hooking into the core.</w:t>
      </w:r>
    </w:p>
    <w:p>
      <w:pPr>
        <w:pStyle w:val="BodyText"/>
      </w:pPr>
      <w:r>
        <w:t xml:space="preserve">Conformance will have multiple facets:</w:t>
      </w:r>
      <w:r>
        <w:br/>
      </w:r>
      <w:r>
        <w:t xml:space="preserve">-</w:t>
      </w:r>
      <w:r>
        <w:t xml:space="preserve"> </w:t>
      </w:r>
      <w:r>
        <w:rPr>
          <w:b/>
          <w:bCs/>
        </w:rPr>
        <w:t xml:space="preserve">Protocol Interoperability:</w:t>
      </w:r>
      <w:r>
        <w:t xml:space="preserve"> </w:t>
      </w:r>
      <w:r>
        <w:t xml:space="preserve">exchanging workflow definitions and events across systems. The core DSL (likely JSON/YAML) and data schemas ensure syntactic/structural conformance. A formal test suite (like DMN TCK) should exist.</w:t>
      </w:r>
      <w:r>
        <w:br/>
      </w:r>
      <w:r>
        <w:t xml:space="preserve">-</w:t>
      </w:r>
      <w:r>
        <w:t xml:space="preserve"> </w:t>
      </w:r>
      <w:r>
        <w:rPr>
          <w:b/>
          <w:bCs/>
        </w:rPr>
        <w:t xml:space="preserve">Governance Correctness:</w:t>
      </w:r>
      <w:r>
        <w:t xml:space="preserve"> </w:t>
      </w:r>
      <w:r>
        <w:t xml:space="preserve">ensuring workflows respect policies and norms. We envision</w:t>
      </w:r>
      <w:r>
        <w:t xml:space="preserve"> </w:t>
      </w:r>
      <w:r>
        <w:rPr>
          <w:i/>
          <w:iCs/>
        </w:rPr>
        <w:t xml:space="preserve">governance conformance tests</w:t>
      </w:r>
      <w:r>
        <w:t xml:space="preserve"> </w:t>
      </w:r>
      <w:r>
        <w:t xml:space="preserve">(scenarios where an agent should escalate, or should not be allowed to act) and</w:t>
      </w:r>
      <w:r>
        <w:t xml:space="preserve"> </w:t>
      </w:r>
      <w:r>
        <w:rPr>
          <w:i/>
          <w:iCs/>
        </w:rPr>
        <w:t xml:space="preserve">policy profiles</w:t>
      </w:r>
      <w:r>
        <w:t xml:space="preserve">. For example, test cases where an AI makes a forbidden suggestion must raise an error.</w:t>
      </w:r>
      <w:r>
        <w:br/>
      </w:r>
      <w:r>
        <w:t xml:space="preserve">-</w:t>
      </w:r>
      <w:r>
        <w:t xml:space="preserve"> </w:t>
      </w:r>
      <w:r>
        <w:rPr>
          <w:b/>
          <w:bCs/>
        </w:rPr>
        <w:t xml:space="preserve">Durability/Replay:</w:t>
      </w:r>
      <w:r>
        <w:t xml:space="preserve"> </w:t>
      </w:r>
      <w:r>
        <w:t xml:space="preserve">verifying that long‑running cases can be paused, resumed, migrated, or rewound without semantic change. Scenario tests might kill an orchestration mid‑step and resume it. Also tests for repeated submissions (idempotency).</w:t>
      </w:r>
    </w:p>
    <w:p>
      <w:pPr>
        <w:pStyle w:val="BodyText"/>
      </w:pPr>
      <w:r>
        <w:t xml:space="preserve">A credible conformance model might mirror ISO standards: define core requirements, then profiles (e.g. “AI‑Augmented Workflow” profile, “Audit‑Logging” profile). Test harnesses could simulate adversarial scenarios: prompt injection, stale policy versions mid-flow, etc., to check safety features. As examples: override scenarios (human/AI conflict resolution), delegation (multi-agent chains), delayed external events (callback timeouts), and appeals (reverse a completed decision).</w:t>
      </w:r>
    </w:p>
    <w:bookmarkEnd w:id="55"/>
    <w:bookmarkStart w:id="56" w:name="sample-scenarios"/>
    <w:p>
      <w:pPr>
        <w:pStyle w:val="Heading2"/>
      </w:pPr>
      <w:r>
        <w:t xml:space="preserve">Sample Scenarios</w:t>
      </w:r>
    </w:p>
    <w:p>
      <w:pPr>
        <w:pStyle w:val="Compact"/>
        <w:numPr>
          <w:ilvl w:val="0"/>
          <w:numId w:val="1002"/>
        </w:numPr>
      </w:pPr>
      <w:r>
        <w:rPr>
          <w:b/>
          <w:bCs/>
        </w:rPr>
        <w:t xml:space="preserve">Grant Application</w:t>
      </w:r>
      <w:r>
        <w:t xml:space="preserve">: An AI</w:t>
      </w:r>
      <w:r>
        <w:t xml:space="preserve"> </w:t>
      </w:r>
      <w:r>
        <w:rPr>
          <w:i/>
          <w:iCs/>
        </w:rPr>
        <w:t xml:space="preserve">recommends</w:t>
      </w:r>
      <w:r>
        <w:t xml:space="preserve"> </w:t>
      </w:r>
      <w:r>
        <w:t xml:space="preserve">approval with conditions. The workflow calls an agent step (LLM proposes text). The result is recorded (with confidence). A “human review” task is auto-created, carrying the AI’s rationale. If the human disagrees, a separate “overrule” step can send it back to the AI with new instructions (captured as new events).</w:t>
      </w:r>
    </w:p>
    <w:p>
      <w:pPr>
        <w:pStyle w:val="Compact"/>
        <w:numPr>
          <w:ilvl w:val="0"/>
          <w:numId w:val="1002"/>
        </w:numPr>
      </w:pPr>
      <w:r>
        <w:rPr>
          <w:b/>
          <w:bCs/>
        </w:rPr>
        <w:t xml:space="preserve">Licensing with Appeal</w:t>
      </w:r>
      <w:r>
        <w:t xml:space="preserve">: The system uses an AI to preliminarily evaluate compliance. If the AI denies a license, the workflow</w:t>
      </w:r>
      <w:r>
        <w:t xml:space="preserve"> </w:t>
      </w:r>
      <w:r>
        <w:rPr>
          <w:i/>
          <w:iCs/>
        </w:rPr>
        <w:t xml:space="preserve">automatically logs</w:t>
      </w:r>
      <w:r>
        <w:t xml:space="preserve"> </w:t>
      </w:r>
      <w:r>
        <w:t xml:space="preserve">the reason code and spins up an “Appeal” case. The appeal flow uses a different path (maybe manual review, different criteria). When reversed, the audit trail links the reversal to the original decision.</w:t>
      </w:r>
    </w:p>
    <w:p>
      <w:pPr>
        <w:pStyle w:val="Compact"/>
        <w:numPr>
          <w:ilvl w:val="0"/>
          <w:numId w:val="1002"/>
        </w:numPr>
      </w:pPr>
      <w:r>
        <w:rPr>
          <w:b/>
          <w:bCs/>
        </w:rPr>
        <w:t xml:space="preserve">Inspection Scheduling</w:t>
      </w:r>
      <w:r>
        <w:t xml:space="preserve">: An AI agent suggests optimal scheduling slots. The orchestration must handle agent abort (if model refuses for some inputs) by falling back to manual scheduling. Confidence thresholds determine if the AI step commits or the workflow issues a “Human-schedule” task.</w:t>
      </w:r>
    </w:p>
    <w:p>
      <w:pPr>
        <w:pStyle w:val="Compact"/>
        <w:numPr>
          <w:ilvl w:val="0"/>
          <w:numId w:val="1002"/>
        </w:numPr>
      </w:pPr>
      <w:r>
        <w:rPr>
          <w:b/>
          <w:bCs/>
        </w:rPr>
        <w:t xml:space="preserve">Regulatory Reporting</w:t>
      </w:r>
      <w:r>
        <w:t xml:space="preserve">: Each automated decision must generate a trace log entry (with references to rule versions and evidence), and be idempotent. In a test, the same report is sent twice; the workflow detects duplicates via stored output hashes and skips reprocessing.</w:t>
      </w:r>
    </w:p>
    <w:p>
      <w:pPr>
        <w:pStyle w:val="Compact"/>
        <w:numPr>
          <w:ilvl w:val="0"/>
          <w:numId w:val="1002"/>
        </w:numPr>
      </w:pPr>
      <w:r>
        <w:rPr>
          <w:b/>
          <w:bCs/>
        </w:rPr>
        <w:t xml:space="preserve">Policy Change Mid-Case</w:t>
      </w:r>
      <w:r>
        <w:t xml:space="preserve">: While a case is open, the rule governing a decision is updated. The workflow engine must record which policy version applied. A simulation test ensures that new cases use the new rules, but existing cases stick to the old rules for consistency, yet still allow an “audit note” about the change.</w:t>
      </w:r>
    </w:p>
    <w:p>
      <w:pPr>
        <w:pStyle w:val="Compact"/>
        <w:numPr>
          <w:ilvl w:val="0"/>
          <w:numId w:val="1002"/>
        </w:numPr>
      </w:pPr>
      <w:r>
        <w:rPr>
          <w:b/>
          <w:bCs/>
        </w:rPr>
        <w:t xml:space="preserve">Agent Misbehavior</w:t>
      </w:r>
      <w:r>
        <w:t xml:space="preserve">: Test prompt injection: an AI step receives a crafted prompt to alter unrelated data. The workflow engine, seeing disallowed output (per content policy), raises a “policy violation” event and triggers human lock-down.</w:t>
      </w:r>
    </w:p>
    <w:bookmarkEnd w:id="56"/>
    <w:bookmarkStart w:id="58" w:name="key-recommendations"/>
    <w:p>
      <w:pPr>
        <w:pStyle w:val="Heading2"/>
      </w:pPr>
      <w:r>
        <w:t xml:space="preserve">Key Recommendations</w:t>
      </w:r>
    </w:p>
    <w:p>
      <w:pPr>
        <w:pStyle w:val="Compact"/>
        <w:numPr>
          <w:ilvl w:val="0"/>
          <w:numId w:val="1003"/>
        </w:numPr>
      </w:pPr>
      <w:r>
        <w:rPr>
          <w:b/>
          <w:bCs/>
        </w:rPr>
        <w:t xml:space="preserve">Separate Workflow, Policy, and Audit Concerns</w:t>
      </w:r>
      <w:r>
        <w:t xml:space="preserve">: Follow PEP/PDP design. The standard should define</w:t>
      </w:r>
      <w:r>
        <w:t xml:space="preserve"> </w:t>
      </w:r>
      <w:r>
        <w:rPr>
          <w:i/>
          <w:iCs/>
        </w:rPr>
        <w:t xml:space="preserve">where</w:t>
      </w:r>
      <w:r>
        <w:t xml:space="preserve"> </w:t>
      </w:r>
      <w:r>
        <w:t xml:space="preserve">and</w:t>
      </w:r>
      <w:r>
        <w:t xml:space="preserve"> </w:t>
      </w:r>
      <w:r>
        <w:rPr>
          <w:i/>
          <w:iCs/>
        </w:rPr>
        <w:t xml:space="preserve">how</w:t>
      </w:r>
      <w:r>
        <w:t xml:space="preserve"> </w:t>
      </w:r>
      <w:r>
        <w:t xml:space="preserve">policy is checked (outside core flow logic) and</w:t>
      </w:r>
      <w:r>
        <w:t xml:space="preserve"> </w:t>
      </w:r>
      <w:r>
        <w:rPr>
          <w:i/>
          <w:iCs/>
        </w:rPr>
        <w:t xml:space="preserve">what</w:t>
      </w:r>
      <w:r>
        <w:t xml:space="preserve"> </w:t>
      </w:r>
      <w:r>
        <w:t xml:space="preserve">minimum audit records to capture.</w:t>
      </w:r>
    </w:p>
    <w:p>
      <w:pPr>
        <w:pStyle w:val="Compact"/>
        <w:numPr>
          <w:ilvl w:val="0"/>
          <w:numId w:val="1003"/>
        </w:numPr>
      </w:pPr>
      <w:r>
        <w:rPr>
          <w:b/>
          <w:bCs/>
        </w:rPr>
        <w:t xml:space="preserve">Treat Agents as Actors, Not Ad‑hoc Scripts</w:t>
      </w:r>
      <w:r>
        <w:t xml:space="preserve">: Workflow steps must label actor type (human/system/AI) and provide explicit channels for agents to express uncertainty or abstention.</w:t>
      </w:r>
    </w:p>
    <w:p>
      <w:pPr>
        <w:pStyle w:val="Compact"/>
        <w:numPr>
          <w:ilvl w:val="0"/>
          <w:numId w:val="1003"/>
        </w:numPr>
      </w:pPr>
      <w:r>
        <w:rPr>
          <w:b/>
          <w:bCs/>
        </w:rPr>
        <w:t xml:space="preserve">Immutable Steps &amp; Replay</w:t>
      </w:r>
      <w:r>
        <w:t xml:space="preserve">: Model each step (including AI calls) as an event with schema‑typed inputs/outputs that are durably logged (no hidden nondeterminism).</w:t>
      </w:r>
    </w:p>
    <w:p>
      <w:pPr>
        <w:pStyle w:val="Compact"/>
        <w:numPr>
          <w:ilvl w:val="0"/>
          <w:numId w:val="1003"/>
        </w:numPr>
      </w:pPr>
      <w:r>
        <w:rPr>
          <w:b/>
          <w:bCs/>
        </w:rPr>
        <w:t xml:space="preserve">First-Class Task Metadata</w:t>
      </w:r>
      <w:r>
        <w:t xml:space="preserve">: Include fields for assignment, deadlines, SLAs, escalation rules, and handoff capabilities in the workflow spec. Ensure tasks can be dynamically reassigned or delegated via formal operations.</w:t>
      </w:r>
    </w:p>
    <w:p>
      <w:pPr>
        <w:pStyle w:val="Compact"/>
        <w:numPr>
          <w:ilvl w:val="0"/>
          <w:numId w:val="1003"/>
        </w:numPr>
      </w:pPr>
      <w:r>
        <w:rPr>
          <w:b/>
          <w:bCs/>
        </w:rPr>
        <w:t xml:space="preserve">Layered Semantics</w:t>
      </w:r>
      <w:r>
        <w:t xml:space="preserve">: Core execution (flow control, data updates) should be distinguished from higher concerns (auditing, explanation). Maintain strict separation so that adding observability does not alter behavior.</w:t>
      </w:r>
    </w:p>
    <w:p>
      <w:pPr>
        <w:pStyle w:val="Compact"/>
        <w:numPr>
          <w:ilvl w:val="0"/>
          <w:numId w:val="1003"/>
        </w:numPr>
      </w:pPr>
      <w:r>
        <w:rPr>
          <w:b/>
          <w:bCs/>
        </w:rPr>
        <w:t xml:space="preserve">Declarative by Default</w:t>
      </w:r>
      <w:r>
        <w:t xml:space="preserve">: Favor declarative constructs (e.g. “wait on event E” instead of embedding Java/C# code). This aids analysis and AI tooling.</w:t>
      </w:r>
    </w:p>
    <w:p>
      <w:pPr>
        <w:pStyle w:val="Compact"/>
        <w:numPr>
          <w:ilvl w:val="0"/>
          <w:numId w:val="1003"/>
        </w:numPr>
      </w:pPr>
      <w:r>
        <w:rPr>
          <w:b/>
          <w:bCs/>
        </w:rPr>
        <w:t xml:space="preserve">Human‑Centered Oversight Models</w:t>
      </w:r>
      <w:r>
        <w:t xml:space="preserve">: Explicitly model oversights like “human must review before commit” or “auto-approve if confidence &gt; 95% else escalate.” Discourage “always add a generic manual approval.”</w:t>
      </w:r>
    </w:p>
    <w:p>
      <w:pPr>
        <w:pStyle w:val="Compact"/>
        <w:numPr>
          <w:ilvl w:val="0"/>
          <w:numId w:val="1003"/>
        </w:numPr>
      </w:pPr>
      <w:r>
        <w:rPr>
          <w:b/>
          <w:bCs/>
        </w:rPr>
        <w:t xml:space="preserve">Scope Discipline</w:t>
      </w:r>
      <w:r>
        <w:t xml:space="preserve">: Do</w:t>
      </w:r>
      <w:r>
        <w:t xml:space="preserve"> </w:t>
      </w:r>
      <w:r>
        <w:rPr>
          <w:b/>
          <w:bCs/>
        </w:rPr>
        <w:t xml:space="preserve">not</w:t>
      </w:r>
      <w:r>
        <w:t xml:space="preserve"> </w:t>
      </w:r>
      <w:r>
        <w:t xml:space="preserve">attempt to standardize AI internals (no “chain-of-thought” standard). Focus on interactions</w:t>
      </w:r>
      <w:r>
        <w:t xml:space="preserve"> </w:t>
      </w:r>
      <w:r>
        <w:rPr>
          <w:i/>
          <w:iCs/>
        </w:rPr>
        <w:t xml:space="preserve">around</w:t>
      </w:r>
      <w:r>
        <w:t xml:space="preserve"> </w:t>
      </w:r>
      <w:r>
        <w:t xml:space="preserve">AI (prompts, results, governance). Let runtime systems and protocols handle the actual model calls.</w:t>
      </w:r>
    </w:p>
    <w:p>
      <w:pPr>
        <w:pStyle w:val="Compact"/>
        <w:numPr>
          <w:ilvl w:val="0"/>
          <w:numId w:val="1003"/>
        </w:numPr>
      </w:pPr>
      <w:r>
        <w:rPr>
          <w:b/>
          <w:bCs/>
        </w:rPr>
        <w:t xml:space="preserve">Conformance Tooling</w:t>
      </w:r>
      <w:r>
        <w:t xml:space="preserve">: Provide a test suite covering synthetic and adversarial cases (prompt injection, untrusted input, failovers). Consider “continuous conformance” where workflows are analyzed by model checkers or simulators.</w:t>
      </w:r>
    </w:p>
    <w:p>
      <w:pPr>
        <w:pStyle w:val="FirstParagraph"/>
      </w:pPr>
      <w:r>
        <w:t xml:space="preserve">In sum, the new standard should</w:t>
      </w:r>
      <w:r>
        <w:t xml:space="preserve"> </w:t>
      </w:r>
      <w:r>
        <w:rPr>
          <w:b/>
          <w:bCs/>
        </w:rPr>
        <w:t xml:space="preserve">adopt</w:t>
      </w:r>
      <w:r>
        <w:t xml:space="preserve"> </w:t>
      </w:r>
      <w:r>
        <w:t xml:space="preserve">proven BPM/CMMN/DMN concepts,</w:t>
      </w:r>
      <w:r>
        <w:t xml:space="preserve"> </w:t>
      </w:r>
      <w:r>
        <w:rPr>
          <w:b/>
          <w:bCs/>
        </w:rPr>
        <w:t xml:space="preserve">adapt</w:t>
      </w:r>
      <w:r>
        <w:t xml:space="preserve"> </w:t>
      </w:r>
      <w:r>
        <w:t xml:space="preserve">them for AI and resilience,</w:t>
      </w:r>
      <w:r>
        <w:t xml:space="preserve"> </w:t>
      </w:r>
      <w:r>
        <w:rPr>
          <w:b/>
          <w:bCs/>
        </w:rPr>
        <w:t xml:space="preserve">add missing AI-specific and governance primitives</w:t>
      </w:r>
      <w:r>
        <w:t xml:space="preserve">, and keep out low-level details. The result will be a</w:t>
      </w:r>
      <w:r>
        <w:t xml:space="preserve"> </w:t>
      </w:r>
      <w:r>
        <w:rPr>
          <w:b/>
          <w:bCs/>
        </w:rPr>
        <w:t xml:space="preserve">layered, machine-friendly standard</w:t>
      </w:r>
      <w:r>
        <w:t xml:space="preserve"> </w:t>
      </w:r>
      <w:r>
        <w:t xml:space="preserve">that balances formal rigor (for correctness) with flexibility (for humans and agents), ensuring high-stakes workflows are auditable, explainable, and safe by design.</w:t>
      </w:r>
    </w:p>
    <w:p>
      <w:pPr>
        <w:pStyle w:val="BodyText"/>
      </w:pPr>
      <w:r>
        <w:rPr>
          <w:b/>
          <w:bCs/>
        </w:rPr>
        <w:t xml:space="preserve">Sources:</w:t>
      </w:r>
      <w:r>
        <w:t xml:space="preserve"> </w:t>
      </w:r>
      <w:r>
        <w:t xml:space="preserve">We drew on OMG standards (BPMN, DMN, CMMN)</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r>
        <w:t xml:space="preserve">; W3C specs (SCXML, PROV)</w:t>
      </w:r>
      <w:hyperlink r:id="rId26">
        <w:r>
          <w:rPr>
            <w:rStyle w:val="Hyperlink"/>
          </w:rPr>
          <w:t xml:space="preserve">[6]</w:t>
        </w:r>
      </w:hyperlink>
      <w:hyperlink r:id="rId42">
        <w:r>
          <w:rPr>
            <w:rStyle w:val="Hyperlink"/>
          </w:rPr>
          <w:t xml:space="preserve">[16]</w:t>
        </w:r>
      </w:hyperlink>
      <w:r>
        <w:t xml:space="preserve">; OASIS standards (WS-HumanTask, XACML)</w:t>
      </w:r>
      <w:hyperlink r:id="rId32">
        <w:r>
          <w:rPr>
            <w:rStyle w:val="Hyperlink"/>
          </w:rPr>
          <w:t xml:space="preserve">[11]</w:t>
        </w:r>
      </w:hyperlink>
      <w:hyperlink r:id="rId37">
        <w:r>
          <w:rPr>
            <w:rStyle w:val="Hyperlink"/>
          </w:rPr>
          <w:t xml:space="preserve">[14]</w:t>
        </w:r>
      </w:hyperlink>
      <w:r>
        <w:t xml:space="preserve">; CNCF projects (Serverless Workflow, CloudEvents)</w:t>
      </w:r>
      <w:hyperlink r:id="rId28">
        <w:r>
          <w:rPr>
            <w:rStyle w:val="Hyperlink"/>
          </w:rPr>
          <w:t xml:space="preserve">[8]</w:t>
        </w:r>
      </w:hyperlink>
      <w:hyperlink r:id="rId40">
        <w:r>
          <w:rPr>
            <w:rStyle w:val="Hyperlink"/>
          </w:rPr>
          <w:t xml:space="preserve">[15]</w:t>
        </w:r>
      </w:hyperlink>
      <w:r>
        <w:t xml:space="preserve">; domain specs (FHIR tasks)</w:t>
      </w:r>
      <w:hyperlink r:id="rId33">
        <w:r>
          <w:rPr>
            <w:rStyle w:val="Hyperlink"/>
          </w:rPr>
          <w:t xml:space="preserve">[12]</w:t>
        </w:r>
      </w:hyperlink>
      <w:hyperlink r:id="rId34">
        <w:r>
          <w:rPr>
            <w:rStyle w:val="Hyperlink"/>
          </w:rPr>
          <w:t xml:space="preserve">[13]</w:t>
        </w:r>
      </w:hyperlink>
      <w:r>
        <w:t xml:space="preserve">; academic workflow research</w:t>
      </w:r>
      <w:hyperlink r:id="rId29">
        <w:r>
          <w:rPr>
            <w:rStyle w:val="Hyperlink"/>
          </w:rPr>
          <w:t xml:space="preserve">[9]</w:t>
        </w:r>
      </w:hyperlink>
      <w:hyperlink r:id="rId30">
        <w:r>
          <w:rPr>
            <w:rStyle w:val="Hyperlink"/>
          </w:rPr>
          <w:t xml:space="preserve">[10]</w:t>
        </w:r>
      </w:hyperlink>
      <w:r>
        <w:t xml:space="preserve">; AI governance frameworks</w:t>
      </w:r>
      <w:hyperlink r:id="rId50">
        <w:r>
          <w:rPr>
            <w:rStyle w:val="Hyperlink"/>
          </w:rPr>
          <w:t xml:space="preserve">[20]</w:t>
        </w:r>
      </w:hyperlink>
      <w:hyperlink r:id="rId51">
        <w:r>
          <w:rPr>
            <w:rStyle w:val="Hyperlink"/>
          </w:rPr>
          <w:t xml:space="preserve">[21]</w:t>
        </w:r>
      </w:hyperlink>
      <w:r>
        <w:t xml:space="preserve">; and recent literature on AI workflows</w:t>
      </w:r>
      <w:hyperlink r:id="rId57">
        <w:r>
          <w:rPr>
            <w:rStyle w:val="Hyperlink"/>
          </w:rPr>
          <w:t xml:space="preserve">[22]</w:t>
        </w:r>
      </w:hyperlink>
      <w:hyperlink r:id="rId47">
        <w:r>
          <w:rPr>
            <w:rStyle w:val="Hyperlink"/>
          </w:rPr>
          <w:t xml:space="preserve">[19]</w:t>
        </w:r>
      </w:hyperlink>
      <w:r>
        <w:t xml:space="preserve">. Each informs which features to adopt, adapt, or add in the new standard.</w:t>
      </w:r>
    </w:p>
    <w:bookmarkEnd w:id="58"/>
    <w:bookmarkEnd w:id="59"/>
    <w:bookmarkEnd w:id="60"/>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r>
        <w:t xml:space="preserve">Case Management Model and Notation™ (CMMN™) | Object Management Group</w:t>
      </w:r>
    </w:p>
    <w:p>
      <w:pPr>
        <w:pStyle w:val="BodyText"/>
      </w:pPr>
      <w:hyperlink r:id="rId61">
        <w:r>
          <w:rPr>
            <w:rStyle w:val="Hyperlink"/>
          </w:rPr>
          <w:t xml:space="preserve">https://www.omg.org/cmmn/</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r>
        <w:t xml:space="preserve">Decision Model and Notation™ (DMN™) | Object Management Group</w:t>
      </w:r>
    </w:p>
    <w:p>
      <w:pPr>
        <w:pStyle w:val="BodyText"/>
      </w:pPr>
      <w:hyperlink r:id="rId62">
        <w:r>
          <w:rPr>
            <w:rStyle w:val="Hyperlink"/>
          </w:rPr>
          <w:t xml:space="preserve">https://www.omg.org/dmn/</w:t>
        </w:r>
      </w:hyperlink>
    </w:p>
    <w:p>
      <w:pPr>
        <w:pStyle w:val="BodyText"/>
      </w:pPr>
      <w:hyperlink r:id="rId23">
        <w:r>
          <w:rPr>
            <w:rStyle w:val="Hyperlink"/>
          </w:rPr>
          <w:t xml:space="preserve">[3]</w:t>
        </w:r>
      </w:hyperlink>
      <w:r>
        <w:t xml:space="preserve"> </w:t>
      </w:r>
      <w:r>
        <w:t xml:space="preserve">About the Business Process Model and Notation Specification Version 2.0.2</w:t>
      </w:r>
    </w:p>
    <w:p>
      <w:pPr>
        <w:pStyle w:val="BodyText"/>
      </w:pPr>
      <w:hyperlink r:id="rId63">
        <w:r>
          <w:rPr>
            <w:rStyle w:val="Hyperlink"/>
          </w:rPr>
          <w:t xml:space="preserve">https://www.omg.org/spec/BPMN/2.0.2/About-BPMN</w:t>
        </w:r>
      </w:hyperlink>
    </w:p>
    <w:p>
      <w:pPr>
        <w:pStyle w:val="BodyText"/>
      </w:pPr>
      <w:hyperlink r:id="rId26">
        <w:r>
          <w:rPr>
            <w:rStyle w:val="Hyperlink"/>
          </w:rPr>
          <w:t xml:space="preserve">[6]</w:t>
        </w:r>
      </w:hyperlink>
      <w:r>
        <w:t xml:space="preserve"> </w:t>
      </w:r>
      <w:r>
        <w:t xml:space="preserve">State Chart XML (SCXML): State Machine Notation for Control</w:t>
      </w:r>
      <w:r>
        <w:t xml:space="preserve"> </w:t>
      </w:r>
      <w:r>
        <w:t xml:space="preserve">Abstraction</w:t>
      </w:r>
    </w:p>
    <w:p>
      <w:pPr>
        <w:pStyle w:val="BodyText"/>
      </w:pPr>
      <w:hyperlink r:id="rId64">
        <w:r>
          <w:rPr>
            <w:rStyle w:val="Hyperlink"/>
          </w:rPr>
          <w:t xml:space="preserve">https://www.w3.org/TR/scxml/</w:t>
        </w:r>
      </w:hyperlink>
    </w:p>
    <w:p>
      <w:pPr>
        <w:pStyle w:val="BodyText"/>
      </w:pPr>
      <w:hyperlink r:id="rId27">
        <w:r>
          <w:rPr>
            <w:rStyle w:val="Hyperlink"/>
          </w:rPr>
          <w:t xml:space="preserve">[7]</w:t>
        </w:r>
      </w:hyperlink>
      <w:r>
        <w:t xml:space="preserve"> </w:t>
      </w:r>
      <w:r>
        <w:t xml:space="preserve">Amazon States Language</w:t>
      </w:r>
    </w:p>
    <w:p>
      <w:pPr>
        <w:pStyle w:val="BodyText"/>
      </w:pPr>
      <w:hyperlink r:id="rId65">
        <w:r>
          <w:rPr>
            <w:rStyle w:val="Hyperlink"/>
          </w:rPr>
          <w:t xml:space="preserve">https://states-language.net/</w:t>
        </w:r>
      </w:hyperlink>
    </w:p>
    <w:p>
      <w:pPr>
        <w:pStyle w:val="BodyText"/>
      </w:pPr>
      <w:hyperlink r:id="rId28">
        <w:r>
          <w:rPr>
            <w:rStyle w:val="Hyperlink"/>
          </w:rPr>
          <w:t xml:space="preserve">[8]</w:t>
        </w:r>
      </w:hyperlink>
      <w:r>
        <w:t xml:space="preserve"> </w:t>
      </w:r>
      <w:r>
        <w:t xml:space="preserve">Serverless Workflow | CNCF</w:t>
      </w:r>
    </w:p>
    <w:p>
      <w:pPr>
        <w:pStyle w:val="BodyText"/>
      </w:pPr>
      <w:hyperlink r:id="rId66">
        <w:r>
          <w:rPr>
            <w:rStyle w:val="Hyperlink"/>
          </w:rPr>
          <w:t xml:space="preserve">https://www.cncf.io/projects/serverless-workflow/</w:t>
        </w:r>
      </w:hyperlink>
    </w:p>
    <w:p>
      <w:pPr>
        <w:pStyle w:val="BodyText"/>
      </w:pPr>
      <w:hyperlink r:id="rId29">
        <w:r>
          <w:rPr>
            <w:rStyle w:val="Hyperlink"/>
          </w:rPr>
          <w:t xml:space="preserve">[9]</w:t>
        </w:r>
      </w:hyperlink>
      <w:r>
        <w:t xml:space="preserve"> </w:t>
      </w:r>
      <w:r>
        <w:t xml:space="preserve">vdaalst.com</w:t>
      </w:r>
    </w:p>
    <w:p>
      <w:pPr>
        <w:pStyle w:val="BodyText"/>
      </w:pPr>
      <w:hyperlink r:id="rId67">
        <w:r>
          <w:rPr>
            <w:rStyle w:val="Hyperlink"/>
          </w:rPr>
          <w:t xml:space="preserve">https://www.vdaalst.com/publications/p108.pdf</w:t>
        </w:r>
      </w:hyperlink>
    </w:p>
    <w:p>
      <w:pPr>
        <w:pStyle w:val="BodyText"/>
      </w:pPr>
      <w:hyperlink r:id="rId30">
        <w:r>
          <w:rPr>
            <w:rStyle w:val="Hyperlink"/>
          </w:rPr>
          <w:t xml:space="preserve">[10]</w:t>
        </w:r>
      </w:hyperlink>
      <w:r>
        <w:t xml:space="preserve"> </w:t>
      </w:r>
      <w:r>
        <w:t xml:space="preserve">yawlrevtech.dvi</w:t>
      </w:r>
    </w:p>
    <w:p>
      <w:pPr>
        <w:pStyle w:val="BodyText"/>
      </w:pPr>
      <w:hyperlink r:id="rId68">
        <w:r>
          <w:rPr>
            <w:rStyle w:val="Hyperlink"/>
          </w:rPr>
          <w:t xml:space="preserve">https://yawlfoundation.github.io/assets/files/yawlrevtech.pdf</w:t>
        </w:r>
      </w:hyperlink>
    </w:p>
    <w:p>
      <w:pPr>
        <w:pStyle w:val="BodyText"/>
      </w:pPr>
      <w:hyperlink r:id="rId32">
        <w:r>
          <w:rPr>
            <w:rStyle w:val="Hyperlink"/>
          </w:rPr>
          <w:t xml:space="preserve">[11]</w:t>
        </w:r>
      </w:hyperlink>
      <w:r>
        <w:t xml:space="preserve"> </w:t>
      </w:r>
      <w:r>
        <w:t xml:space="preserve">10.3. Human Task Service | BRMS Business Process Management Guide | Red Hat Decision Manager | 5 | Red Hat Documentation</w:t>
      </w:r>
    </w:p>
    <w:p>
      <w:pPr>
        <w:pStyle w:val="BodyText"/>
      </w:pPr>
      <w:hyperlink r:id="rId69">
        <w:r>
          <w:rPr>
            <w:rStyle w:val="Hyperlink"/>
          </w:rPr>
          <w:t xml:space="preserve">https://docs.redhat.com/en/documentation/red_hat_decision_manager/5/html/brms_business_process_management_guide/sect-human_task_service</w:t>
        </w:r>
      </w:hyperlink>
    </w:p>
    <w:p>
      <w:pPr>
        <w:pStyle w:val="BodyText"/>
      </w:pPr>
      <w:hyperlink r:id="rId33">
        <w:r>
          <w:rPr>
            <w:rStyle w:val="Hyperlink"/>
          </w:rPr>
          <w:t xml:space="preserve">[12]</w:t>
        </w:r>
      </w:hyperlink>
      <w:r>
        <w:t xml:space="preserve"> </w:t>
      </w:r>
      <w:r>
        <w:t xml:space="preserve">Workflow - FHIR v6.0.0-ballot4</w:t>
      </w:r>
    </w:p>
    <w:p>
      <w:pPr>
        <w:pStyle w:val="BodyText"/>
      </w:pPr>
      <w:hyperlink r:id="rId70">
        <w:r>
          <w:rPr>
            <w:rStyle w:val="Hyperlink"/>
          </w:rPr>
          <w:t xml:space="preserve">https://build.fhir.org/workflow.html</w:t>
        </w:r>
      </w:hyperlink>
    </w:p>
    <w:p>
      <w:pPr>
        <w:pStyle w:val="BodyText"/>
      </w:pPr>
      <w:hyperlink r:id="rId34">
        <w:r>
          <w:rPr>
            <w:rStyle w:val="Hyperlink"/>
          </w:rPr>
          <w:t xml:space="preserve">[13]</w:t>
        </w:r>
      </w:hyperlink>
      <w:r>
        <w:t xml:space="preserve"> </w:t>
      </w:r>
      <w:r>
        <w:t xml:space="preserve">Task - FHIR v6.0.0-ballot4</w:t>
      </w:r>
    </w:p>
    <w:p>
      <w:pPr>
        <w:pStyle w:val="BodyText"/>
      </w:pPr>
      <w:hyperlink r:id="rId71">
        <w:r>
          <w:rPr>
            <w:rStyle w:val="Hyperlink"/>
          </w:rPr>
          <w:t xml:space="preserve">https://build.fhir.org/task.html</w:t>
        </w:r>
      </w:hyperlink>
    </w:p>
    <w:p>
      <w:pPr>
        <w:pStyle w:val="BodyText"/>
      </w:pPr>
      <w:hyperlink r:id="rId37">
        <w:r>
          <w:rPr>
            <w:rStyle w:val="Hyperlink"/>
          </w:rPr>
          <w:t xml:space="preserve">[14]</w:t>
        </w:r>
      </w:hyperlink>
      <w:r>
        <w:t xml:space="preserve"> </w:t>
      </w:r>
      <w:r>
        <w:t xml:space="preserve">Guide to Attribute Based Access Control (ABAC) Definition and Considerations</w:t>
      </w:r>
    </w:p>
    <w:p>
      <w:pPr>
        <w:pStyle w:val="BodyText"/>
      </w:pPr>
      <w:hyperlink r:id="rId72">
        <w:r>
          <w:rPr>
            <w:rStyle w:val="Hyperlink"/>
          </w:rPr>
          <w:t xml:space="preserve">https://nvlpubs.nist.gov/nistpubs/specialpublications/nist.sp.800-162.pdf</w:t>
        </w:r>
      </w:hyperlink>
    </w:p>
    <w:p>
      <w:pPr>
        <w:pStyle w:val="BodyText"/>
      </w:pPr>
      <w:hyperlink r:id="rId40">
        <w:r>
          <w:rPr>
            <w:rStyle w:val="Hyperlink"/>
          </w:rPr>
          <w:t xml:space="preserve">[15]</w:t>
        </w:r>
      </w:hyperlink>
      <w:r>
        <w:t xml:space="preserve"> </w:t>
      </w:r>
      <w:r>
        <w:t xml:space="preserve">CloudEvents |</w:t>
      </w:r>
    </w:p>
    <w:p>
      <w:pPr>
        <w:pStyle w:val="BodyText"/>
      </w:pPr>
      <w:hyperlink r:id="rId73">
        <w:r>
          <w:rPr>
            <w:rStyle w:val="Hyperlink"/>
          </w:rPr>
          <w:t xml:space="preserve">https://cloudevents.io/</w:t>
        </w:r>
      </w:hyperlink>
    </w:p>
    <w:p>
      <w:pPr>
        <w:pStyle w:val="BodyText"/>
      </w:pPr>
      <w:hyperlink r:id="rId42">
        <w:r>
          <w:rPr>
            <w:rStyle w:val="Hyperlink"/>
          </w:rPr>
          <w:t xml:space="preserve">[16]</w:t>
        </w:r>
      </w:hyperlink>
      <w:r>
        <w:t xml:space="preserve"> </w:t>
      </w:r>
      <w:r>
        <w:t xml:space="preserve">PROV-DM: The PROV Data Model</w:t>
      </w:r>
    </w:p>
    <w:p>
      <w:pPr>
        <w:pStyle w:val="BodyText"/>
      </w:pPr>
      <w:hyperlink r:id="rId74">
        <w:r>
          <w:rPr>
            <w:rStyle w:val="Hyperlink"/>
          </w:rPr>
          <w:t xml:space="preserve">https://www.w3.org/TR/prov-dm/</w:t>
        </w:r>
      </w:hyperlink>
    </w:p>
    <w:p>
      <w:pPr>
        <w:pStyle w:val="BodyText"/>
      </w:pPr>
      <w:hyperlink r:id="rId44">
        <w:r>
          <w:rPr>
            <w:rStyle w:val="Hyperlink"/>
          </w:rPr>
          <w:t xml:space="preserve">[17]</w:t>
        </w:r>
      </w:hyperlink>
      <w:r>
        <w:t xml:space="preserve"> </w:t>
      </w:r>
      <w:hyperlink r:id="rId45">
        <w:r>
          <w:rPr>
            <w:rStyle w:val="Hyperlink"/>
          </w:rPr>
          <w:t xml:space="preserve">[18]</w:t>
        </w:r>
      </w:hyperlink>
      <w:r>
        <w:t xml:space="preserve"> </w:t>
      </w:r>
      <w:r>
        <w:t xml:space="preserve">Temporal: Beyond State Machines for Reliable Distributed Applications | Temporal</w:t>
      </w:r>
    </w:p>
    <w:p>
      <w:pPr>
        <w:pStyle w:val="BodyText"/>
      </w:pPr>
      <w:hyperlink r:id="rId75">
        <w:r>
          <w:rPr>
            <w:rStyle w:val="Hyperlink"/>
          </w:rPr>
          <w:t xml:space="preserve">https://temporal.io/blog/temporal-replaces-state-machines-for-distributed-applications</w:t>
        </w:r>
      </w:hyperlink>
    </w:p>
    <w:p>
      <w:pPr>
        <w:pStyle w:val="BodyText"/>
      </w:pPr>
      <w:hyperlink r:id="rId47">
        <w:r>
          <w:rPr>
            <w:rStyle w:val="Hyperlink"/>
          </w:rPr>
          <w:t xml:space="preserve">[19]</w:t>
        </w:r>
      </w:hyperlink>
      <w:r>
        <w:t xml:space="preserve"> </w:t>
      </w:r>
      <w:hyperlink r:id="rId57">
        <w:r>
          <w:rPr>
            <w:rStyle w:val="Hyperlink"/>
          </w:rPr>
          <w:t xml:space="preserve">[22]</w:t>
        </w:r>
      </w:hyperlink>
      <w:r>
        <w:t xml:space="preserve"> </w:t>
      </w:r>
      <w:r>
        <w:t xml:space="preserve">A Declarative Language for Building And Orchestrating LLM-Powered Agent Workflows</w:t>
      </w:r>
    </w:p>
    <w:p>
      <w:pPr>
        <w:pStyle w:val="BodyText"/>
      </w:pPr>
      <w:hyperlink r:id="rId76">
        <w:r>
          <w:rPr>
            <w:rStyle w:val="Hyperlink"/>
          </w:rPr>
          <w:t xml:space="preserve">https://arxiv.org/html/2512.19769v1</w:t>
        </w:r>
      </w:hyperlink>
    </w:p>
    <w:p>
      <w:pPr>
        <w:pStyle w:val="BodyText"/>
      </w:pPr>
      <w:hyperlink r:id="rId50">
        <w:r>
          <w:rPr>
            <w:rStyle w:val="Hyperlink"/>
          </w:rPr>
          <w:t xml:space="preserve">[20]</w:t>
        </w:r>
      </w:hyperlink>
      <w:r>
        <w:t xml:space="preserve"> </w:t>
      </w:r>
      <w:r>
        <w:t xml:space="preserve">High-level summary of the AI Act | EU Artificial Intelligence Act</w:t>
      </w:r>
    </w:p>
    <w:p>
      <w:pPr>
        <w:pStyle w:val="BodyText"/>
      </w:pPr>
      <w:hyperlink r:id="rId77">
        <w:r>
          <w:rPr>
            <w:rStyle w:val="Hyperlink"/>
          </w:rPr>
          <w:t xml:space="preserve">https://artificialintelligenceact.eu/high-level-summary/</w:t>
        </w:r>
      </w:hyperlink>
    </w:p>
    <w:p>
      <w:pPr>
        <w:pStyle w:val="BodyText"/>
      </w:pPr>
      <w:hyperlink r:id="rId51">
        <w:r>
          <w:rPr>
            <w:rStyle w:val="Hyperlink"/>
          </w:rPr>
          <w:t xml:space="preserve">[21]</w:t>
        </w:r>
      </w:hyperlink>
      <w:r>
        <w:t xml:space="preserve"> </w:t>
      </w:r>
      <w:r>
        <w:t xml:space="preserve">AI Risk Management Framework | NIST</w:t>
      </w:r>
    </w:p>
    <w:p>
      <w:pPr>
        <w:pStyle w:val="BodyText"/>
      </w:pPr>
      <w:hyperlink r:id="rId78">
        <w:r>
          <w:rPr>
            <w:rStyle w:val="Hyperlink"/>
          </w:rPr>
          <w:t xml:space="preserve">https://www.nist.gov/itl/ai-risk-management-framework</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artificialintelligenceact.eu/high-level-summary/" TargetMode="External" /><Relationship Type="http://schemas.openxmlformats.org/officeDocument/2006/relationships/hyperlink" Id="rId50" Target="https://artificialintelligenceact.eu/high-level-summary/#:~:text=authorities%20with%20the%20information%20to,achieve%20appropriate%20levels%20of%20accuracy" TargetMode="External" /><Relationship Type="http://schemas.openxmlformats.org/officeDocument/2006/relationships/hyperlink" Id="rId76" Target="https://arxiv.org/html/2512.19769v1" TargetMode="External" /><Relationship Type="http://schemas.openxmlformats.org/officeDocument/2006/relationships/hyperlink" Id="rId57" Target="https://arxiv.org/html/2512.19769v1#:~:text=Building%20deployment,premises" TargetMode="External" /><Relationship Type="http://schemas.openxmlformats.org/officeDocument/2006/relationships/hyperlink" Id="rId47" Target="https://arxiv.org/html/2512.19769v1#:~:text=declarative%20system%20that%20separates%20agent,premises" TargetMode="External" /><Relationship Type="http://schemas.openxmlformats.org/officeDocument/2006/relationships/hyperlink" Id="rId71" Target="https://build.fhir.org/task.html" TargetMode="External" /><Relationship Type="http://schemas.openxmlformats.org/officeDocument/2006/relationships/hyperlink" Id="rId34" Target="https://build.fhir.org/task.html#:~:text=Task%20spans%20both%20intent%20and,Another%20example" TargetMode="External" /><Relationship Type="http://schemas.openxmlformats.org/officeDocument/2006/relationships/hyperlink" Id="rId70" Target="https://build.fhir.org/workflow.html" TargetMode="External" /><Relationship Type="http://schemas.openxmlformats.org/officeDocument/2006/relationships/hyperlink" Id="rId33" Target="https://build.fhir.org/workflow.html#:~:text=etc,pair%20of%20resources" TargetMode="External" /><Relationship Type="http://schemas.openxmlformats.org/officeDocument/2006/relationships/hyperlink" Id="rId73" Target="https://cloudevents.io/" TargetMode="External" /><Relationship Type="http://schemas.openxmlformats.org/officeDocument/2006/relationships/hyperlink" Id="rId40" Target="https://cloudevents.io/#:~:text=A%20specification%20for%20describing%20event,data%20in%20a%20common%20way" TargetMode="External" /><Relationship Type="http://schemas.openxmlformats.org/officeDocument/2006/relationships/hyperlink" Id="rId69" Target="https://docs.redhat.com/en/documentation/red_hat_decision_manager/5/html/brms_business_process_management_guide/sect-human_task_service" TargetMode="External" /><Relationship Type="http://schemas.openxmlformats.org/officeDocument/2006/relationships/hyperlink" Id="rId32" Target="https://docs.redhat.com/en/documentation/red_hat_decision_manager/5/html/brms_business_process_management_guide/sect-human_task_service#:~:text=The%20default%20implementation%20of%20a,downloaded%20from%20the%20following%20location" TargetMode="External" /><Relationship Type="http://schemas.openxmlformats.org/officeDocument/2006/relationships/hyperlink" Id="rId72" Target="https://nvlpubs.nist.gov/nistpubs/specialpublications/nist.sp.800-162.pdf" TargetMode="External" /><Relationship Type="http://schemas.openxmlformats.org/officeDocument/2006/relationships/hyperlink" Id="rId37" Target="https://nvlpubs.nist.gov/nistpubs/specialpublications/nist.sp.800-162.pdf#:~:text=One%20example%20of%20an%20access,PEPs%29%2C%20Policy%20Administration%20Points" TargetMode="External" /><Relationship Type="http://schemas.openxmlformats.org/officeDocument/2006/relationships/hyperlink" Id="rId65" Target="https://states-language.net/" TargetMode="External" /><Relationship Type="http://schemas.openxmlformats.org/officeDocument/2006/relationships/hyperlink" Id="rId27" Target="https://states-language.net/#:~:text=This%20document%20describes%20a%20JSON,the%20interpreter" TargetMode="External" /><Relationship Type="http://schemas.openxmlformats.org/officeDocument/2006/relationships/hyperlink" Id="rId75" Target="https://temporal.io/blog/temporal-replaces-state-machines-for-distributed-applications" TargetMode="External" /><Relationship Type="http://schemas.openxmlformats.org/officeDocument/2006/relationships/hyperlink" Id="rId44" Target="https://temporal.io/blog/temporal-replaces-state-machines-for-distributed-applications#:~:text=Durable%20Execution%20means%20that%20application,application%20logic%20as%20it%20executes" TargetMode="External" /><Relationship Type="http://schemas.openxmlformats.org/officeDocument/2006/relationships/hyperlink" Id="rId45" Target="https://temporal.io/blog/temporal-replaces-state-machines-for-distributed-applications#:~:text=Temporal%20provides%20native%20support%20for,Activity%20fails%20or%20times%20out" TargetMode="External" /><Relationship Type="http://schemas.openxmlformats.org/officeDocument/2006/relationships/hyperlink" Id="rId66" Target="https://www.cncf.io/projects/serverless-workflow/" TargetMode="External" /><Relationship Type="http://schemas.openxmlformats.org/officeDocument/2006/relationships/hyperlink" Id="rId28" Target="https://www.cncf.io/projects/serverless-workflow/#:~:text=Contains%20the%20official%20specification%20for,consistency%20and%20interoperability%20across%20implementations" TargetMode="External" /><Relationship Type="http://schemas.openxmlformats.org/officeDocument/2006/relationships/hyperlink" Id="rId78" Target="https://www.nist.gov/itl/ai-risk-management-framework" TargetMode="External" /><Relationship Type="http://schemas.openxmlformats.org/officeDocument/2006/relationships/hyperlink" Id="rId51" Target="https://www.nist.gov/itl/ai-risk-management-framework#:~:text=associated%20with%20artificial%20intelligence%20%28AI%29,AI%20products%2C%20services%2C%20and%20systems" TargetMode="External" /><Relationship Type="http://schemas.openxmlformats.org/officeDocument/2006/relationships/hyperlink" Id="rId61" Target="https://www.omg.org/cmmn/" TargetMode="External" /><Relationship Type="http://schemas.openxmlformats.org/officeDocument/2006/relationships/hyperlink" Id="rId25" Target="https://www.omg.org/cmmn/#:~:text=CMMN%20is%20a%20graphical%20notation,broader%20spectrum%20of%20work%20methods" TargetMode="External" /><Relationship Type="http://schemas.openxmlformats.org/officeDocument/2006/relationships/hyperlink" Id="rId21" Target="https://www.omg.org/cmmn/#:~:text=CMMN%20is%20part%20of%20the,CMMN%20and%20%2073" TargetMode="External" /><Relationship Type="http://schemas.openxmlformats.org/officeDocument/2006/relationships/hyperlink" Id="rId62" Target="https://www.omg.org/dmn/" TargetMode="External" /><Relationship Type="http://schemas.openxmlformats.org/officeDocument/2006/relationships/hyperlink" Id="rId22" Target="https://www.omg.org/dmn/#:~:text=DMN%20is%20designed%20to%20work,to%20each%20type%20of%20activity" TargetMode="External" /><Relationship Type="http://schemas.openxmlformats.org/officeDocument/2006/relationships/hyperlink" Id="rId24" Target="https://www.omg.org/dmn/#:~:text=Decision%20Model%20and%20Notation%20,monitor%20their%20application%3B%20business%20analysts" TargetMode="External" /><Relationship Type="http://schemas.openxmlformats.org/officeDocument/2006/relationships/hyperlink" Id="rId63" Target="https://www.omg.org/spec/BPMN/2.0.2/About-BPMN" TargetMode="External" /><Relationship Type="http://schemas.openxmlformats.org/officeDocument/2006/relationships/hyperlink" Id="rId23" Target="https://www.omg.org/spec/BPMN/2.0.2/About-BPMN#:~:text=Business%20Process%20Model%20and%20Notation,like%20notation%20that%20is" TargetMode="External" /><Relationship Type="http://schemas.openxmlformats.org/officeDocument/2006/relationships/hyperlink" Id="rId67" Target="https://www.vdaalst.com/publications/p108.pdf" TargetMode="External" /><Relationship Type="http://schemas.openxmlformats.org/officeDocument/2006/relationships/hyperlink" Id="rId29" Target="https://www.vdaalst.com/publications/p108.pdf#:~:text=Problem%20Many%20work%0Dow%20management%20systems,both%20types%20of%20choices%20are" TargetMode="External" /><Relationship Type="http://schemas.openxmlformats.org/officeDocument/2006/relationships/hyperlink" Id="rId74" Target="https://www.w3.org/TR/prov-dm/" TargetMode="External" /><Relationship Type="http://schemas.openxmlformats.org/officeDocument/2006/relationships/hyperlink" Id="rId42" Target="https://www.w3.org/TR/prov-dm/#:~:text=Provenance%20is%20information%20about%20entities%2C,3%29%20agents%20bearing" TargetMode="External" /><Relationship Type="http://schemas.openxmlformats.org/officeDocument/2006/relationships/hyperlink" Id="rId64" Target="https://www.w3.org/TR/scxml/" TargetMode="External" /><Relationship Type="http://schemas.openxmlformats.org/officeDocument/2006/relationships/hyperlink" Id="rId26" Target="https://www.w3.org/TR/scxml/#:~:text=Abstract" TargetMode="External" /><Relationship Type="http://schemas.openxmlformats.org/officeDocument/2006/relationships/hyperlink" Id="rId68" Target="https://yawlfoundation.github.io/assets/files/yawlrevtech.pdf" TargetMode="External" /><Relationship Type="http://schemas.openxmlformats.org/officeDocument/2006/relationships/hyperlink" Id="rId30" Target="https://yawlfoundation.github.io/assets/files/yawlrevtech.pdf#:~:text=see%20serious%20limitations%20when%20it,the%20remainder%20of%20this%20section" TargetMode="External" /></Relationships>
</file>

<file path=word/_rels/footnotes.xml.rels><?xml version="1.0" encoding="UTF-8"?><Relationships xmlns="http://schemas.openxmlformats.org/package/2006/relationships"><Relationship Type="http://schemas.openxmlformats.org/officeDocument/2006/relationships/hyperlink" Id="rId77" Target="https://artificialintelligenceact.eu/high-level-summary/" TargetMode="External" /><Relationship Type="http://schemas.openxmlformats.org/officeDocument/2006/relationships/hyperlink" Id="rId50" Target="https://artificialintelligenceact.eu/high-level-summary/#:~:text=authorities%20with%20the%20information%20to,achieve%20appropriate%20levels%20of%20accuracy" TargetMode="External" /><Relationship Type="http://schemas.openxmlformats.org/officeDocument/2006/relationships/hyperlink" Id="rId76" Target="https://arxiv.org/html/2512.19769v1" TargetMode="External" /><Relationship Type="http://schemas.openxmlformats.org/officeDocument/2006/relationships/hyperlink" Id="rId57" Target="https://arxiv.org/html/2512.19769v1#:~:text=Building%20deployment,premises" TargetMode="External" /><Relationship Type="http://schemas.openxmlformats.org/officeDocument/2006/relationships/hyperlink" Id="rId47" Target="https://arxiv.org/html/2512.19769v1#:~:text=declarative%20system%20that%20separates%20agent,premises" TargetMode="External" /><Relationship Type="http://schemas.openxmlformats.org/officeDocument/2006/relationships/hyperlink" Id="rId71" Target="https://build.fhir.org/task.html" TargetMode="External" /><Relationship Type="http://schemas.openxmlformats.org/officeDocument/2006/relationships/hyperlink" Id="rId34" Target="https://build.fhir.org/task.html#:~:text=Task%20spans%20both%20intent%20and,Another%20example" TargetMode="External" /><Relationship Type="http://schemas.openxmlformats.org/officeDocument/2006/relationships/hyperlink" Id="rId70" Target="https://build.fhir.org/workflow.html" TargetMode="External" /><Relationship Type="http://schemas.openxmlformats.org/officeDocument/2006/relationships/hyperlink" Id="rId33" Target="https://build.fhir.org/workflow.html#:~:text=etc,pair%20of%20resources" TargetMode="External" /><Relationship Type="http://schemas.openxmlformats.org/officeDocument/2006/relationships/hyperlink" Id="rId73" Target="https://cloudevents.io/" TargetMode="External" /><Relationship Type="http://schemas.openxmlformats.org/officeDocument/2006/relationships/hyperlink" Id="rId40" Target="https://cloudevents.io/#:~:text=A%20specification%20for%20describing%20event,data%20in%20a%20common%20way" TargetMode="External" /><Relationship Type="http://schemas.openxmlformats.org/officeDocument/2006/relationships/hyperlink" Id="rId69" Target="https://docs.redhat.com/en/documentation/red_hat_decision_manager/5/html/brms_business_process_management_guide/sect-human_task_service" TargetMode="External" /><Relationship Type="http://schemas.openxmlformats.org/officeDocument/2006/relationships/hyperlink" Id="rId32" Target="https://docs.redhat.com/en/documentation/red_hat_decision_manager/5/html/brms_business_process_management_guide/sect-human_task_service#:~:text=The%20default%20implementation%20of%20a,downloaded%20from%20the%20following%20location" TargetMode="External" /><Relationship Type="http://schemas.openxmlformats.org/officeDocument/2006/relationships/hyperlink" Id="rId72" Target="https://nvlpubs.nist.gov/nistpubs/specialpublications/nist.sp.800-162.pdf" TargetMode="External" /><Relationship Type="http://schemas.openxmlformats.org/officeDocument/2006/relationships/hyperlink" Id="rId37" Target="https://nvlpubs.nist.gov/nistpubs/specialpublications/nist.sp.800-162.pdf#:~:text=One%20example%20of%20an%20access,PEPs%29%2C%20Policy%20Administration%20Points" TargetMode="External" /><Relationship Type="http://schemas.openxmlformats.org/officeDocument/2006/relationships/hyperlink" Id="rId65" Target="https://states-language.net/" TargetMode="External" /><Relationship Type="http://schemas.openxmlformats.org/officeDocument/2006/relationships/hyperlink" Id="rId27" Target="https://states-language.net/#:~:text=This%20document%20describes%20a%20JSON,the%20interpreter" TargetMode="External" /><Relationship Type="http://schemas.openxmlformats.org/officeDocument/2006/relationships/hyperlink" Id="rId75" Target="https://temporal.io/blog/temporal-replaces-state-machines-for-distributed-applications" TargetMode="External" /><Relationship Type="http://schemas.openxmlformats.org/officeDocument/2006/relationships/hyperlink" Id="rId44" Target="https://temporal.io/blog/temporal-replaces-state-machines-for-distributed-applications#:~:text=Durable%20Execution%20means%20that%20application,application%20logic%20as%20it%20executes" TargetMode="External" /><Relationship Type="http://schemas.openxmlformats.org/officeDocument/2006/relationships/hyperlink" Id="rId45" Target="https://temporal.io/blog/temporal-replaces-state-machines-for-distributed-applications#:~:text=Temporal%20provides%20native%20support%20for,Activity%20fails%20or%20times%20out" TargetMode="External" /><Relationship Type="http://schemas.openxmlformats.org/officeDocument/2006/relationships/hyperlink" Id="rId66" Target="https://www.cncf.io/projects/serverless-workflow/" TargetMode="External" /><Relationship Type="http://schemas.openxmlformats.org/officeDocument/2006/relationships/hyperlink" Id="rId28" Target="https://www.cncf.io/projects/serverless-workflow/#:~:text=Contains%20the%20official%20specification%20for,consistency%20and%20interoperability%20across%20implementations" TargetMode="External" /><Relationship Type="http://schemas.openxmlformats.org/officeDocument/2006/relationships/hyperlink" Id="rId78" Target="https://www.nist.gov/itl/ai-risk-management-framework" TargetMode="External" /><Relationship Type="http://schemas.openxmlformats.org/officeDocument/2006/relationships/hyperlink" Id="rId51" Target="https://www.nist.gov/itl/ai-risk-management-framework#:~:text=associated%20with%20artificial%20intelligence%20%28AI%29,AI%20products%2C%20services%2C%20and%20systems" TargetMode="External" /><Relationship Type="http://schemas.openxmlformats.org/officeDocument/2006/relationships/hyperlink" Id="rId61" Target="https://www.omg.org/cmmn/" TargetMode="External" /><Relationship Type="http://schemas.openxmlformats.org/officeDocument/2006/relationships/hyperlink" Id="rId25" Target="https://www.omg.org/cmmn/#:~:text=CMMN%20is%20a%20graphical%20notation,broader%20spectrum%20of%20work%20methods" TargetMode="External" /><Relationship Type="http://schemas.openxmlformats.org/officeDocument/2006/relationships/hyperlink" Id="rId21" Target="https://www.omg.org/cmmn/#:~:text=CMMN%20is%20part%20of%20the,CMMN%20and%20%2073" TargetMode="External" /><Relationship Type="http://schemas.openxmlformats.org/officeDocument/2006/relationships/hyperlink" Id="rId62" Target="https://www.omg.org/dmn/" TargetMode="External" /><Relationship Type="http://schemas.openxmlformats.org/officeDocument/2006/relationships/hyperlink" Id="rId22" Target="https://www.omg.org/dmn/#:~:text=DMN%20is%20designed%20to%20work,to%20each%20type%20of%20activity" TargetMode="External" /><Relationship Type="http://schemas.openxmlformats.org/officeDocument/2006/relationships/hyperlink" Id="rId24" Target="https://www.omg.org/dmn/#:~:text=Decision%20Model%20and%20Notation%20,monitor%20their%20application%3B%20business%20analysts" TargetMode="External" /><Relationship Type="http://schemas.openxmlformats.org/officeDocument/2006/relationships/hyperlink" Id="rId63" Target="https://www.omg.org/spec/BPMN/2.0.2/About-BPMN" TargetMode="External" /><Relationship Type="http://schemas.openxmlformats.org/officeDocument/2006/relationships/hyperlink" Id="rId23" Target="https://www.omg.org/spec/BPMN/2.0.2/About-BPMN#:~:text=Business%20Process%20Model%20and%20Notation,like%20notation%20that%20is" TargetMode="External" /><Relationship Type="http://schemas.openxmlformats.org/officeDocument/2006/relationships/hyperlink" Id="rId67" Target="https://www.vdaalst.com/publications/p108.pdf" TargetMode="External" /><Relationship Type="http://schemas.openxmlformats.org/officeDocument/2006/relationships/hyperlink" Id="rId29" Target="https://www.vdaalst.com/publications/p108.pdf#:~:text=Problem%20Many%20work%0Dow%20management%20systems,both%20types%20of%20choices%20are" TargetMode="External" /><Relationship Type="http://schemas.openxmlformats.org/officeDocument/2006/relationships/hyperlink" Id="rId74" Target="https://www.w3.org/TR/prov-dm/" TargetMode="External" /><Relationship Type="http://schemas.openxmlformats.org/officeDocument/2006/relationships/hyperlink" Id="rId42" Target="https://www.w3.org/TR/prov-dm/#:~:text=Provenance%20is%20information%20about%20entities%2C,3%29%20agents%20bearing" TargetMode="External" /><Relationship Type="http://schemas.openxmlformats.org/officeDocument/2006/relationships/hyperlink" Id="rId64" Target="https://www.w3.org/TR/scxml/" TargetMode="External" /><Relationship Type="http://schemas.openxmlformats.org/officeDocument/2006/relationships/hyperlink" Id="rId26" Target="https://www.w3.org/TR/scxml/#:~:text=Abstract" TargetMode="External" /><Relationship Type="http://schemas.openxmlformats.org/officeDocument/2006/relationships/hyperlink" Id="rId68" Target="https://yawlfoundation.github.io/assets/files/yawlrevtech.pdf" TargetMode="External" /><Relationship Type="http://schemas.openxmlformats.org/officeDocument/2006/relationships/hyperlink" Id="rId30" Target="https://yawlfoundation.github.io/assets/files/yawlrevtech.pdf#:~:text=see%20serious%20limitations%20when%20it,the%20remainder%20of%20this%20s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2026-04-09T18:21:17Z</dcterms:created>
  <dcterms:modified xsi:type="dcterms:W3CDTF">2026-04-09T18:21:17Z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