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5" w:name="content"/>
    <w:bookmarkStart w:id="104" w:name="X9ab6a24504a2df7c06c70098e8425db42e01c95"/>
    <w:p>
      <w:pPr>
        <w:pStyle w:val="Heading1"/>
      </w:pPr>
      <w:r>
        <w:t xml:space="preserve">Agentic AI Integration for High-Stakes, Durable, Human-in-the-Loop Case Workflows</w:t>
      </w:r>
    </w:p>
    <w:bookmarkStart w:id="29" w:name="executive-summary"/>
    <w:p>
      <w:pPr>
        <w:pStyle w:val="Heading2"/>
      </w:pPr>
      <w:r>
        <w:t xml:space="preserve">Executive summary</w:t>
      </w:r>
    </w:p>
    <w:p>
      <w:pPr>
        <w:pStyle w:val="FirstParagraph"/>
      </w:pPr>
      <w:r>
        <w:t xml:space="preserve">Agentic AI integration is converging on a layered interoperability stack that looks a lot like the “separation of concerns” you would design for high-stakes workflows anyway:</w:t>
      </w:r>
      <w:r>
        <w:t xml:space="preserve"> </w:t>
      </w:r>
      <w:r>
        <w:rPr>
          <w:b/>
          <w:bCs/>
        </w:rPr>
        <w:t xml:space="preserve">(a) a tool/context connection layer</w:t>
      </w:r>
      <w:r>
        <w:t xml:space="preserve">,</w:t>
      </w:r>
      <w:r>
        <w:t xml:space="preserve"> </w:t>
      </w:r>
      <w:r>
        <w:rPr>
          <w:b/>
          <w:bCs/>
        </w:rPr>
        <w:t xml:space="preserve">(b) an agent-to-agent collaboration layer</w:t>
      </w:r>
      <w:r>
        <w:t xml:space="preserve">,</w:t>
      </w:r>
      <w:r>
        <w:t xml:space="preserve"> </w:t>
      </w:r>
      <w:r>
        <w:rPr>
          <w:b/>
          <w:bCs/>
        </w:rPr>
        <w:t xml:space="preserve">(c) a model/tool-calling layer</w:t>
      </w:r>
      <w:r>
        <w:t xml:space="preserve">, and</w:t>
      </w:r>
      <w:r>
        <w:t xml:space="preserve"> </w:t>
      </w:r>
      <w:r>
        <w:rPr>
          <w:b/>
          <w:bCs/>
        </w:rPr>
        <w:t xml:space="preserve">(d) an observability + audit/provenance layer</w:t>
      </w:r>
      <w:r>
        <w:t xml:space="preserve">. The hard part is not “calling tools”; it’s doing so in a way that remains</w:t>
      </w:r>
      <w:r>
        <w:t xml:space="preserve"> </w:t>
      </w:r>
      <w:r>
        <w:rPr>
          <w:b/>
          <w:bCs/>
        </w:rPr>
        <w:t xml:space="preserve">durable, replayable, governable, and auditable</w:t>
      </w:r>
      <w:r>
        <w:t xml:space="preserve"> </w:t>
      </w:r>
      <w:r>
        <w:t xml:space="preserve">across long-running workflows where humans can override decisions and evidence changes over time.</w:t>
      </w:r>
      <w:r>
        <w:t xml:space="preserve"> </w:t>
      </w:r>
      <w:hyperlink r:id="rId21">
        <w:r>
          <w:rPr>
            <w:rStyle w:val="Hyperlink"/>
          </w:rPr>
          <w:t xml:space="preserve">[1]</w:t>
        </w:r>
      </w:hyperlink>
    </w:p>
    <w:p>
      <w:pPr>
        <w:pStyle w:val="BodyText"/>
      </w:pPr>
      <w:r>
        <w:t xml:space="preserve">A key modern reality is that “agentic” and “durable workflows” collide on</w:t>
      </w:r>
      <w:r>
        <w:t xml:space="preserve"> </w:t>
      </w:r>
      <w:r>
        <w:rPr>
          <w:b/>
          <w:bCs/>
        </w:rPr>
        <w:t xml:space="preserve">determinism</w:t>
      </w:r>
      <w:r>
        <w:t xml:space="preserve">. Durable orchestration systems rely on event histories and replay to recover and continue; they constrain orchestration logic to be deterministic and push nondeterminism into recorded events/activities. LLM/agent steps are fundamentally nondeterministic, so</w:t>
      </w:r>
      <w:r>
        <w:t xml:space="preserve"> </w:t>
      </w:r>
      <w:r>
        <w:rPr>
          <w:b/>
          <w:bCs/>
        </w:rPr>
        <w:t xml:space="preserve">agent invocations must be modeled as externalized, event-recorded steps</w:t>
      </w:r>
      <w:r>
        <w:t xml:space="preserve"> </w:t>
      </w:r>
      <w:r>
        <w:t xml:space="preserve">(more like “activities” than “workflow code”), with explicit idempotency and approval boundaries. This isn’t a philosophical preference; it’s what makes replay and audit coherent.</w:t>
      </w:r>
      <w:r>
        <w:t xml:space="preserve"> </w:t>
      </w:r>
      <w:hyperlink r:id="rId22">
        <w:r>
          <w:rPr>
            <w:rStyle w:val="Hyperlink"/>
          </w:rPr>
          <w:t xml:space="preserve">[2]</w:t>
        </w:r>
      </w:hyperlink>
    </w:p>
    <w:p>
      <w:pPr>
        <w:pStyle w:val="BodyText"/>
      </w:pPr>
      <w:r>
        <w:t xml:space="preserve">On standards/protocols:</w:t>
      </w:r>
    </w:p>
    <w:p>
      <w:pPr>
        <w:pStyle w:val="Compact"/>
        <w:numPr>
          <w:ilvl w:val="0"/>
          <w:numId w:val="1001"/>
        </w:numPr>
      </w:pPr>
      <w:r>
        <w:rPr>
          <w:b/>
          <w:bCs/>
        </w:rPr>
        <w:t xml:space="preserve">MCP</w:t>
      </w:r>
      <w:r>
        <w:t xml:space="preserve"> </w:t>
      </w:r>
      <w:r>
        <w:t xml:space="preserve">(Model Context Protocol) is the strongest emerging “narrow waist” for connecting LLM applications to tools/data with explicit lifecycle and</w:t>
      </w:r>
      <w:r>
        <w:t xml:space="preserve"> </w:t>
      </w:r>
      <w:r>
        <w:rPr>
          <w:b/>
          <w:bCs/>
        </w:rPr>
        <w:t xml:space="preserve">capability negotiation</w:t>
      </w:r>
      <w:r>
        <w:t xml:space="preserve">, built on JSON-RPC, and intentionally modular. For workflow standards, MCP’s most valuable lessons are: lifecycle rigor, capability negotiation, and typed tool access with extensibility points.</w:t>
      </w:r>
      <w:r>
        <w:t xml:space="preserve"> </w:t>
      </w:r>
      <w:hyperlink r:id="rId21">
        <w:r>
          <w:rPr>
            <w:rStyle w:val="Hyperlink"/>
          </w:rPr>
          <w:t xml:space="preserve">[3]</w:t>
        </w:r>
      </w:hyperlink>
    </w:p>
    <w:p>
      <w:pPr>
        <w:pStyle w:val="Compact"/>
        <w:numPr>
          <w:ilvl w:val="0"/>
          <w:numId w:val="1001"/>
        </w:numPr>
      </w:pPr>
      <w:r>
        <w:rPr>
          <w:b/>
          <w:bCs/>
        </w:rPr>
        <w:t xml:space="preserve">A2A</w:t>
      </w:r>
      <w:r>
        <w:t xml:space="preserve"> </w:t>
      </w:r>
      <w:r>
        <w:t xml:space="preserve">(Agent2Agent Protocol) is the strongest early signal for</w:t>
      </w:r>
      <w:r>
        <w:t xml:space="preserve"> </w:t>
      </w:r>
      <w:r>
        <w:rPr>
          <w:b/>
          <w:bCs/>
        </w:rPr>
        <w:t xml:space="preserve">cross-agent interoperability</w:t>
      </w:r>
      <w:r>
        <w:t xml:space="preserve">, with agent discovery via</w:t>
      </w:r>
      <w:r>
        <w:t xml:space="preserve"> </w:t>
      </w:r>
      <w:r>
        <w:rPr>
          <w:b/>
          <w:bCs/>
        </w:rPr>
        <w:t xml:space="preserve">Agent Cards</w:t>
      </w:r>
      <w:r>
        <w:t xml:space="preserve">, support for synchronous + streaming + async interactions, and an explicit “Task vs Message” distinction for long-running work and artifact production. For case orchestration, A2A’s “task immutability” and context grouping map cleanly to high-stakes workflow traceability needs.</w:t>
      </w:r>
      <w:r>
        <w:t xml:space="preserve"> </w:t>
      </w:r>
      <w:hyperlink r:id="rId23">
        <w:r>
          <w:rPr>
            <w:rStyle w:val="Hyperlink"/>
          </w:rPr>
          <w:t xml:space="preserve">[4]</w:t>
        </w:r>
      </w:hyperlink>
    </w:p>
    <w:p>
      <w:pPr>
        <w:pStyle w:val="Compact"/>
        <w:numPr>
          <w:ilvl w:val="0"/>
          <w:numId w:val="1001"/>
        </w:numPr>
      </w:pPr>
      <w:r>
        <w:rPr>
          <w:b/>
          <w:bCs/>
        </w:rPr>
        <w:t xml:space="preserve">OpenAI tool/function calling</w:t>
      </w:r>
      <w:r>
        <w:t xml:space="preserve"> </w:t>
      </w:r>
      <w:r>
        <w:t xml:space="preserve">illustrates a pragmatic “model ↔ application” contract: tools defined via JSON Schema, structured outputs, and an agentic loop pattern where the model can call multiple tools in one request. This is not a standards-body spec, but it is operationally influential and already includes explicit MCP integration hooks (“remote MCP servers”).</w:t>
      </w:r>
      <w:r>
        <w:t xml:space="preserve"> </w:t>
      </w:r>
      <w:hyperlink r:id="rId24">
        <w:r>
          <w:rPr>
            <w:rStyle w:val="Hyperlink"/>
          </w:rPr>
          <w:t xml:space="preserve">[5]</w:t>
        </w:r>
      </w:hyperlink>
    </w:p>
    <w:p>
      <w:pPr>
        <w:pStyle w:val="Compact"/>
        <w:numPr>
          <w:ilvl w:val="0"/>
          <w:numId w:val="1001"/>
        </w:numPr>
      </w:pPr>
      <w:r>
        <w:rPr>
          <w:b/>
          <w:bCs/>
        </w:rPr>
        <w:t xml:space="preserve">OpenTelemetry GenAI semantic conventions</w:t>
      </w:r>
      <w:r>
        <w:t xml:space="preserve"> </w:t>
      </w:r>
      <w:r>
        <w:t xml:space="preserve">are the clearest emerging common vocabulary for tracing agent/model calls, but much of the agent-specific portion is still labeled</w:t>
      </w:r>
      <w:r>
        <w:t xml:space="preserve"> </w:t>
      </w:r>
      <w:r>
        <w:rPr>
          <w:b/>
          <w:bCs/>
        </w:rPr>
        <w:t xml:space="preserve">Development</w:t>
      </w:r>
      <w:r>
        <w:t xml:space="preserve">, which is a strong signal for designing mappings and conformance profiles carefully rather than hard-coding unstable fields into a permanent core.</w:t>
      </w:r>
      <w:r>
        <w:t xml:space="preserve"> </w:t>
      </w:r>
      <w:hyperlink r:id="rId25">
        <w:r>
          <w:rPr>
            <w:rStyle w:val="Hyperlink"/>
          </w:rPr>
          <w:t xml:space="preserve">[6]</w:t>
        </w:r>
      </w:hyperlink>
    </w:p>
    <w:p>
      <w:pPr>
        <w:pStyle w:val="FirstParagraph"/>
      </w:pPr>
      <w:r>
        <w:t xml:space="preserve">On risk and governance:</w:t>
      </w:r>
    </w:p>
    <w:p>
      <w:pPr>
        <w:pStyle w:val="Compact"/>
        <w:numPr>
          <w:ilvl w:val="0"/>
          <w:numId w:val="1002"/>
        </w:numPr>
      </w:pPr>
      <w:r>
        <w:t xml:space="preserve">The modern agent risk surface is dominated by</w:t>
      </w:r>
      <w:r>
        <w:t xml:space="preserve"> </w:t>
      </w:r>
      <w:r>
        <w:rPr>
          <w:b/>
          <w:bCs/>
        </w:rPr>
        <w:t xml:space="preserve">prompt injection / indirect prompt injection</w:t>
      </w:r>
      <w:r>
        <w:t xml:space="preserve">, insecure output handling, and “excessive agency,” which are now formalized in security guidance like the</w:t>
      </w:r>
      <w:r>
        <w:t xml:space="preserve"> </w:t>
      </w:r>
      <w:r>
        <w:rPr>
          <w:b/>
          <w:bCs/>
        </w:rPr>
        <w:t xml:space="preserve">OWASP Top 10 for LLM Applications</w:t>
      </w:r>
      <w:r>
        <w:t xml:space="preserve"> </w:t>
      </w:r>
      <w:r>
        <w:t xml:space="preserve">and extensively demonstrated in academic security literature on indirect prompt injection. High-stakes workflows cannot safely treat agent autonomy as “an internal implementation detail.”</w:t>
      </w:r>
      <w:r>
        <w:t xml:space="preserve"> </w:t>
      </w:r>
      <w:hyperlink r:id="rId26">
        <w:r>
          <w:rPr>
            <w:rStyle w:val="Hyperlink"/>
          </w:rPr>
          <w:t xml:space="preserve">[7]</w:t>
        </w:r>
      </w:hyperlink>
    </w:p>
    <w:p>
      <w:pPr>
        <w:pStyle w:val="Compact"/>
        <w:numPr>
          <w:ilvl w:val="0"/>
          <w:numId w:val="1002"/>
        </w:numPr>
      </w:pPr>
      <w:r>
        <w:t xml:space="preserve">Governance frameworks (notably</w:t>
      </w:r>
      <w:r>
        <w:t xml:space="preserve"> </w:t>
      </w:r>
      <w:r>
        <w:rPr>
          <w:b/>
          <w:bCs/>
        </w:rPr>
        <w:t xml:space="preserve">NIST AI RMF 1.0</w:t>
      </w:r>
      <w:r>
        <w:t xml:space="preserve"> </w:t>
      </w:r>
      <w:r>
        <w:t xml:space="preserve">and the</w:t>
      </w:r>
      <w:r>
        <w:t xml:space="preserve"> </w:t>
      </w:r>
      <w:r>
        <w:rPr>
          <w:b/>
          <w:bCs/>
        </w:rPr>
        <w:t xml:space="preserve">NIST Generative AI Profile</w:t>
      </w:r>
      <w:r>
        <w:t xml:space="preserve">) and regulations (notably the</w:t>
      </w:r>
      <w:r>
        <w:t xml:space="preserve"> </w:t>
      </w:r>
      <w:r>
        <w:rPr>
          <w:b/>
          <w:bCs/>
        </w:rPr>
        <w:t xml:space="preserve">EU AI Act</w:t>
      </w:r>
      <w:r>
        <w:t xml:space="preserve">) raise the bar for risk management, documentation, transparency, and accountability. For a workflow standard, this translates into required primitives for authority, approvals, provenance, evidence handling, and redress/override semantics.</w:t>
      </w:r>
      <w:r>
        <w:t xml:space="preserve"> </w:t>
      </w:r>
      <w:hyperlink r:id="rId27">
        <w:r>
          <w:rPr>
            <w:rStyle w:val="Hyperlink"/>
          </w:rPr>
          <w:t xml:space="preserve">[8]</w:t>
        </w:r>
      </w:hyperlink>
    </w:p>
    <w:p>
      <w:pPr>
        <w:pStyle w:val="FirstParagraph"/>
      </w:pPr>
      <w:r>
        <w:t xml:space="preserve">Implication for your “AI Agent Integration tier” decision:</w:t>
      </w:r>
      <w:r>
        <w:t xml:space="preserve"> </w:t>
      </w:r>
      <w:r>
        <w:rPr>
          <w:b/>
          <w:bCs/>
        </w:rPr>
        <w:t xml:space="preserve">the scheme should be agent-compatible in the core (authority + audit + replay hooks), while protocol-level agent interoperability (MCP/A2A mappings, capability descriptors, telemetry mappings) belongs in a dedicated tier/profile</w:t>
      </w:r>
      <w:r>
        <w:t xml:space="preserve">. This yields portability without freezing fast-moving protocol details into the kernel.</w:t>
      </w:r>
      <w:r>
        <w:t xml:space="preserve"> </w:t>
      </w:r>
      <w:hyperlink r:id="rId28">
        <w:r>
          <w:rPr>
            <w:rStyle w:val="Hyperlink"/>
          </w:rPr>
          <w:t xml:space="preserve">[9]</w:t>
        </w:r>
      </w:hyperlink>
    </w:p>
    <w:bookmarkEnd w:id="29"/>
    <w:bookmarkStart w:id="49" w:name="X8e2fe785510f3c970cfaa0dc96ea49b1a617abe"/>
    <w:p>
      <w:pPr>
        <w:pStyle w:val="Heading2"/>
      </w:pPr>
      <w:r>
        <w:t xml:space="preserve">Interoperability protocols and standards for agentic integration</w:t>
      </w:r>
    </w:p>
    <w:p>
      <w:pPr>
        <w:pStyle w:val="FirstParagraph"/>
      </w:pPr>
      <w:r>
        <w:t xml:space="preserve">This section surveys the standards/protocol layer you can realistically build interoperability around, and classifies each item against your core spec using</w:t>
      </w:r>
      <w:r>
        <w:t xml:space="preserve"> </w:t>
      </w:r>
      <w:r>
        <w:rPr>
          <w:b/>
          <w:bCs/>
        </w:rPr>
        <w:t xml:space="preserve">Adopt / Adapt / Missing / Out-of-scope</w:t>
      </w:r>
      <w:r>
        <w:t xml:space="preserve"> </w:t>
      </w:r>
      <w:r>
        <w:t xml:space="preserve">(for the</w:t>
      </w:r>
      <w:r>
        <w:t xml:space="preserve"> </w:t>
      </w:r>
      <w:r>
        <w:rPr>
          <w:i/>
          <w:iCs/>
        </w:rPr>
        <w:t xml:space="preserve">core kernel</w:t>
      </w:r>
      <w:r>
        <w:t xml:space="preserve">, not for the agent tier).</w:t>
      </w:r>
    </w:p>
    <w:bookmarkStart w:id="43" w:name="Xae721b35ce6b71d3cefc2f687df2d6b9d91d326"/>
    <w:p>
      <w:pPr>
        <w:pStyle w:val="Heading3"/>
      </w:pPr>
      <w:r>
        <w:t xml:space="preserve">Selected corpus of protocols and standards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Artifact</w:t>
            </w:r>
          </w:p>
        </w:tc>
        <w:tc>
          <w:tcPr/>
          <w:p>
            <w:pPr>
              <w:pStyle w:val="Compact"/>
            </w:pPr>
            <w:r>
              <w:t xml:space="preserve">Canonical primary source</w:t>
            </w:r>
          </w:p>
        </w:tc>
        <w:tc>
          <w:tcPr/>
          <w:p>
            <w:pPr>
              <w:pStyle w:val="Compact"/>
            </w:pPr>
            <w:r>
              <w:t xml:space="preserve">What it is</w:t>
            </w:r>
          </w:p>
        </w:tc>
        <w:tc>
          <w:tcPr/>
          <w:p>
            <w:pPr>
              <w:pStyle w:val="Compact"/>
            </w:pPr>
            <w:r>
              <w:t xml:space="preserve">Key concepts for high-stakes workflows</w:t>
            </w:r>
          </w:p>
        </w:tc>
        <w:tc>
          <w:tcPr/>
          <w:p>
            <w:pPr>
              <w:pStyle w:val="Compact"/>
            </w:pPr>
            <w:r>
              <w:t xml:space="preserve">Core classification</w:t>
            </w:r>
          </w:p>
        </w:tc>
      </w:tr>
      <w:tr>
        <w:tc>
          <w:tcPr/>
          <w:p>
            <w:pPr>
              <w:pStyle w:val="Compact"/>
            </w:pPr>
            <w:r>
              <w:t xml:space="preserve">Model Context Protocol (MCP)</w:t>
            </w:r>
          </w:p>
        </w:tc>
        <w:tc>
          <w:tcPr/>
          <w:p>
            <w:pPr>
              <w:pStyle w:val="Compact"/>
            </w:pPr>
            <w:r>
              <w:t xml:space="preserve">MCP base protocol overview + lifecycle + spec</w:t>
            </w:r>
            <w:r>
              <w:t xml:space="preserve"> </w:t>
            </w:r>
            <w:hyperlink r:id="rId21">
              <w:r>
                <w:rPr>
                  <w:rStyle w:val="Hyperlink"/>
                </w:rPr>
                <w:t xml:space="preserve">[3]</w:t>
              </w:r>
            </w:hyperlink>
          </w:p>
        </w:tc>
        <w:tc>
          <w:tcPr/>
          <w:p>
            <w:pPr>
              <w:pStyle w:val="Compact"/>
            </w:pPr>
            <w:r>
              <w:t xml:space="preserve">Open protocol for LLM apps ↔ tools/resources/prompts, with mandatory lifecycle + JSON-RPC messaging</w:t>
            </w:r>
          </w:p>
        </w:tc>
        <w:tc>
          <w:tcPr/>
          <w:p>
            <w:pPr>
              <w:pStyle w:val="Compact"/>
            </w:pPr>
            <w:r>
              <w:t xml:space="preserve">Capability negotiation, lifecycle phases, modular feature sets, reserved metadata</w:t>
            </w:r>
            <w:r>
              <w:t xml:space="preserve"> </w:t>
            </w:r>
            <w:r>
              <w:rPr>
                <w:rStyle w:val="VerbatimChar"/>
              </w:rPr>
              <w:t xml:space="preserve">_meta</w:t>
            </w:r>
            <w:r>
              <w:t xml:space="preserve"> </w:t>
            </w:r>
            <w:r>
              <w:t xml:space="preserve">namespace concept, auth framework for HTTP transports, server “tools/resources/prompts” model</w:t>
            </w:r>
            <w:r>
              <w:t xml:space="preserve"> </w:t>
            </w:r>
            <w:hyperlink r:id="rId21">
              <w:r>
                <w:rPr>
                  <w:rStyle w:val="Hyperlink"/>
                </w:rPr>
                <w:t xml:space="preserve">[10]</w:t>
              </w:r>
            </w:hyperlink>
          </w:p>
        </w:tc>
        <w:tc>
          <w:tcPr/>
          <w:p>
            <w:pPr>
              <w:pStyle w:val="Compact"/>
            </w:pPr>
            <w:r>
              <w:rPr>
                <w:b/>
                <w:bCs/>
              </w:rPr>
              <w:t xml:space="preserve">Adapt</w:t>
            </w:r>
            <w:r>
              <w:t xml:space="preserve"> </w:t>
            </w:r>
            <w:r>
              <w:t xml:space="preserve">(adopt the architectural lessons; don’t embed MCP wire protocol into core)</w:t>
            </w:r>
          </w:p>
        </w:tc>
      </w:tr>
      <w:tr>
        <w:tc>
          <w:tcPr/>
          <w:p>
            <w:pPr>
              <w:pStyle w:val="Compact"/>
            </w:pPr>
            <w:r>
              <w:t xml:space="preserve">Agent2Agent Protocol (A2A)</w:t>
            </w:r>
          </w:p>
        </w:tc>
        <w:tc>
          <w:tcPr/>
          <w:p>
            <w:pPr>
              <w:pStyle w:val="Compact"/>
            </w:pPr>
            <w:r>
              <w:t xml:space="preserve">A2A GitHub + AgentCard + “Life of a Task”</w:t>
            </w:r>
            <w:r>
              <w:t xml:space="preserve"> </w:t>
            </w:r>
            <w:hyperlink r:id="rId23">
              <w:r>
                <w:rPr>
                  <w:rStyle w:val="Hyperlink"/>
                </w:rPr>
                <w:t xml:space="preserve">[11]</w:t>
              </w:r>
            </w:hyperlink>
          </w:p>
        </w:tc>
        <w:tc>
          <w:tcPr/>
          <w:p>
            <w:pPr>
              <w:pStyle w:val="Compact"/>
            </w:pPr>
            <w:r>
              <w:t xml:space="preserve">Open protocol for opaque agentic apps to interoperate</w:t>
            </w:r>
          </w:p>
        </w:tc>
        <w:tc>
          <w:tcPr/>
          <w:p>
            <w:pPr>
              <w:pStyle w:val="Compact"/>
            </w:pPr>
            <w:r>
              <w:t xml:space="preserve">Agent discovery (AgentCard), explicit stateful Task model vs stateless Message, context grouping (</w:t>
            </w:r>
            <w:r>
              <w:rPr>
                <w:rStyle w:val="VerbatimChar"/>
              </w:rPr>
              <w:t xml:space="preserve">contextId</w:t>
            </w:r>
            <w:r>
              <w:t xml:space="preserve">), terminal task immutability, artifacts, streaming/async modes</w:t>
            </w:r>
            <w:r>
              <w:t xml:space="preserve"> </w:t>
            </w:r>
            <w:hyperlink r:id="rId30">
              <w:r>
                <w:rPr>
                  <w:rStyle w:val="Hyperlink"/>
                </w:rPr>
                <w:t xml:space="preserve">[12]</w:t>
              </w:r>
            </w:hyperlink>
          </w:p>
        </w:tc>
        <w:tc>
          <w:tcPr/>
          <w:p>
            <w:pPr>
              <w:pStyle w:val="Compact"/>
            </w:pPr>
            <w:r>
              <w:rPr>
                <w:b/>
                <w:bCs/>
              </w:rPr>
              <w:t xml:space="preserve">Adapt</w:t>
            </w:r>
            <w:r>
              <w:t xml:space="preserve"> </w:t>
            </w:r>
            <w:r>
              <w:t xml:space="preserve">(core must support these concepts; protocol mapping in agent tier)</w:t>
            </w:r>
          </w:p>
        </w:tc>
      </w:tr>
      <w:tr>
        <w:tc>
          <w:tcPr/>
          <w:p>
            <w:pPr>
              <w:pStyle w:val="Compact"/>
            </w:pPr>
            <w:r>
              <w:t xml:space="preserve">OpenAI tool/function calling</w:t>
            </w:r>
          </w:p>
        </w:tc>
        <w:tc>
          <w:tcPr/>
          <w:p>
            <w:pPr>
              <w:pStyle w:val="Compact"/>
            </w:pPr>
            <w:r>
              <w:t xml:space="preserve">OpenAI function calling + tools + Responses API docs</w:t>
            </w:r>
            <w:r>
              <w:t xml:space="preserve"> </w:t>
            </w:r>
            <w:hyperlink r:id="rId24">
              <w:r>
                <w:rPr>
                  <w:rStyle w:val="Hyperlink"/>
                </w:rPr>
                <w:t xml:space="preserve">[13]</w:t>
              </w:r>
            </w:hyperlink>
          </w:p>
        </w:tc>
        <w:tc>
          <w:tcPr/>
          <w:p>
            <w:pPr>
              <w:pStyle w:val="Compact"/>
            </w:pPr>
            <w:r>
              <w:t xml:space="preserve">Widely-used operational contract for LLM ↔ application tool invocation</w:t>
            </w:r>
          </w:p>
        </w:tc>
        <w:tc>
          <w:tcPr/>
          <w:p>
            <w:pPr>
              <w:pStyle w:val="Compact"/>
            </w:pPr>
            <w:r>
              <w:t xml:space="preserve">“Function is a tool defined by JSON schema,” multi-step tool calling flow, structured outputs via</w:t>
            </w:r>
            <w:r>
              <w:t xml:space="preserve"> </w:t>
            </w:r>
            <w:r>
              <w:rPr>
                <w:rStyle w:val="VerbatimChar"/>
              </w:rPr>
              <w:t xml:space="preserve">json_schema</w:t>
            </w:r>
            <w:r>
              <w:t xml:space="preserve">, agentic loop with multiple tool calls, remote MCP support</w:t>
            </w:r>
            <w:r>
              <w:t xml:space="preserve"> </w:t>
            </w:r>
            <w:hyperlink r:id="rId24">
              <w:r>
                <w:rPr>
                  <w:rStyle w:val="Hyperlink"/>
                </w:rPr>
                <w:t xml:space="preserve">[14]</w:t>
              </w:r>
            </w:hyperlink>
          </w:p>
        </w:tc>
        <w:tc>
          <w:tcPr/>
          <w:p>
            <w:pPr>
              <w:pStyle w:val="Compact"/>
            </w:pPr>
            <w:r>
              <w:rPr>
                <w:b/>
                <w:bCs/>
              </w:rPr>
              <w:t xml:space="preserve">Adapt</w:t>
            </w:r>
            <w:r>
              <w:t xml:space="preserve"> </w:t>
            </w:r>
            <w:r>
              <w:t xml:space="preserve">(inform agent-tier interoperability; keep provider-specific wire details out of core)</w:t>
            </w:r>
          </w:p>
        </w:tc>
      </w:tr>
      <w:tr>
        <w:tc>
          <w:tcPr/>
          <w:p>
            <w:pPr>
              <w:pStyle w:val="Compact"/>
            </w:pPr>
            <w:r>
              <w:t xml:space="preserve">OpenTelemetry GenAI semantic conventions</w:t>
            </w:r>
          </w:p>
        </w:tc>
        <w:tc>
          <w:tcPr/>
          <w:p>
            <w:pPr>
              <w:pStyle w:val="Compact"/>
            </w:pPr>
            <w:r>
              <w:t xml:space="preserve">GenAI model spans + agent spans</w:t>
            </w:r>
            <w:r>
              <w:t xml:space="preserve"> </w:t>
            </w:r>
            <w:hyperlink r:id="rId31">
              <w:r>
                <w:rPr>
                  <w:rStyle w:val="Hyperlink"/>
                </w:rPr>
                <w:t xml:space="preserve">[15]</w:t>
              </w:r>
            </w:hyperlink>
          </w:p>
        </w:tc>
        <w:tc>
          <w:tcPr/>
          <w:p>
            <w:pPr>
              <w:pStyle w:val="Compact"/>
            </w:pPr>
            <w:r>
              <w:t xml:space="preserve">Emerging cross-vendor observability vocabulary for GenAI/agent systems</w:t>
            </w:r>
          </w:p>
        </w:tc>
        <w:tc>
          <w:tcPr/>
          <w:p>
            <w:pPr>
              <w:pStyle w:val="Compact"/>
            </w:pPr>
            <w:r>
              <w:t xml:space="preserve">Standard span/attribute vocabulary; agent operations exist but are marked Development; supports naming and attribute guidance for agent creation/invocation</w:t>
            </w:r>
            <w:r>
              <w:t xml:space="preserve"> </w:t>
            </w:r>
            <w:hyperlink r:id="rId25">
              <w:r>
                <w:rPr>
                  <w:rStyle w:val="Hyperlink"/>
                </w:rPr>
                <w:t xml:space="preserve">[16]</w:t>
              </w:r>
            </w:hyperlink>
          </w:p>
        </w:tc>
        <w:tc>
          <w:tcPr/>
          <w:p>
            <w:pPr>
              <w:pStyle w:val="Compact"/>
            </w:pPr>
            <w:r>
              <w:rPr>
                <w:b/>
                <w:bCs/>
              </w:rPr>
              <w:t xml:space="preserve">Adapt</w:t>
            </w:r>
            <w:r>
              <w:t xml:space="preserve"> </w:t>
            </w:r>
            <w:r>
              <w:t xml:space="preserve">(core defines minimal observability hooks; tier maps to OTel conventions)</w:t>
            </w:r>
          </w:p>
        </w:tc>
      </w:tr>
      <w:tr>
        <w:tc>
          <w:tcPr/>
          <w:p>
            <w:pPr>
              <w:pStyle w:val="Compact"/>
            </w:pPr>
            <w:r>
              <w:t xml:space="preserve">PROV-DM (W3C PROV data model)</w:t>
            </w:r>
          </w:p>
        </w:tc>
        <w:tc>
          <w:tcPr/>
          <w:p>
            <w:pPr>
              <w:pStyle w:val="Compact"/>
            </w:pPr>
            <w:r>
              <w:t xml:space="preserve">W3C</w:t>
            </w:r>
            <w:hyperlink r:id="rId32">
              <w:r>
                <w:rPr>
                  <w:rStyle w:val="Hyperlink"/>
                </w:rPr>
                <w:t xml:space="preserve">[17]</w:t>
              </w:r>
            </w:hyperlink>
            <w:r>
              <w:t xml:space="preserve"> </w:t>
            </w:r>
            <w:r>
              <w:t xml:space="preserve">PROV-DM Recommendation</w:t>
            </w:r>
            <w:r>
              <w:t xml:space="preserve"> </w:t>
            </w:r>
            <w:hyperlink r:id="rId33">
              <w:r>
                <w:rPr>
                  <w:rStyle w:val="Hyperlink"/>
                </w:rPr>
                <w:t xml:space="preserve">[18]</w:t>
              </w:r>
            </w:hyperlink>
          </w:p>
        </w:tc>
        <w:tc>
          <w:tcPr/>
          <w:p>
            <w:pPr>
              <w:pStyle w:val="Compact"/>
            </w:pPr>
            <w:r>
              <w:t xml:space="preserve">Domain-agnostic provenance model: entities, activities, agents + relations and bundles</w:t>
            </w:r>
          </w:p>
        </w:tc>
        <w:tc>
          <w:tcPr/>
          <w:p>
            <w:pPr>
              <w:pStyle w:val="Compact"/>
            </w:pPr>
            <w:r>
              <w:t xml:space="preserve">A stable conceptual backbone for “what happened / who did it / what data was used,” with extensibility and provenance-of-provenance (“bundles”)</w:t>
            </w:r>
            <w:r>
              <w:t xml:space="preserve"> </w:t>
            </w:r>
            <w:hyperlink r:id="rId33">
              <w:r>
                <w:rPr>
                  <w:rStyle w:val="Hyperlink"/>
                </w:rPr>
                <w:t xml:space="preserve">[18]</w:t>
              </w:r>
            </w:hyperlink>
          </w:p>
        </w:tc>
        <w:tc>
          <w:tcPr/>
          <w:p>
            <w:pPr>
              <w:pStyle w:val="Compact"/>
            </w:pPr>
            <w:r>
              <w:rPr>
                <w:b/>
                <w:bCs/>
              </w:rPr>
              <w:t xml:space="preserve">Adopt</w:t>
            </w:r>
            <w:r>
              <w:t xml:space="preserve"> </w:t>
            </w:r>
            <w:r>
              <w:t xml:space="preserve">(core should align to PROV-like semantics even if not identical on the wire)</w:t>
            </w:r>
          </w:p>
        </w:tc>
      </w:tr>
      <w:tr>
        <w:tc>
          <w:tcPr/>
          <w:p>
            <w:pPr>
              <w:pStyle w:val="Compact"/>
            </w:pPr>
            <w:r>
              <w:t xml:space="preserve">Verifiable Credential Data Integrity</w:t>
            </w:r>
          </w:p>
        </w:tc>
        <w:tc>
          <w:tcPr/>
          <w:p>
            <w:pPr>
              <w:pStyle w:val="Compact"/>
            </w:pPr>
            <w:r>
              <w:t xml:space="preserve">W3C</w:t>
            </w:r>
            <w:hyperlink r:id="rId32">
              <w:r>
                <w:rPr>
                  <w:rStyle w:val="Hyperlink"/>
                </w:rPr>
                <w:t xml:space="preserve">[17]</w:t>
              </w:r>
            </w:hyperlink>
            <w:r>
              <w:t xml:space="preserve"> </w:t>
            </w:r>
            <w:r>
              <w:t xml:space="preserve">VC Data Integrity</w:t>
            </w:r>
            <w:r>
              <w:t xml:space="preserve"> </w:t>
            </w:r>
            <w:hyperlink r:id="rId34">
              <w:r>
                <w:rPr>
                  <w:rStyle w:val="Hyperlink"/>
                </w:rPr>
                <w:t xml:space="preserve">[19]</w:t>
              </w:r>
            </w:hyperlink>
          </w:p>
        </w:tc>
        <w:tc>
          <w:tcPr/>
          <w:p>
            <w:pPr>
              <w:pStyle w:val="Compact"/>
            </w:pPr>
            <w:r>
              <w:t xml:space="preserve">Cryptographic integrity/authenticity mechanisms for constrained documents</w:t>
            </w:r>
          </w:p>
        </w:tc>
        <w:tc>
          <w:tcPr/>
          <w:p>
            <w:pPr>
              <w:pStyle w:val="Compact"/>
            </w:pPr>
            <w:r>
              <w:t xml:space="preserve">A path to tamper-evident evidence and signed “agent action receipts” if your domain needs non-repudiation; better treated as optional profile</w:t>
            </w:r>
            <w:r>
              <w:t xml:space="preserve"> </w:t>
            </w:r>
            <w:hyperlink r:id="rId34">
              <w:r>
                <w:rPr>
                  <w:rStyle w:val="Hyperlink"/>
                </w:rPr>
                <w:t xml:space="preserve">[19]</w:t>
              </w:r>
            </w:hyperlink>
          </w:p>
        </w:tc>
        <w:tc>
          <w:tcPr/>
          <w:p>
            <w:pPr>
              <w:pStyle w:val="Compact"/>
            </w:pPr>
            <w:r>
              <w:rPr>
                <w:b/>
                <w:bCs/>
              </w:rPr>
              <w:t xml:space="preserve">Adapt</w:t>
            </w:r>
            <w:r>
              <w:t xml:space="preserve"> </w:t>
            </w:r>
            <w:r>
              <w:t xml:space="preserve">(optional security profile; not mandatory in core)</w:t>
            </w:r>
          </w:p>
        </w:tc>
      </w:tr>
      <w:tr>
        <w:tc>
          <w:tcPr/>
          <w:p>
            <w:pPr>
              <w:pStyle w:val="Compact"/>
            </w:pPr>
            <w:r>
              <w:t xml:space="preserve">SCITT Architecture</w:t>
            </w:r>
          </w:p>
        </w:tc>
        <w:tc>
          <w:tcPr/>
          <w:p>
            <w:pPr>
              <w:pStyle w:val="Compact"/>
            </w:pPr>
            <w:r>
              <w:t xml:space="preserve">IETF</w:t>
            </w:r>
            <w:hyperlink r:id="rId35">
              <w:r>
                <w:rPr>
                  <w:rStyle w:val="Hyperlink"/>
                </w:rPr>
                <w:t xml:space="preserve">[20]</w:t>
              </w:r>
            </w:hyperlink>
            <w:r>
              <w:t xml:space="preserve"> </w:t>
            </w:r>
            <w:r>
              <w:t xml:space="preserve">SCITT architecture draft</w:t>
            </w:r>
            <w:r>
              <w:t xml:space="preserve"> </w:t>
            </w:r>
            <w:hyperlink r:id="rId36">
              <w:r>
                <w:rPr>
                  <w:rStyle w:val="Hyperlink"/>
                </w:rPr>
                <w:t xml:space="preserve">[21]</w:t>
              </w:r>
            </w:hyperlink>
          </w:p>
        </w:tc>
        <w:tc>
          <w:tcPr/>
          <w:p>
            <w:pPr>
              <w:pStyle w:val="Compact"/>
            </w:pPr>
            <w:r>
              <w:t xml:space="preserve">Transparency services and signed statements with receipts for auditability</w:t>
            </w:r>
          </w:p>
        </w:tc>
        <w:tc>
          <w:tcPr/>
          <w:p>
            <w:pPr>
              <w:pStyle w:val="Compact"/>
            </w:pPr>
            <w:r>
              <w:t xml:space="preserve">Append-only, multi-log transparency approach; signed statements + receipts; designed to reduce trust in a single log operator and provide verifiable proofs</w:t>
            </w:r>
            <w:r>
              <w:t xml:space="preserve"> </w:t>
            </w:r>
            <w:hyperlink r:id="rId36">
              <w:r>
                <w:rPr>
                  <w:rStyle w:val="Hyperlink"/>
                </w:rPr>
                <w:t xml:space="preserve">[21]</w:t>
              </w:r>
            </w:hyperlink>
          </w:p>
        </w:tc>
        <w:tc>
          <w:tcPr/>
          <w:p>
            <w:pPr>
              <w:pStyle w:val="Compact"/>
            </w:pPr>
            <w:r>
              <w:rPr>
                <w:b/>
                <w:bCs/>
              </w:rPr>
              <w:t xml:space="preserve">Adapt</w:t>
            </w:r>
            <w:r>
              <w:t xml:space="preserve"> </w:t>
            </w:r>
            <w:r>
              <w:t xml:space="preserve">(strong inspiration for verifiable audit trails; too heavy for core as a requirement)</w:t>
            </w:r>
          </w:p>
        </w:tc>
      </w:tr>
      <w:tr>
        <w:tc>
          <w:tcPr/>
          <w:p>
            <w:pPr>
              <w:pStyle w:val="Compact"/>
            </w:pPr>
            <w:r>
              <w:t xml:space="preserve">SLSA + in-toto attestations</w:t>
            </w:r>
          </w:p>
        </w:tc>
        <w:tc>
          <w:tcPr/>
          <w:p>
            <w:pPr>
              <w:pStyle w:val="Compact"/>
            </w:pPr>
            <w:r>
              <w:t xml:space="preserve">SLSA provenance + in-toto attestation framework explainer</w:t>
            </w:r>
            <w:r>
              <w:t xml:space="preserve"> </w:t>
            </w:r>
            <w:hyperlink r:id="rId37">
              <w:r>
                <w:rPr>
                  <w:rStyle w:val="Hyperlink"/>
                </w:rPr>
                <w:t xml:space="preserve">[22]</w:t>
              </w:r>
            </w:hyperlink>
          </w:p>
        </w:tc>
        <w:tc>
          <w:tcPr/>
          <w:p>
            <w:pPr>
              <w:pStyle w:val="Compact"/>
            </w:pPr>
            <w:r>
              <w:t xml:space="preserve">Supply-chain provenance/attestation patterns</w:t>
            </w:r>
          </w:p>
        </w:tc>
        <w:tc>
          <w:tcPr/>
          <w:p>
            <w:pPr>
              <w:pStyle w:val="Compact"/>
            </w:pPr>
            <w:r>
              <w:t xml:space="preserve">“Statement + predicate type + subjects” pattern is reusable for agent action attestations and tool execution receipts (inference)</w:t>
            </w:r>
            <w:r>
              <w:t xml:space="preserve"> </w:t>
            </w:r>
            <w:hyperlink r:id="rId38">
              <w:r>
                <w:rPr>
                  <w:rStyle w:val="Hyperlink"/>
                </w:rPr>
                <w:t xml:space="preserve">[23]</w:t>
              </w:r>
            </w:hyperlink>
          </w:p>
        </w:tc>
        <w:tc>
          <w:tcPr/>
          <w:p>
            <w:pPr>
              <w:pStyle w:val="Compact"/>
            </w:pPr>
            <w:r>
              <w:rPr>
                <w:b/>
                <w:bCs/>
              </w:rPr>
              <w:t xml:space="preserve">Adapt</w:t>
            </w:r>
            <w:r>
              <w:t xml:space="preserve"> </w:t>
            </w:r>
            <w:r>
              <w:t xml:space="preserve">(conceptual pattern for optional audit profiles)</w:t>
            </w:r>
          </w:p>
        </w:tc>
      </w:tr>
      <w:tr>
        <w:tc>
          <w:tcPr/>
          <w:p>
            <w:pPr>
              <w:pStyle w:val="Compact"/>
            </w:pPr>
            <w:r>
              <w:t xml:space="preserve">OWASP Top 10 for LLM Applications</w:t>
            </w:r>
          </w:p>
        </w:tc>
        <w:tc>
          <w:tcPr/>
          <w:p>
            <w:pPr>
              <w:pStyle w:val="Compact"/>
            </w:pPr>
            <w:r>
              <w:t xml:space="preserve">OWASP</w:t>
            </w:r>
            <w:hyperlink r:id="rId30">
              <w:r>
                <w:rPr>
                  <w:rStyle w:val="Hyperlink"/>
                </w:rPr>
                <w:t xml:space="preserve">[24]</w:t>
              </w:r>
            </w:hyperlink>
            <w:r>
              <w:t xml:space="preserve"> </w:t>
            </w:r>
            <w:r>
              <w:t xml:space="preserve">OWASP LLM Top 10</w:t>
            </w:r>
            <w:r>
              <w:t xml:space="preserve"> </w:t>
            </w:r>
            <w:hyperlink r:id="rId26">
              <w:r>
                <w:rPr>
                  <w:rStyle w:val="Hyperlink"/>
                </w:rPr>
                <w:t xml:space="preserve">[25]</w:t>
              </w:r>
            </w:hyperlink>
          </w:p>
        </w:tc>
        <w:tc>
          <w:tcPr/>
          <w:p>
            <w:pPr>
              <w:pStyle w:val="Compact"/>
            </w:pPr>
            <w:r>
              <w:t xml:space="preserve">Security risk taxonomy for LLM-integrated apps</w:t>
            </w:r>
          </w:p>
        </w:tc>
        <w:tc>
          <w:tcPr/>
          <w:p>
            <w:pPr>
              <w:pStyle w:val="Compact"/>
            </w:pPr>
            <w:r>
              <w:t xml:space="preserve">Formalizes prompt injection, insecure output handling, “excessive agency,” and other failure modes that must be mitigated at workflow/agent boundaries</w:t>
            </w:r>
            <w:r>
              <w:t xml:space="preserve"> </w:t>
            </w:r>
            <w:hyperlink r:id="rId26">
              <w:r>
                <w:rPr>
                  <w:rStyle w:val="Hyperlink"/>
                </w:rPr>
                <w:t xml:space="preserve">[25]</w:t>
              </w:r>
            </w:hyperlink>
          </w:p>
        </w:tc>
        <w:tc>
          <w:tcPr/>
          <w:p>
            <w:pPr>
              <w:pStyle w:val="Compact"/>
            </w:pPr>
            <w:r>
              <w:rPr>
                <w:b/>
                <w:bCs/>
              </w:rPr>
              <w:t xml:space="preserve">Adopt</w:t>
            </w:r>
            <w:r>
              <w:t xml:space="preserve"> </w:t>
            </w:r>
            <w:r>
              <w:t xml:space="preserve">(as normative threat model inputs; not as protocol)</w:t>
            </w:r>
          </w:p>
        </w:tc>
      </w:tr>
      <w:tr>
        <w:tc>
          <w:tcPr/>
          <w:p>
            <w:pPr>
              <w:pStyle w:val="Compact"/>
            </w:pPr>
            <w:r>
              <w:t xml:space="preserve">NIST AI RMF + GenAI Profile</w:t>
            </w:r>
          </w:p>
        </w:tc>
        <w:tc>
          <w:tcPr/>
          <w:p>
            <w:pPr>
              <w:pStyle w:val="Compact"/>
            </w:pPr>
            <w:r>
              <w:t xml:space="preserve">NIST</w:t>
            </w:r>
            <w:hyperlink r:id="rId25">
              <w:r>
                <w:rPr>
                  <w:rStyle w:val="Hyperlink"/>
                </w:rPr>
                <w:t xml:space="preserve">[26]</w:t>
              </w:r>
            </w:hyperlink>
            <w:r>
              <w:t xml:space="preserve"> </w:t>
            </w:r>
            <w:r>
              <w:t xml:space="preserve">AI RMF 1.0 + GenAI Profile</w:t>
            </w:r>
            <w:r>
              <w:t xml:space="preserve"> </w:t>
            </w:r>
            <w:hyperlink r:id="rId27">
              <w:r>
                <w:rPr>
                  <w:rStyle w:val="Hyperlink"/>
                </w:rPr>
                <w:t xml:space="preserve">[27]</w:t>
              </w:r>
            </w:hyperlink>
          </w:p>
        </w:tc>
        <w:tc>
          <w:tcPr/>
          <w:p>
            <w:pPr>
              <w:pStyle w:val="Compact"/>
            </w:pPr>
            <w:r>
              <w:t xml:space="preserve">Risk management framework + GenAI-specific risk profile</w:t>
            </w:r>
          </w:p>
        </w:tc>
        <w:tc>
          <w:tcPr/>
          <w:p>
            <w:pPr>
              <w:pStyle w:val="Compact"/>
            </w:pPr>
            <w:r>
              <w:t xml:space="preserve">Practices for trustworthy AI and risk governance that translate into workflow controls: documentation, monitoring, override/redress, risk measurement/management</w:t>
            </w:r>
            <w:r>
              <w:t xml:space="preserve"> </w:t>
            </w:r>
            <w:hyperlink r:id="rId27">
              <w:r>
                <w:rPr>
                  <w:rStyle w:val="Hyperlink"/>
                </w:rPr>
                <w:t xml:space="preserve">[27]</w:t>
              </w:r>
            </w:hyperlink>
          </w:p>
        </w:tc>
        <w:tc>
          <w:tcPr/>
          <w:p>
            <w:pPr>
              <w:pStyle w:val="Compact"/>
            </w:pPr>
            <w:r>
              <w:rPr>
                <w:b/>
                <w:bCs/>
              </w:rPr>
              <w:t xml:space="preserve">Adopt</w:t>
            </w:r>
            <w:r>
              <w:t xml:space="preserve"> </w:t>
            </w:r>
            <w:r>
              <w:t xml:space="preserve">(as governance requirements informing conformance profiles)</w:t>
            </w:r>
          </w:p>
        </w:tc>
      </w:tr>
      <w:tr>
        <w:tc>
          <w:tcPr/>
          <w:p>
            <w:pPr>
              <w:pStyle w:val="Compact"/>
            </w:pPr>
            <w:r>
              <w:t xml:space="preserve">EU AI Act</w:t>
            </w:r>
          </w:p>
        </w:tc>
        <w:tc>
          <w:tcPr/>
          <w:p>
            <w:pPr>
              <w:pStyle w:val="Compact"/>
            </w:pPr>
            <w:r>
              <w:t xml:space="preserve">European Union</w:t>
            </w:r>
            <w:hyperlink r:id="rId39">
              <w:r>
                <w:rPr>
                  <w:rStyle w:val="Hyperlink"/>
                </w:rPr>
                <w:t xml:space="preserve">[28]</w:t>
              </w:r>
            </w:hyperlink>
            <w:r>
              <w:t xml:space="preserve"> </w:t>
            </w:r>
            <w:r>
              <w:t xml:space="preserve">Regulation (EU) 2024/1689</w:t>
            </w:r>
            <w:r>
              <w:t xml:space="preserve"> </w:t>
            </w:r>
            <w:hyperlink r:id="rId32">
              <w:r>
                <w:rPr>
                  <w:rStyle w:val="Hyperlink"/>
                </w:rPr>
                <w:t xml:space="preserve">[29]</w:t>
              </w:r>
            </w:hyperlink>
          </w:p>
        </w:tc>
        <w:tc>
          <w:tcPr/>
          <w:p>
            <w:pPr>
              <w:pStyle w:val="Compact"/>
            </w:pPr>
            <w:r>
              <w:t xml:space="preserve">Binding regulatory framework for AI in the EU</w:t>
            </w:r>
          </w:p>
        </w:tc>
        <w:tc>
          <w:tcPr/>
          <w:p>
            <w:pPr>
              <w:pStyle w:val="Compact"/>
            </w:pPr>
            <w:r>
              <w:t xml:space="preserve">Raises compliance requirements for high-risk systems; relevant to “high-stakes case workflows” deployments even outside EU due to policy gravity</w:t>
            </w:r>
            <w:r>
              <w:t xml:space="preserve"> </w:t>
            </w:r>
            <w:hyperlink r:id="rId32">
              <w:r>
                <w:rPr>
                  <w:rStyle w:val="Hyperlink"/>
                </w:rPr>
                <w:t xml:space="preserve">[29]</w:t>
              </w:r>
            </w:hyperlink>
          </w:p>
        </w:tc>
        <w:tc>
          <w:tcPr/>
          <w:p>
            <w:pPr>
              <w:pStyle w:val="Compact"/>
            </w:pPr>
            <w:r>
              <w:rPr>
                <w:b/>
                <w:bCs/>
              </w:rPr>
              <w:t xml:space="preserve">Adopt</w:t>
            </w:r>
            <w:r>
              <w:t xml:space="preserve"> </w:t>
            </w:r>
            <w:r>
              <w:t xml:space="preserve">(as compliance context; not as a protocol)</w:t>
            </w:r>
          </w:p>
        </w:tc>
      </w:tr>
      <w:tr>
        <w:tc>
          <w:tcPr/>
          <w:p>
            <w:pPr>
              <w:pStyle w:val="Compact"/>
            </w:pPr>
            <w:r>
              <w:t xml:space="preserve">OpenAPI 3.1</w:t>
            </w:r>
          </w:p>
        </w:tc>
        <w:tc>
          <w:tcPr/>
          <w:p>
            <w:pPr>
              <w:pStyle w:val="Compact"/>
            </w:pPr>
            <w:r>
              <w:t xml:space="preserve">OpenAPI Initiative</w:t>
            </w:r>
            <w:hyperlink r:id="rId35">
              <w:r>
                <w:rPr>
                  <w:rStyle w:val="Hyperlink"/>
                </w:rPr>
                <w:t xml:space="preserve">[30]</w:t>
              </w:r>
            </w:hyperlink>
            <w:r>
              <w:t xml:space="preserve"> </w:t>
            </w:r>
            <w:r>
              <w:t xml:space="preserve">OpenAPI 3.1 spec</w:t>
            </w:r>
            <w:r>
              <w:t xml:space="preserve"> </w:t>
            </w:r>
            <w:hyperlink r:id="rId40">
              <w:r>
                <w:rPr>
                  <w:rStyle w:val="Hyperlink"/>
                </w:rPr>
                <w:t xml:space="preserve">[31]</w:t>
              </w:r>
            </w:hyperlink>
          </w:p>
        </w:tc>
        <w:tc>
          <w:tcPr/>
          <w:p>
            <w:pPr>
              <w:pStyle w:val="Compact"/>
            </w:pPr>
            <w:r>
              <w:t xml:space="preserve">Dominant API contract format</w:t>
            </w:r>
          </w:p>
        </w:tc>
        <w:tc>
          <w:tcPr/>
          <w:p>
            <w:pPr>
              <w:pStyle w:val="Compact"/>
            </w:pPr>
            <w:r>
              <w:t xml:space="preserve">Tool contracts, typed inputs/outputs, auth schemes; OpenAPI 3.1 aligns with modern JSON Schema dialects, improving schema portability</w:t>
            </w:r>
            <w:r>
              <w:t xml:space="preserve"> </w:t>
            </w:r>
            <w:hyperlink r:id="rId41">
              <w:r>
                <w:rPr>
                  <w:rStyle w:val="Hyperlink"/>
                </w:rPr>
                <w:t xml:space="preserve">[32]</w:t>
              </w:r>
            </w:hyperlink>
          </w:p>
        </w:tc>
        <w:tc>
          <w:tcPr/>
          <w:p>
            <w:pPr>
              <w:pStyle w:val="Compact"/>
            </w:pPr>
            <w:r>
              <w:rPr>
                <w:b/>
                <w:bCs/>
              </w:rPr>
              <w:t xml:space="preserve">Adopt</w:t>
            </w:r>
            <w:r>
              <w:t xml:space="preserve"> </w:t>
            </w:r>
            <w:r>
              <w:t xml:space="preserve">(as a first-class tool contract format in agent tier; core just needs “tool contract ref”)</w:t>
            </w:r>
          </w:p>
        </w:tc>
      </w:tr>
      <w:tr>
        <w:tc>
          <w:tcPr/>
          <w:p>
            <w:pPr>
              <w:pStyle w:val="Compact"/>
            </w:pPr>
            <w:r>
              <w:t xml:space="preserve">Web of Things Thing Description</w:t>
            </w:r>
          </w:p>
        </w:tc>
        <w:tc>
          <w:tcPr/>
          <w:p>
            <w:pPr>
              <w:pStyle w:val="Compact"/>
            </w:pPr>
            <w:r>
              <w:t xml:space="preserve">W3C</w:t>
            </w:r>
            <w:hyperlink r:id="rId32">
              <w:r>
                <w:rPr>
                  <w:rStyle w:val="Hyperlink"/>
                </w:rPr>
                <w:t xml:space="preserve">[17]</w:t>
              </w:r>
            </w:hyperlink>
            <w:r>
              <w:t xml:space="preserve"> </w:t>
            </w:r>
            <w:r>
              <w:t xml:space="preserve">WoT Thing Description 1.1</w:t>
            </w:r>
            <w:r>
              <w:t xml:space="preserve"> </w:t>
            </w:r>
            <w:hyperlink r:id="rId42">
              <w:r>
                <w:rPr>
                  <w:rStyle w:val="Hyperlink"/>
                </w:rPr>
                <w:t xml:space="preserve">[33]</w:t>
              </w:r>
            </w:hyperlink>
          </w:p>
        </w:tc>
        <w:tc>
          <w:tcPr/>
          <w:p>
            <w:pPr>
              <w:pStyle w:val="Compact"/>
            </w:pPr>
            <w:r>
              <w:t xml:space="preserve">Standard “capability descriptor” for devices/services via Properties/Actions/Events</w:t>
            </w:r>
          </w:p>
        </w:tc>
        <w:tc>
          <w:tcPr/>
          <w:p>
            <w:pPr>
              <w:pStyle w:val="Compact"/>
            </w:pPr>
            <w:r>
              <w:t xml:space="preserve">A ready-made interaction vocabulary (“properties/actions/events”) that can inform a</w:t>
            </w:r>
            <w:r>
              <w:t xml:space="preserve"> </w:t>
            </w:r>
            <w:r>
              <w:rPr>
                <w:b/>
                <w:bCs/>
              </w:rPr>
              <w:t xml:space="preserve">tool capability descriptor</w:t>
            </w:r>
            <w:r>
              <w:t xml:space="preserve"> </w:t>
            </w:r>
            <w:r>
              <w:t xml:space="preserve">for agents beyond OpenAPI (valuable discovery)</w:t>
            </w:r>
            <w:r>
              <w:t xml:space="preserve"> </w:t>
            </w:r>
            <w:hyperlink r:id="rId42">
              <w:r>
                <w:rPr>
                  <w:rStyle w:val="Hyperlink"/>
                </w:rPr>
                <w:t xml:space="preserve">[34]</w:t>
              </w:r>
            </w:hyperlink>
          </w:p>
        </w:tc>
        <w:tc>
          <w:tcPr/>
          <w:p>
            <w:pPr>
              <w:pStyle w:val="Compact"/>
            </w:pPr>
            <w:r>
              <w:rPr>
                <w:b/>
                <w:bCs/>
              </w:rPr>
              <w:t xml:space="preserve">Adapt</w:t>
            </w:r>
            <w:r>
              <w:t xml:space="preserve"> </w:t>
            </w:r>
            <w:r>
              <w:t xml:space="preserve">(use affordance model concepts; don’t force WoT TD itself into core)</w:t>
            </w:r>
          </w:p>
        </w:tc>
      </w:tr>
    </w:tbl>
    <w:bookmarkEnd w:id="43"/>
    <w:bookmarkStart w:id="48" w:name="X857aeaad2e82b49542919cbc4493aa0e0a87ec4"/>
    <w:p>
      <w:pPr>
        <w:pStyle w:val="Heading3"/>
      </w:pPr>
      <w:r>
        <w:t xml:space="preserve">Comparison matrix of protocols/specs vs required agent features</w:t>
      </w:r>
    </w:p>
    <w:p>
      <w:pPr>
        <w:pStyle w:val="FirstParagraph"/>
      </w:pPr>
      <w:r>
        <w:rPr>
          <w:b/>
          <w:bCs/>
        </w:rPr>
        <w:t xml:space="preserve">Table A</w:t>
      </w:r>
      <w:r>
        <w:t xml:space="preserve"> </w:t>
      </w:r>
      <w:r>
        <w:t xml:space="preserve">focuses on the “agent integration tier” features you asked about (capability discovery, tool invocation, lifecycle/session, provenance hooks, authority modes, propose/commit, idempotency, telemetry mapping, conformance hooks). A cell is “Native” if the spec explicitly defines the feature; “Partial” if it implies it with extension points; “External” if it relies on a separate layer; “None” if not addressed.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Feature</w:t>
            </w:r>
          </w:p>
        </w:tc>
        <w:tc>
          <w:tcPr/>
          <w:p>
            <w:pPr>
              <w:pStyle w:val="Compact"/>
            </w:pPr>
            <w:r>
              <w:t xml:space="preserve">MCP</w:t>
            </w:r>
          </w:p>
        </w:tc>
        <w:tc>
          <w:tcPr/>
          <w:p>
            <w:pPr>
              <w:pStyle w:val="Compact"/>
            </w:pPr>
            <w:r>
              <w:t xml:space="preserve">A2A</w:t>
            </w:r>
          </w:p>
        </w:tc>
        <w:tc>
          <w:tcPr/>
          <w:p>
            <w:pPr>
              <w:pStyle w:val="Compact"/>
            </w:pPr>
            <w:r>
              <w:t xml:space="preserve">OpenAI tool/function calling</w:t>
            </w:r>
          </w:p>
        </w:tc>
        <w:tc>
          <w:tcPr/>
          <w:p>
            <w:pPr>
              <w:pStyle w:val="Compact"/>
            </w:pPr>
            <w:r>
              <w:t xml:space="preserve">OpenTelemetry GenAI semconv</w:t>
            </w:r>
          </w:p>
        </w:tc>
        <w:tc>
          <w:tcPr/>
          <w:p>
            <w:pPr>
              <w:pStyle w:val="Compact"/>
            </w:pPr>
            <w:r>
              <w:t xml:space="preserve">PROV-DM</w:t>
            </w:r>
          </w:p>
        </w:tc>
        <w:tc>
          <w:tcPr/>
          <w:p>
            <w:pPr>
              <w:pStyle w:val="Compact"/>
            </w:pPr>
            <w:r>
              <w:t xml:space="preserve">OpenAPI 3.1</w:t>
            </w:r>
          </w:p>
        </w:tc>
      </w:tr>
      <w:tr>
        <w:tc>
          <w:tcPr/>
          <w:p>
            <w:pPr>
              <w:pStyle w:val="Compact"/>
            </w:pPr>
            <w:r>
              <w:t xml:space="preserve">Capability discovery</w:t>
            </w:r>
          </w:p>
        </w:tc>
        <w:tc>
          <w:tcPr/>
          <w:p>
            <w:pPr>
              <w:pStyle w:val="Compact"/>
            </w:pPr>
            <w:r>
              <w:rPr>
                <w:b/>
                <w:bCs/>
              </w:rPr>
              <w:t xml:space="preserve">Partial</w:t>
            </w:r>
            <w:r>
              <w:t xml:space="preserve"> </w:t>
            </w:r>
            <w:r>
              <w:t xml:space="preserve">(capability negotiation in init)</w:t>
            </w:r>
            <w:r>
              <w:t xml:space="preserve"> </w:t>
            </w:r>
            <w:hyperlink r:id="rId28">
              <w:r>
                <w:rPr>
                  <w:rStyle w:val="Hyperlink"/>
                </w:rPr>
                <w:t xml:space="preserve">[35]</w:t>
              </w:r>
            </w:hyperlink>
          </w:p>
        </w:tc>
        <w:tc>
          <w:tcPr/>
          <w:p>
            <w:pPr>
              <w:pStyle w:val="Compact"/>
            </w:pPr>
            <w:r>
              <w:rPr>
                <w:b/>
                <w:bCs/>
              </w:rPr>
              <w:t xml:space="preserve">Native</w:t>
            </w:r>
            <w:r>
              <w:t xml:space="preserve"> </w:t>
            </w:r>
            <w:r>
              <w:t xml:space="preserve">(AgentCard + skills)</w:t>
            </w:r>
            <w:r>
              <w:t xml:space="preserve"> </w:t>
            </w:r>
            <w:hyperlink r:id="rId30">
              <w:r>
                <w:rPr>
                  <w:rStyle w:val="Hyperlink"/>
                </w:rPr>
                <w:t xml:space="preserve">[36]</w:t>
              </w:r>
            </w:hyperlink>
          </w:p>
        </w:tc>
        <w:tc>
          <w:tcPr/>
          <w:p>
            <w:pPr>
              <w:pStyle w:val="Compact"/>
            </w:pPr>
            <w:r>
              <w:rPr>
                <w:b/>
                <w:bCs/>
              </w:rPr>
              <w:t xml:space="preserve">External</w:t>
            </w:r>
            <w:r>
              <w:t xml:space="preserve"> </w:t>
            </w:r>
            <w:r>
              <w:t xml:space="preserve">(app defines tools list)</w:t>
            </w:r>
            <w:r>
              <w:t xml:space="preserve"> </w:t>
            </w:r>
            <w:hyperlink r:id="rId24">
              <w:r>
                <w:rPr>
                  <w:rStyle w:val="Hyperlink"/>
                </w:rPr>
                <w:t xml:space="preserve">[37]</w:t>
              </w:r>
            </w:hyperlink>
          </w:p>
        </w:tc>
        <w:tc>
          <w:tcPr/>
          <w:p>
            <w:pPr>
              <w:pStyle w:val="Compact"/>
            </w:pPr>
            <w:r>
              <w:t xml:space="preserve">None</w:t>
            </w:r>
          </w:p>
        </w:tc>
        <w:tc>
          <w:tcPr/>
          <w:p>
            <w:pPr>
              <w:pStyle w:val="Compact"/>
            </w:pPr>
            <w:r>
              <w:t xml:space="preserve">None</w:t>
            </w:r>
          </w:p>
        </w:tc>
        <w:tc>
          <w:tcPr/>
          <w:p>
            <w:pPr>
              <w:pStyle w:val="Compact"/>
            </w:pPr>
            <w:r>
              <w:rPr>
                <w:b/>
                <w:bCs/>
              </w:rPr>
              <w:t xml:space="preserve">Native</w:t>
            </w:r>
            <w:r>
              <w:t xml:space="preserve"> </w:t>
            </w:r>
            <w:r>
              <w:t xml:space="preserve">(API surface + schemas)</w:t>
            </w:r>
            <w:r>
              <w:t xml:space="preserve"> </w:t>
            </w:r>
            <w:hyperlink r:id="rId40">
              <w:r>
                <w:rPr>
                  <w:rStyle w:val="Hyperlink"/>
                </w:rPr>
                <w:t xml:space="preserve">[31]</w:t>
              </w:r>
            </w:hyperlink>
          </w:p>
        </w:tc>
      </w:tr>
      <w:tr>
        <w:tc>
          <w:tcPr/>
          <w:p>
            <w:pPr>
              <w:pStyle w:val="Compact"/>
            </w:pPr>
            <w:r>
              <w:t xml:space="preserve">Tool invocation</w:t>
            </w:r>
          </w:p>
        </w:tc>
        <w:tc>
          <w:tcPr/>
          <w:p>
            <w:pPr>
              <w:pStyle w:val="Compact"/>
            </w:pPr>
            <w:r>
              <w:rPr>
                <w:b/>
                <w:bCs/>
              </w:rPr>
              <w:t xml:space="preserve">Native</w:t>
            </w:r>
            <w:r>
              <w:t xml:space="preserve"> </w:t>
            </w:r>
            <w:r>
              <w:t xml:space="preserve">(“tools” exposed by servers)</w:t>
            </w:r>
            <w:r>
              <w:t xml:space="preserve"> </w:t>
            </w:r>
            <w:hyperlink r:id="rId21">
              <w:r>
                <w:rPr>
                  <w:rStyle w:val="Hyperlink"/>
                </w:rPr>
                <w:t xml:space="preserve">[10]</w:t>
              </w:r>
            </w:hyperlink>
          </w:p>
        </w:tc>
        <w:tc>
          <w:tcPr/>
          <w:p>
            <w:pPr>
              <w:pStyle w:val="Compact"/>
            </w:pPr>
            <w:r>
              <w:rPr>
                <w:b/>
                <w:bCs/>
              </w:rPr>
              <w:t xml:space="preserve">External</w:t>
            </w:r>
            <w:r>
              <w:t xml:space="preserve"> </w:t>
            </w:r>
            <w:r>
              <w:t xml:space="preserve">(skills are agent capabilities; tool use is internal)</w:t>
            </w:r>
            <w:r>
              <w:t xml:space="preserve"> </w:t>
            </w:r>
            <w:hyperlink r:id="rId30">
              <w:r>
                <w:rPr>
                  <w:rStyle w:val="Hyperlink"/>
                </w:rPr>
                <w:t xml:space="preserve">[38]</w:t>
              </w:r>
            </w:hyperlink>
          </w:p>
        </w:tc>
        <w:tc>
          <w:tcPr/>
          <w:p>
            <w:pPr>
              <w:pStyle w:val="Compact"/>
            </w:pPr>
            <w:r>
              <w:rPr>
                <w:b/>
                <w:bCs/>
              </w:rPr>
              <w:t xml:space="preserve">Native</w:t>
            </w:r>
            <w:r>
              <w:t xml:space="preserve"> </w:t>
            </w:r>
            <w:r>
              <w:t xml:space="preserve">(tools/functions + schema)</w:t>
            </w:r>
            <w:r>
              <w:t xml:space="preserve"> </w:t>
            </w:r>
            <w:hyperlink r:id="rId24">
              <w:r>
                <w:rPr>
                  <w:rStyle w:val="Hyperlink"/>
                </w:rPr>
                <w:t xml:space="preserve">[37]</w:t>
              </w:r>
            </w:hyperlink>
          </w:p>
        </w:tc>
        <w:tc>
          <w:tcPr/>
          <w:p>
            <w:pPr>
              <w:pStyle w:val="Compact"/>
            </w:pPr>
            <w:r>
              <w:t xml:space="preserve">External</w:t>
            </w:r>
          </w:p>
        </w:tc>
        <w:tc>
          <w:tcPr/>
          <w:p>
            <w:pPr>
              <w:pStyle w:val="Compact"/>
            </w:pPr>
            <w:r>
              <w:t xml:space="preserve">External</w:t>
            </w:r>
          </w:p>
        </w:tc>
        <w:tc>
          <w:tcPr/>
          <w:p>
            <w:pPr>
              <w:pStyle w:val="Compact"/>
            </w:pPr>
            <w:r>
              <w:rPr>
                <w:b/>
                <w:bCs/>
              </w:rPr>
              <w:t xml:space="preserve">Native</w:t>
            </w:r>
            <w:r>
              <w:t xml:space="preserve"> </w:t>
            </w:r>
            <w:r>
              <w:t xml:space="preserve">(operation contracts)</w:t>
            </w:r>
            <w:r>
              <w:t xml:space="preserve"> </w:t>
            </w:r>
            <w:hyperlink r:id="rId40">
              <w:r>
                <w:rPr>
                  <w:rStyle w:val="Hyperlink"/>
                </w:rPr>
                <w:t xml:space="preserve">[39]</w:t>
              </w:r>
            </w:hyperlink>
          </w:p>
        </w:tc>
      </w:tr>
      <w:tr>
        <w:tc>
          <w:tcPr/>
          <w:p>
            <w:pPr>
              <w:pStyle w:val="Compact"/>
            </w:pPr>
            <w:r>
              <w:t xml:space="preserve">Session lifecycle</w:t>
            </w:r>
          </w:p>
        </w:tc>
        <w:tc>
          <w:tcPr/>
          <w:p>
            <w:pPr>
              <w:pStyle w:val="Compact"/>
            </w:pPr>
            <w:r>
              <w:rPr>
                <w:b/>
                <w:bCs/>
              </w:rPr>
              <w:t xml:space="preserve">Native</w:t>
            </w:r>
            <w:r>
              <w:t xml:space="preserve"> </w:t>
            </w:r>
            <w:r>
              <w:t xml:space="preserve">(init/operate/shutdown; timeouts; header)</w:t>
            </w:r>
            <w:r>
              <w:t xml:space="preserve"> </w:t>
            </w:r>
            <w:hyperlink r:id="rId28">
              <w:r>
                <w:rPr>
                  <w:rStyle w:val="Hyperlink"/>
                </w:rPr>
                <w:t xml:space="preserve">[35]</w:t>
              </w:r>
            </w:hyperlink>
          </w:p>
        </w:tc>
        <w:tc>
          <w:tcPr/>
          <w:p>
            <w:pPr>
              <w:pStyle w:val="Compact"/>
            </w:pPr>
            <w:r>
              <w:rPr>
                <w:b/>
                <w:bCs/>
              </w:rPr>
              <w:t xml:space="preserve">Native</w:t>
            </w:r>
            <w:r>
              <w:t xml:space="preserve"> </w:t>
            </w:r>
            <w:r>
              <w:t xml:space="preserve">(contextId + task/session concepts)</w:t>
            </w:r>
            <w:r>
              <w:t xml:space="preserve"> </w:t>
            </w:r>
            <w:hyperlink r:id="rId44">
              <w:r>
                <w:rPr>
                  <w:rStyle w:val="Hyperlink"/>
                </w:rPr>
                <w:t xml:space="preserve">[40]</w:t>
              </w:r>
            </w:hyperlink>
          </w:p>
        </w:tc>
        <w:tc>
          <w:tcPr/>
          <w:p>
            <w:pPr>
              <w:pStyle w:val="Compact"/>
            </w:pPr>
            <w:r>
              <w:rPr>
                <w:b/>
                <w:bCs/>
              </w:rPr>
              <w:t xml:space="preserve">Partial</w:t>
            </w:r>
            <w:r>
              <w:t xml:space="preserve"> </w:t>
            </w:r>
            <w:r>
              <w:t xml:space="preserve">(conversation state exists; app-managed)</w:t>
            </w:r>
            <w:r>
              <w:t xml:space="preserve"> </w:t>
            </w:r>
            <w:hyperlink r:id="rId45">
              <w:r>
                <w:rPr>
                  <w:rStyle w:val="Hyperlink"/>
                </w:rPr>
                <w:t xml:space="preserve">[41]</w:t>
              </w:r>
            </w:hyperlink>
          </w:p>
        </w:tc>
        <w:tc>
          <w:tcPr/>
          <w:p>
            <w:pPr>
              <w:pStyle w:val="Compact"/>
            </w:pPr>
            <w:r>
              <w:t xml:space="preserve">External</w:t>
            </w:r>
          </w:p>
        </w:tc>
        <w:tc>
          <w:tcPr/>
          <w:p>
            <w:pPr>
              <w:pStyle w:val="Compact"/>
            </w:pPr>
            <w:r>
              <w:t xml:space="preserve">External</w:t>
            </w:r>
          </w:p>
        </w:tc>
        <w:tc>
          <w:tcPr/>
          <w:p>
            <w:pPr>
              <w:pStyle w:val="Compact"/>
            </w:pPr>
            <w:r>
              <w:t xml:space="preserve">None</w:t>
            </w:r>
          </w:p>
        </w:tc>
      </w:tr>
      <w:tr>
        <w:tc>
          <w:tcPr/>
          <w:p>
            <w:pPr>
              <w:pStyle w:val="Compact"/>
            </w:pPr>
            <w:r>
              <w:t xml:space="preserve">Provenance hooks</w:t>
            </w:r>
          </w:p>
        </w:tc>
        <w:tc>
          <w:tcPr/>
          <w:p>
            <w:pPr>
              <w:pStyle w:val="Compact"/>
            </w:pPr>
            <w:r>
              <w:rPr>
                <w:b/>
                <w:bCs/>
              </w:rPr>
              <w:t xml:space="preserve">Partial</w:t>
            </w:r>
            <w:r>
              <w:t xml:space="preserve"> </w:t>
            </w:r>
            <w:r>
              <w:t xml:space="preserve">(</w:t>
            </w:r>
            <w:r>
              <w:rPr>
                <w:rStyle w:val="VerbatimChar"/>
              </w:rPr>
              <w:t xml:space="preserve">_meta</w:t>
            </w:r>
            <w:r>
              <w:t xml:space="preserve"> </w:t>
            </w:r>
            <w:r>
              <w:t xml:space="preserve">extensibility; logging utility)</w:t>
            </w:r>
            <w:r>
              <w:t xml:space="preserve"> </w:t>
            </w:r>
            <w:hyperlink r:id="rId21">
              <w:r>
                <w:rPr>
                  <w:rStyle w:val="Hyperlink"/>
                </w:rPr>
                <w:t xml:space="preserve">[42]</w:t>
              </w:r>
            </w:hyperlink>
          </w:p>
        </w:tc>
        <w:tc>
          <w:tcPr/>
          <w:p>
            <w:pPr>
              <w:pStyle w:val="Compact"/>
            </w:pPr>
            <w:r>
              <w:rPr>
                <w:b/>
                <w:bCs/>
              </w:rPr>
              <w:t xml:space="preserve">Partial</w:t>
            </w:r>
            <w:r>
              <w:t xml:space="preserve"> </w:t>
            </w:r>
            <w:r>
              <w:t xml:space="preserve">(task history + metadata fields)</w:t>
            </w:r>
            <w:r>
              <w:t xml:space="preserve"> </w:t>
            </w:r>
            <w:hyperlink r:id="rId46">
              <w:r>
                <w:rPr>
                  <w:rStyle w:val="Hyperlink"/>
                </w:rPr>
                <w:t xml:space="preserve">[43]</w:t>
              </w:r>
            </w:hyperlink>
          </w:p>
        </w:tc>
        <w:tc>
          <w:tcPr/>
          <w:p>
            <w:pPr>
              <w:pStyle w:val="Compact"/>
            </w:pPr>
            <w:r>
              <w:rPr>
                <w:b/>
                <w:bCs/>
              </w:rPr>
              <w:t xml:space="preserve">Partial</w:t>
            </w:r>
            <w:r>
              <w:t xml:space="preserve"> </w:t>
            </w:r>
            <w:r>
              <w:t xml:space="preserve">(tool call structure + outputs; app logs provenance)</w:t>
            </w:r>
            <w:r>
              <w:t xml:space="preserve"> </w:t>
            </w:r>
            <w:hyperlink r:id="rId24">
              <w:r>
                <w:rPr>
                  <w:rStyle w:val="Hyperlink"/>
                </w:rPr>
                <w:t xml:space="preserve">[37]</w:t>
              </w:r>
            </w:hyperlink>
          </w:p>
        </w:tc>
        <w:tc>
          <w:tcPr/>
          <w:p>
            <w:pPr>
              <w:pStyle w:val="Compact"/>
            </w:pPr>
            <w:r>
              <w:rPr>
                <w:b/>
                <w:bCs/>
              </w:rPr>
              <w:t xml:space="preserve">Native</w:t>
            </w:r>
            <w:r>
              <w:t xml:space="preserve"> </w:t>
            </w:r>
            <w:r>
              <w:t xml:space="preserve">(trace semantics vocabulary)</w:t>
            </w:r>
            <w:r>
              <w:t xml:space="preserve"> </w:t>
            </w:r>
            <w:hyperlink r:id="rId31">
              <w:r>
                <w:rPr>
                  <w:rStyle w:val="Hyperlink"/>
                </w:rPr>
                <w:t xml:space="preserve">[44]</w:t>
              </w:r>
            </w:hyperlink>
          </w:p>
        </w:tc>
        <w:tc>
          <w:tcPr/>
          <w:p>
            <w:pPr>
              <w:pStyle w:val="Compact"/>
            </w:pPr>
            <w:r>
              <w:rPr>
                <w:b/>
                <w:bCs/>
              </w:rPr>
              <w:t xml:space="preserve">Native</w:t>
            </w:r>
            <w:r>
              <w:t xml:space="preserve"> </w:t>
            </w:r>
            <w:r>
              <w:t xml:space="preserve">(agents/activities/entities + relations)</w:t>
            </w:r>
            <w:r>
              <w:t xml:space="preserve"> </w:t>
            </w:r>
            <w:hyperlink r:id="rId33">
              <w:r>
                <w:rPr>
                  <w:rStyle w:val="Hyperlink"/>
                </w:rPr>
                <w:t xml:space="preserve">[18]</w:t>
              </w:r>
            </w:hyperlink>
          </w:p>
        </w:tc>
        <w:tc>
          <w:tcPr/>
          <w:p>
            <w:pPr>
              <w:pStyle w:val="Compact"/>
            </w:pPr>
            <w:r>
              <w:t xml:space="preserve">None</w:t>
            </w:r>
          </w:p>
        </w:tc>
      </w:tr>
      <w:tr>
        <w:tc>
          <w:tcPr/>
          <w:p>
            <w:pPr>
              <w:pStyle w:val="Compact"/>
            </w:pPr>
            <w:r>
              <w:t xml:space="preserve">Authority modes</w:t>
            </w:r>
          </w:p>
        </w:tc>
        <w:tc>
          <w:tcPr/>
          <w:p>
            <w:pPr>
              <w:pStyle w:val="Compact"/>
            </w:pPr>
            <w:r>
              <w:t xml:space="preserve">None</w:t>
            </w:r>
          </w:p>
        </w:tc>
        <w:tc>
          <w:tcPr/>
          <w:p>
            <w:pPr>
              <w:pStyle w:val="Compact"/>
            </w:pPr>
            <w:r>
              <w:t xml:space="preserve">Partial (auth requirements in AgentCard)</w:t>
            </w:r>
            <w:r>
              <w:t xml:space="preserve"> </w:t>
            </w:r>
            <w:hyperlink r:id="rId30">
              <w:r>
                <w:rPr>
                  <w:rStyle w:val="Hyperlink"/>
                </w:rPr>
                <w:t xml:space="preserve">[45]</w:t>
              </w:r>
            </w:hyperlink>
          </w:p>
        </w:tc>
        <w:tc>
          <w:tcPr/>
          <w:p>
            <w:pPr>
              <w:pStyle w:val="Compact"/>
            </w:pPr>
            <w:r>
              <w:t xml:space="preserve">Partial (tool choice controls; not governance)</w:t>
            </w:r>
            <w:r>
              <w:t xml:space="preserve"> </w:t>
            </w:r>
            <w:hyperlink r:id="rId45">
              <w:r>
                <w:rPr>
                  <w:rStyle w:val="Hyperlink"/>
                </w:rPr>
                <w:t xml:space="preserve">[46]</w:t>
              </w:r>
            </w:hyperlink>
          </w:p>
        </w:tc>
        <w:tc>
          <w:tcPr/>
          <w:p>
            <w:pPr>
              <w:pStyle w:val="Compact"/>
            </w:pPr>
            <w:r>
              <w:t xml:space="preserve">None</w:t>
            </w:r>
          </w:p>
        </w:tc>
        <w:tc>
          <w:tcPr/>
          <w:p>
            <w:pPr>
              <w:pStyle w:val="Compact"/>
            </w:pPr>
            <w:r>
              <w:t xml:space="preserve">Partial (responsibility modeling, not authorization)</w:t>
            </w:r>
            <w:r>
              <w:t xml:space="preserve"> </w:t>
            </w:r>
            <w:hyperlink r:id="rId33">
              <w:r>
                <w:rPr>
                  <w:rStyle w:val="Hyperlink"/>
                </w:rPr>
                <w:t xml:space="preserve">[18]</w:t>
              </w:r>
            </w:hyperlink>
          </w:p>
        </w:tc>
        <w:tc>
          <w:tcPr/>
          <w:p>
            <w:pPr>
              <w:pStyle w:val="Compact"/>
            </w:pPr>
            <w:r>
              <w:t xml:space="preserve">Partial (auth schemes)</w:t>
            </w:r>
            <w:r>
              <w:t xml:space="preserve"> </w:t>
            </w:r>
            <w:hyperlink r:id="rId40">
              <w:r>
                <w:rPr>
                  <w:rStyle w:val="Hyperlink"/>
                </w:rPr>
                <w:t xml:space="preserve">[39]</w:t>
              </w:r>
            </w:hyperlink>
          </w:p>
        </w:tc>
      </w:tr>
      <w:tr>
        <w:tc>
          <w:tcPr/>
          <w:p>
            <w:pPr>
              <w:pStyle w:val="Compact"/>
            </w:pPr>
            <w:r>
              <w:t xml:space="preserve">Proposal → approval → commit semantics</w:t>
            </w:r>
          </w:p>
        </w:tc>
        <w:tc>
          <w:tcPr/>
          <w:p>
            <w:pPr>
              <w:pStyle w:val="Compact"/>
            </w:pPr>
            <w:r>
              <w:t xml:space="preserve">None</w:t>
            </w:r>
          </w:p>
        </w:tc>
        <w:tc>
          <w:tcPr/>
          <w:p>
            <w:pPr>
              <w:pStyle w:val="Compact"/>
            </w:pPr>
            <w:r>
              <w:t xml:space="preserve">Partial (Task vs Message; input-required state)</w:t>
            </w:r>
            <w:r>
              <w:t xml:space="preserve"> </w:t>
            </w:r>
            <w:hyperlink r:id="rId46">
              <w:r>
                <w:rPr>
                  <w:rStyle w:val="Hyperlink"/>
                </w:rPr>
                <w:t xml:space="preserve">[43]</w:t>
              </w:r>
            </w:hyperlink>
          </w:p>
        </w:tc>
        <w:tc>
          <w:tcPr/>
          <w:p>
            <w:pPr>
              <w:pStyle w:val="Compact"/>
            </w:pPr>
            <w:r>
              <w:t xml:space="preserve">Partial (multi-step tool calls but no governance)</w:t>
            </w:r>
            <w:r>
              <w:t xml:space="preserve"> </w:t>
            </w:r>
            <w:hyperlink r:id="rId24">
              <w:r>
                <w:rPr>
                  <w:rStyle w:val="Hyperlink"/>
                </w:rPr>
                <w:t xml:space="preserve">[47]</w:t>
              </w:r>
            </w:hyperlink>
          </w:p>
        </w:tc>
        <w:tc>
          <w:tcPr/>
          <w:p>
            <w:pPr>
              <w:pStyle w:val="Compact"/>
            </w:pPr>
            <w:r>
              <w:t xml:space="preserve">None</w:t>
            </w:r>
          </w:p>
        </w:tc>
        <w:tc>
          <w:tcPr/>
          <w:p>
            <w:pPr>
              <w:pStyle w:val="Compact"/>
            </w:pPr>
            <w:r>
              <w:t xml:space="preserve">None</w:t>
            </w:r>
          </w:p>
        </w:tc>
        <w:tc>
          <w:tcPr/>
          <w:p>
            <w:pPr>
              <w:pStyle w:val="Compact"/>
            </w:pPr>
            <w:r>
              <w:t xml:space="preserve">None</w:t>
            </w:r>
          </w:p>
        </w:tc>
      </w:tr>
      <w:tr>
        <w:tc>
          <w:tcPr/>
          <w:p>
            <w:pPr>
              <w:pStyle w:val="Compact"/>
            </w:pPr>
            <w:r>
              <w:t xml:space="preserve">Idempotency semantics</w:t>
            </w:r>
          </w:p>
        </w:tc>
        <w:tc>
          <w:tcPr/>
          <w:p>
            <w:pPr>
              <w:pStyle w:val="Compact"/>
            </w:pPr>
            <w:r>
              <w:t xml:space="preserve">None</w:t>
            </w:r>
          </w:p>
        </w:tc>
        <w:tc>
          <w:tcPr/>
          <w:p>
            <w:pPr>
              <w:pStyle w:val="Compact"/>
            </w:pPr>
            <w:r>
              <w:t xml:space="preserve">Partial (task immutability aids traceability)</w:t>
            </w:r>
            <w:r>
              <w:t xml:space="preserve"> </w:t>
            </w:r>
            <w:hyperlink r:id="rId44">
              <w:r>
                <w:rPr>
                  <w:rStyle w:val="Hyperlink"/>
                </w:rPr>
                <w:t xml:space="preserve">[48]</w:t>
              </w:r>
            </w:hyperlink>
          </w:p>
        </w:tc>
        <w:tc>
          <w:tcPr/>
          <w:p>
            <w:pPr>
              <w:pStyle w:val="Compact"/>
            </w:pPr>
            <w:r>
              <w:t xml:space="preserve">External (app responsibility)</w:t>
            </w:r>
            <w:r>
              <w:t xml:space="preserve"> </w:t>
            </w:r>
            <w:hyperlink r:id="rId24">
              <w:r>
                <w:rPr>
                  <w:rStyle w:val="Hyperlink"/>
                </w:rPr>
                <w:t xml:space="preserve">[47]</w:t>
              </w:r>
            </w:hyperlink>
          </w:p>
        </w:tc>
        <w:tc>
          <w:tcPr/>
          <w:p>
            <w:pPr>
              <w:pStyle w:val="Compact"/>
            </w:pPr>
            <w:r>
              <w:t xml:space="preserve">None</w:t>
            </w:r>
          </w:p>
        </w:tc>
        <w:tc>
          <w:tcPr/>
          <w:p>
            <w:pPr>
              <w:pStyle w:val="Compact"/>
            </w:pPr>
            <w:r>
              <w:t xml:space="preserve">None</w:t>
            </w:r>
          </w:p>
        </w:tc>
        <w:tc>
          <w:tcPr/>
          <w:p>
            <w:pPr>
              <w:pStyle w:val="Compact"/>
            </w:pPr>
            <w:r>
              <w:t xml:space="preserve">None</w:t>
            </w:r>
          </w:p>
        </w:tc>
      </w:tr>
      <w:tr>
        <w:tc>
          <w:tcPr/>
          <w:p>
            <w:pPr>
              <w:pStyle w:val="Compact"/>
            </w:pPr>
            <w:r>
              <w:t xml:space="preserve">Telemetry mapping</w:t>
            </w:r>
          </w:p>
        </w:tc>
        <w:tc>
          <w:tcPr/>
          <w:p>
            <w:pPr>
              <w:pStyle w:val="Compact"/>
            </w:pPr>
            <w:r>
              <w:t xml:space="preserve">Partial (logging utility)</w:t>
            </w:r>
            <w:r>
              <w:t xml:space="preserve"> </w:t>
            </w:r>
            <w:hyperlink r:id="rId21">
              <w:r>
                <w:rPr>
                  <w:rStyle w:val="Hyperlink"/>
                </w:rPr>
                <w:t xml:space="preserve">[42]</w:t>
              </w:r>
            </w:hyperlink>
          </w:p>
        </w:tc>
        <w:tc>
          <w:tcPr/>
          <w:p>
            <w:pPr>
              <w:pStyle w:val="Compact"/>
            </w:pPr>
            <w:r>
              <w:t xml:space="preserve">Partial (claims “observability in mind” but not OTel-native)</w:t>
            </w:r>
            <w:r>
              <w:t xml:space="preserve"> </w:t>
            </w:r>
            <w:hyperlink r:id="rId23">
              <w:r>
                <w:rPr>
                  <w:rStyle w:val="Hyperlink"/>
                </w:rPr>
                <w:t xml:space="preserve">[49]</w:t>
              </w:r>
            </w:hyperlink>
          </w:p>
        </w:tc>
        <w:tc>
          <w:tcPr/>
          <w:p>
            <w:pPr>
              <w:pStyle w:val="Compact"/>
            </w:pPr>
            <w:r>
              <w:t xml:space="preserve">External (provider/tool telemetry varies)</w:t>
            </w:r>
            <w:r>
              <w:t xml:space="preserve"> </w:t>
            </w:r>
            <w:hyperlink r:id="rId45">
              <w:r>
                <w:rPr>
                  <w:rStyle w:val="Hyperlink"/>
                </w:rPr>
                <w:t xml:space="preserve">[46]</w:t>
              </w:r>
            </w:hyperlink>
          </w:p>
        </w:tc>
        <w:tc>
          <w:tcPr/>
          <w:p>
            <w:pPr>
              <w:pStyle w:val="Compact"/>
            </w:pPr>
            <w:r>
              <w:rPr>
                <w:b/>
                <w:bCs/>
              </w:rPr>
              <w:t xml:space="preserve">Native</w:t>
            </w:r>
            <w:r>
              <w:t xml:space="preserve"> </w:t>
            </w:r>
            <w:r>
              <w:t xml:space="preserve">(this is the point)</w:t>
            </w:r>
            <w:r>
              <w:t xml:space="preserve"> </w:t>
            </w:r>
            <w:hyperlink r:id="rId31">
              <w:r>
                <w:rPr>
                  <w:rStyle w:val="Hyperlink"/>
                </w:rPr>
                <w:t xml:space="preserve">[44]</w:t>
              </w:r>
            </w:hyperlink>
          </w:p>
        </w:tc>
        <w:tc>
          <w:tcPr/>
          <w:p>
            <w:pPr>
              <w:pStyle w:val="Compact"/>
            </w:pPr>
            <w:r>
              <w:t xml:space="preserve">External</w:t>
            </w:r>
          </w:p>
        </w:tc>
        <w:tc>
          <w:tcPr/>
          <w:p>
            <w:pPr>
              <w:pStyle w:val="Compact"/>
            </w:pPr>
            <w:r>
              <w:t xml:space="preserve">None</w:t>
            </w:r>
          </w:p>
        </w:tc>
      </w:tr>
      <w:tr>
        <w:tc>
          <w:tcPr/>
          <w:p>
            <w:pPr>
              <w:pStyle w:val="Compact"/>
            </w:pPr>
            <w:r>
              <w:t xml:space="preserve">Conformance hooks</w:t>
            </w:r>
          </w:p>
        </w:tc>
        <w:tc>
          <w:tcPr/>
          <w:p>
            <w:pPr>
              <w:pStyle w:val="Compact"/>
            </w:pPr>
            <w:r>
              <w:t xml:space="preserve">Partial (normative MUST/SHOULD language; schema ref)</w:t>
            </w:r>
            <w:r>
              <w:t xml:space="preserve"> </w:t>
            </w:r>
            <w:hyperlink r:id="rId47">
              <w:r>
                <w:rPr>
                  <w:rStyle w:val="Hyperlink"/>
                </w:rPr>
                <w:t xml:space="preserve">[50]</w:t>
              </w:r>
            </w:hyperlink>
          </w:p>
        </w:tc>
        <w:tc>
          <w:tcPr/>
          <w:p>
            <w:pPr>
              <w:pStyle w:val="Compact"/>
            </w:pPr>
            <w:r>
              <w:t xml:space="preserve">Partial (protocol spec + defined objects; still evolving)</w:t>
            </w:r>
            <w:r>
              <w:t xml:space="preserve"> </w:t>
            </w:r>
            <w:hyperlink r:id="rId23">
              <w:r>
                <w:rPr>
                  <w:rStyle w:val="Hyperlink"/>
                </w:rPr>
                <w:t xml:space="preserve">[51]</w:t>
              </w:r>
            </w:hyperlink>
          </w:p>
        </w:tc>
        <w:tc>
          <w:tcPr/>
          <w:p>
            <w:pPr>
              <w:pStyle w:val="Compact"/>
            </w:pPr>
            <w:r>
              <w:t xml:space="preserve">Partial (provider-defined; not multi-vendor)</w:t>
            </w:r>
            <w:r>
              <w:t xml:space="preserve"> </w:t>
            </w:r>
            <w:hyperlink r:id="rId45">
              <w:r>
                <w:rPr>
                  <w:rStyle w:val="Hyperlink"/>
                </w:rPr>
                <w:t xml:space="preserve">[46]</w:t>
              </w:r>
            </w:hyperlink>
          </w:p>
        </w:tc>
        <w:tc>
          <w:tcPr/>
          <w:p>
            <w:pPr>
              <w:pStyle w:val="Compact"/>
            </w:pPr>
            <w:r>
              <w:t xml:space="preserve">Partial (development status for agent spans)</w:t>
            </w:r>
            <w:r>
              <w:t xml:space="preserve"> </w:t>
            </w:r>
            <w:hyperlink r:id="rId25">
              <w:r>
                <w:rPr>
                  <w:rStyle w:val="Hyperlink"/>
                </w:rPr>
                <w:t xml:space="preserve">[16]</w:t>
              </w:r>
            </w:hyperlink>
          </w:p>
        </w:tc>
        <w:tc>
          <w:tcPr/>
          <w:p>
            <w:pPr>
              <w:pStyle w:val="Compact"/>
            </w:pPr>
            <w:r>
              <w:t xml:space="preserve">Partial (model constraints exist)</w:t>
            </w:r>
            <w:r>
              <w:t xml:space="preserve"> </w:t>
            </w:r>
            <w:hyperlink r:id="rId33">
              <w:r>
                <w:rPr>
                  <w:rStyle w:val="Hyperlink"/>
                </w:rPr>
                <w:t xml:space="preserve">[18]</w:t>
              </w:r>
            </w:hyperlink>
          </w:p>
        </w:tc>
        <w:tc>
          <w:tcPr/>
          <w:p>
            <w:pPr>
              <w:pStyle w:val="Compact"/>
            </w:pPr>
            <w:r>
              <w:t xml:space="preserve">Native (schema validation for contracts)</w:t>
            </w:r>
            <w:r>
              <w:t xml:space="preserve"> </w:t>
            </w:r>
            <w:hyperlink r:id="rId40">
              <w:r>
                <w:rPr>
                  <w:rStyle w:val="Hyperlink"/>
                </w:rPr>
                <w:t xml:space="preserve">[31]</w:t>
              </w:r>
            </w:hyperlink>
          </w:p>
        </w:tc>
      </w:tr>
    </w:tbl>
    <w:p>
      <w:pPr>
        <w:pStyle w:val="BodyText"/>
      </w:pPr>
      <w:r>
        <w:rPr>
          <w:b/>
          <w:bCs/>
        </w:rPr>
        <w:t xml:space="preserve">Bottom line from Table A:</w:t>
      </w:r>
      <w:r>
        <w:t xml:space="preserve"> </w:t>
      </w:r>
      <w:r>
        <w:t xml:space="preserve">no single protocol defines the governance primitives you need (authority, propose/commit, idempotency, override). Those are “workflow-standard primitives,” not “agent-protocol primitives.” The agent integration tier should therefore</w:t>
      </w:r>
      <w:r>
        <w:t xml:space="preserve"> </w:t>
      </w:r>
      <w:r>
        <w:rPr>
          <w:b/>
          <w:bCs/>
        </w:rPr>
        <w:t xml:space="preserve">map</w:t>
      </w:r>
      <w:r>
        <w:t xml:space="preserve"> </w:t>
      </w:r>
      <w:r>
        <w:t xml:space="preserve">protocols into your workflow kernel’s governance model, rather than expecting protocols to supply governance semantics.</w:t>
      </w:r>
      <w:r>
        <w:t xml:space="preserve"> </w:t>
      </w:r>
      <w:hyperlink r:id="rId26">
        <w:r>
          <w:rPr>
            <w:rStyle w:val="Hyperlink"/>
          </w:rPr>
          <w:t xml:space="preserve">[52]</w:t>
        </w:r>
      </w:hyperlink>
    </w:p>
    <w:bookmarkEnd w:id="48"/>
    <w:bookmarkEnd w:id="49"/>
    <w:bookmarkStart w:id="67" w:name="X249e754c3644abb22bff643466f9b429f575cd8"/>
    <w:p>
      <w:pPr>
        <w:pStyle w:val="Heading2"/>
      </w:pPr>
      <w:r>
        <w:t xml:space="preserve">Academic and applied literature on agentic agents and human-agent collaboration</w:t>
      </w:r>
    </w:p>
    <w:p>
      <w:pPr>
        <w:pStyle w:val="FirstParagraph"/>
      </w:pPr>
      <w:r>
        <w:t xml:space="preserve">The last ~5 years of agentic LLM work can be crudely—but usefully—sorted into:</w:t>
      </w:r>
      <w:r>
        <w:t xml:space="preserve"> </w:t>
      </w:r>
      <w:r>
        <w:rPr>
          <w:b/>
          <w:bCs/>
        </w:rPr>
        <w:t xml:space="preserve">Reason+Act prompting</w:t>
      </w:r>
      <w:r>
        <w:t xml:space="preserve">,</w:t>
      </w:r>
      <w:r>
        <w:t xml:space="preserve"> </w:t>
      </w:r>
      <w:r>
        <w:rPr>
          <w:b/>
          <w:bCs/>
        </w:rPr>
        <w:t xml:space="preserve">tool-learning</w:t>
      </w:r>
      <w:r>
        <w:t xml:space="preserve">,</w:t>
      </w:r>
      <w:r>
        <w:t xml:space="preserve"> </w:t>
      </w:r>
      <w:r>
        <w:rPr>
          <w:b/>
          <w:bCs/>
        </w:rPr>
        <w:t xml:space="preserve">multi-agent conversation/role decomposition</w:t>
      </w:r>
      <w:r>
        <w:t xml:space="preserve">, and</w:t>
      </w:r>
      <w:r>
        <w:t xml:space="preserve"> </w:t>
      </w:r>
      <w:r>
        <w:rPr>
          <w:b/>
          <w:bCs/>
        </w:rPr>
        <w:t xml:space="preserve">interface/action-space design</w:t>
      </w:r>
      <w:r>
        <w:t xml:space="preserve">. For high-stakes workflows, the durable abstractions are less about “smart planning” and more about:</w:t>
      </w:r>
      <w:r>
        <w:t xml:space="preserve"> </w:t>
      </w:r>
      <w:r>
        <w:rPr>
          <w:b/>
          <w:bCs/>
        </w:rPr>
        <w:t xml:space="preserve">typed actions, bounded autonomy, stable tool interfaces, and explicit collaboration contracts</w:t>
      </w:r>
      <w:r>
        <w:t xml:space="preserve">.</w:t>
      </w:r>
    </w:p>
    <w:bookmarkStart w:id="53" w:name="X89816005461bbd3a0ce7ab6ef8259605a8ff18d"/>
    <w:p>
      <w:pPr>
        <w:pStyle w:val="Heading3"/>
      </w:pPr>
      <w:r>
        <w:t xml:space="preserve">Tool use as an explicit reasoning primitive</w:t>
      </w:r>
    </w:p>
    <w:p>
      <w:pPr>
        <w:pStyle w:val="Compact"/>
        <w:numPr>
          <w:ilvl w:val="0"/>
          <w:numId w:val="1003"/>
        </w:numPr>
      </w:pPr>
      <w:r>
        <w:rPr>
          <w:b/>
          <w:bCs/>
        </w:rPr>
        <w:t xml:space="preserve">ReAct</w:t>
      </w:r>
      <w:r>
        <w:t xml:space="preserve"> </w:t>
      </w:r>
      <w:r>
        <w:t xml:space="preserve">interleaves reasoning traces and actions, showing that coupling “think steps” and “act steps” can improve task performance and interpretability relative to reasoning-only or acting-only approaches. For workflow standards, ReAct reinforces the need to treat “action” as a first-class artifact that can be logged, replayed, and reviewed.</w:t>
      </w:r>
      <w:r>
        <w:t xml:space="preserve"> </w:t>
      </w:r>
      <w:hyperlink r:id="rId50">
        <w:r>
          <w:rPr>
            <w:rStyle w:val="Hyperlink"/>
          </w:rPr>
          <w:t xml:space="preserve">[53]</w:t>
        </w:r>
      </w:hyperlink>
    </w:p>
    <w:p>
      <w:pPr>
        <w:pStyle w:val="Compact"/>
        <w:numPr>
          <w:ilvl w:val="0"/>
          <w:numId w:val="1003"/>
        </w:numPr>
      </w:pPr>
      <w:r>
        <w:rPr>
          <w:b/>
          <w:bCs/>
        </w:rPr>
        <w:t xml:space="preserve">Toolformer</w:t>
      </w:r>
      <w:r>
        <w:t xml:space="preserve"> </w:t>
      </w:r>
      <w:r>
        <w:t xml:space="preserve">shows a training pattern where a model learns</w:t>
      </w:r>
      <w:r>
        <w:t xml:space="preserve"> </w:t>
      </w:r>
      <w:r>
        <w:rPr>
          <w:i/>
          <w:iCs/>
        </w:rPr>
        <w:t xml:space="preserve">when</w:t>
      </w:r>
      <w:r>
        <w:t xml:space="preserve"> </w:t>
      </w:r>
      <w:r>
        <w:t xml:space="preserve">to call APIs,</w:t>
      </w:r>
      <w:r>
        <w:t xml:space="preserve"> </w:t>
      </w:r>
      <w:r>
        <w:rPr>
          <w:i/>
          <w:iCs/>
        </w:rPr>
        <w:t xml:space="preserve">which</w:t>
      </w:r>
      <w:r>
        <w:t xml:space="preserve"> </w:t>
      </w:r>
      <w:r>
        <w:t xml:space="preserve">APIs,</w:t>
      </w:r>
      <w:r>
        <w:t xml:space="preserve"> </w:t>
      </w:r>
      <w:r>
        <w:rPr>
          <w:i/>
          <w:iCs/>
        </w:rPr>
        <w:t xml:space="preserve">what arguments</w:t>
      </w:r>
      <w:r>
        <w:t xml:space="preserve">, and</w:t>
      </w:r>
      <w:r>
        <w:t xml:space="preserve"> </w:t>
      </w:r>
      <w:r>
        <w:rPr>
          <w:i/>
          <w:iCs/>
        </w:rPr>
        <w:t xml:space="preserve">how to use results</w:t>
      </w:r>
      <w:r>
        <w:t xml:space="preserve">—highlighting that tool-use competence is partly a data/learning problem, not just a runtime protocol problem. For workflow systems, this implies that</w:t>
      </w:r>
      <w:r>
        <w:t xml:space="preserve"> </w:t>
      </w:r>
      <w:r>
        <w:rPr>
          <w:b/>
          <w:bCs/>
        </w:rPr>
        <w:t xml:space="preserve">tool contracts must be crisp and stable</w:t>
      </w:r>
      <w:r>
        <w:t xml:space="preserve">, because models adapt to the available action grammar.</w:t>
      </w:r>
      <w:r>
        <w:t xml:space="preserve"> </w:t>
      </w:r>
      <w:hyperlink r:id="rId51">
        <w:r>
          <w:rPr>
            <w:rStyle w:val="Hyperlink"/>
          </w:rPr>
          <w:t xml:space="preserve">[54]</w:t>
        </w:r>
      </w:hyperlink>
    </w:p>
    <w:p>
      <w:pPr>
        <w:pStyle w:val="Compact"/>
        <w:numPr>
          <w:ilvl w:val="0"/>
          <w:numId w:val="1003"/>
        </w:numPr>
      </w:pPr>
      <w:r>
        <w:t xml:space="preserve">Tool-use frameworks/benchmarks (ToolBench, ToolLLM) highlight that tool selection and argument grounding can be measured and improved, but also expose that tooling ecosystems are brittle when APIs change or evaluation relies on unstable endpoints—an immediate red flag for high-stakes conformance.</w:t>
      </w:r>
      <w:r>
        <w:t xml:space="preserve"> </w:t>
      </w:r>
      <w:hyperlink r:id="rId52">
        <w:r>
          <w:rPr>
            <w:rStyle w:val="Hyperlink"/>
          </w:rPr>
          <w:t xml:space="preserve">[55]</w:t>
        </w:r>
      </w:hyperlink>
    </w:p>
    <w:bookmarkEnd w:id="53"/>
    <w:bookmarkStart w:id="60" w:name="Xaadef57e94ee6036ec4ae96d74f5fb5ac0a4619"/>
    <w:p>
      <w:pPr>
        <w:pStyle w:val="Heading3"/>
      </w:pPr>
      <w:r>
        <w:t xml:space="preserve">Multi-agent systems as structured decomposition (with old roots)</w:t>
      </w:r>
    </w:p>
    <w:p>
      <w:pPr>
        <w:pStyle w:val="FirstParagraph"/>
      </w:pPr>
      <w:r>
        <w:t xml:space="preserve">Modern multi-agent LLM frameworks often rediscover older MAS patterns:</w:t>
      </w:r>
    </w:p>
    <w:p>
      <w:pPr>
        <w:pStyle w:val="Compact"/>
        <w:numPr>
          <w:ilvl w:val="0"/>
          <w:numId w:val="1004"/>
        </w:numPr>
      </w:pPr>
      <w:r>
        <w:rPr>
          <w:b/>
          <w:bCs/>
        </w:rPr>
        <w:t xml:space="preserve">AutoGen</w:t>
      </w:r>
      <w:r>
        <w:t xml:space="preserve"> </w:t>
      </w:r>
      <w:r>
        <w:t xml:space="preserve">frames multi-agent collaboration as “conversable agents” that may incorporate tools and/or human inputs. This is conceptually close to older negotiation and coordination protocols, but with natural language replacing strict performatives. For workflow standards, the lesson is: multi-agent systems benefit from</w:t>
      </w:r>
      <w:r>
        <w:t xml:space="preserve"> </w:t>
      </w:r>
      <w:r>
        <w:rPr>
          <w:b/>
          <w:bCs/>
        </w:rPr>
        <w:t xml:space="preserve">explicit interaction patterns</w:t>
      </w:r>
      <w:r>
        <w:t xml:space="preserve"> </w:t>
      </w:r>
      <w:r>
        <w:t xml:space="preserve">and</w:t>
      </w:r>
      <w:r>
        <w:t xml:space="preserve"> </w:t>
      </w:r>
      <w:r>
        <w:rPr>
          <w:b/>
          <w:bCs/>
        </w:rPr>
        <w:t xml:space="preserve">mode switching</w:t>
      </w:r>
      <w:r>
        <w:t xml:space="preserve"> </w:t>
      </w:r>
      <w:r>
        <w:t xml:space="preserve">between autonomous, supervised, and human-in-the-loop operation.</w:t>
      </w:r>
      <w:r>
        <w:t xml:space="preserve"> </w:t>
      </w:r>
      <w:hyperlink r:id="rId54">
        <w:r>
          <w:rPr>
            <w:rStyle w:val="Hyperlink"/>
          </w:rPr>
          <w:t xml:space="preserve">[56]</w:t>
        </w:r>
      </w:hyperlink>
    </w:p>
    <w:p>
      <w:pPr>
        <w:pStyle w:val="Compact"/>
        <w:numPr>
          <w:ilvl w:val="0"/>
          <w:numId w:val="1004"/>
        </w:numPr>
      </w:pPr>
      <w:r>
        <w:rPr>
          <w:b/>
          <w:bCs/>
        </w:rPr>
        <w:t xml:space="preserve">MetaGPT</w:t>
      </w:r>
      <w:r>
        <w:t xml:space="preserve"> </w:t>
      </w:r>
      <w:r>
        <w:t xml:space="preserve">explicitly encodes “Standard Operating Procedures” into agent workflows, aiming to reduce cascading hallucinations by structuring roles and intermediate verification. In high-stakes workflows, SOP encoding is basically “policy + process constraints,” suggesting your standard should support</w:t>
      </w:r>
      <w:r>
        <w:t xml:space="preserve"> </w:t>
      </w:r>
      <w:r>
        <w:rPr>
          <w:b/>
          <w:bCs/>
        </w:rPr>
        <w:t xml:space="preserve">role specialization, intermediate artifacts, and checkpoints</w:t>
      </w:r>
      <w:r>
        <w:t xml:space="preserve"> </w:t>
      </w:r>
      <w:r>
        <w:t xml:space="preserve">rather than assuming a single monolithic agent.</w:t>
      </w:r>
      <w:r>
        <w:t xml:space="preserve"> </w:t>
      </w:r>
      <w:hyperlink r:id="rId55">
        <w:r>
          <w:rPr>
            <w:rStyle w:val="Hyperlink"/>
          </w:rPr>
          <w:t xml:space="preserve">[57]</w:t>
        </w:r>
      </w:hyperlink>
    </w:p>
    <w:p>
      <w:pPr>
        <w:pStyle w:val="FirstParagraph"/>
      </w:pPr>
      <w:r>
        <w:t xml:space="preserve">Seminal older work still matters because it clarifies “durable” social/coordination primitives:</w:t>
      </w:r>
    </w:p>
    <w:p>
      <w:pPr>
        <w:pStyle w:val="Compact"/>
        <w:numPr>
          <w:ilvl w:val="0"/>
          <w:numId w:val="1005"/>
        </w:numPr>
      </w:pPr>
      <w:r>
        <w:rPr>
          <w:b/>
          <w:bCs/>
        </w:rPr>
        <w:t xml:space="preserve">BDI (Belief-Desire-Intention)</w:t>
      </w:r>
      <w:r>
        <w:t xml:space="preserve"> </w:t>
      </w:r>
      <w:r>
        <w:t xml:space="preserve">frames agents as managing beliefs, goals, and intentions (commitments). In workflow terms, “intention” maps naturally to “committed plan segment,” which is the conceptual ancestor of a propose/commit model.</w:t>
      </w:r>
      <w:r>
        <w:t xml:space="preserve"> </w:t>
      </w:r>
      <w:hyperlink r:id="rId56">
        <w:r>
          <w:rPr>
            <w:rStyle w:val="Hyperlink"/>
          </w:rPr>
          <w:t xml:space="preserve">[58]</w:t>
        </w:r>
      </w:hyperlink>
    </w:p>
    <w:p>
      <w:pPr>
        <w:pStyle w:val="Compact"/>
        <w:numPr>
          <w:ilvl w:val="0"/>
          <w:numId w:val="1005"/>
        </w:numPr>
      </w:pPr>
      <w:r>
        <w:rPr>
          <w:b/>
          <w:bCs/>
        </w:rPr>
        <w:t xml:space="preserve">Joint intentions / commitment theories</w:t>
      </w:r>
      <w:r>
        <w:t xml:space="preserve"> </w:t>
      </w:r>
      <w:r>
        <w:t xml:space="preserve">explain why confirmations and commitment management matter in collaboration—directly relevant to human-agent approval workflows and multi-agent handoffs.</w:t>
      </w:r>
      <w:r>
        <w:t xml:space="preserve"> </w:t>
      </w:r>
      <w:hyperlink r:id="rId57">
        <w:r>
          <w:rPr>
            <w:rStyle w:val="Hyperlink"/>
          </w:rPr>
          <w:t xml:space="preserve">[59]</w:t>
        </w:r>
      </w:hyperlink>
    </w:p>
    <w:p>
      <w:pPr>
        <w:pStyle w:val="Compact"/>
        <w:numPr>
          <w:ilvl w:val="0"/>
          <w:numId w:val="1005"/>
        </w:numPr>
      </w:pPr>
      <w:r>
        <w:rPr>
          <w:b/>
          <w:bCs/>
        </w:rPr>
        <w:t xml:space="preserve">SharedPlans</w:t>
      </w:r>
      <w:r>
        <w:t xml:space="preserve"> </w:t>
      </w:r>
      <w:r>
        <w:t xml:space="preserve">treats partial knowledge and commitment in collaborative planning, including the need to manage evolving context and incomplete plans—exactly the kind of reality high-stakes casework lives in.</w:t>
      </w:r>
      <w:r>
        <w:t xml:space="preserve"> </w:t>
      </w:r>
      <w:hyperlink r:id="rId58">
        <w:r>
          <w:rPr>
            <w:rStyle w:val="Hyperlink"/>
          </w:rPr>
          <w:t xml:space="preserve">[60]</w:t>
        </w:r>
      </w:hyperlink>
    </w:p>
    <w:p>
      <w:pPr>
        <w:pStyle w:val="Compact"/>
        <w:numPr>
          <w:ilvl w:val="0"/>
          <w:numId w:val="1005"/>
        </w:numPr>
      </w:pPr>
      <w:r>
        <w:rPr>
          <w:b/>
          <w:bCs/>
        </w:rPr>
        <w:t xml:space="preserve">Contract Net Protocol</w:t>
      </w:r>
      <w:r>
        <w:t xml:space="preserve"> </w:t>
      </w:r>
      <w:r>
        <w:t xml:space="preserve">is the classic pattern for task distribution via bidding/negotiation, which is essentially the ancestor of capability discovery + delegation. This matters because modern agent ecosystems are reintroducing negotiation (implicitly) without standard guardrails.</w:t>
      </w:r>
      <w:r>
        <w:t xml:space="preserve"> </w:t>
      </w:r>
      <w:hyperlink r:id="rId59">
        <w:r>
          <w:rPr>
            <w:rStyle w:val="Hyperlink"/>
          </w:rPr>
          <w:t xml:space="preserve">[61]</w:t>
        </w:r>
      </w:hyperlink>
    </w:p>
    <w:bookmarkEnd w:id="60"/>
    <w:bookmarkStart w:id="62" w:name="Xa11db652154e95fa7f0eaffcf3f30c98df42d11"/>
    <w:p>
      <w:pPr>
        <w:pStyle w:val="Heading3"/>
      </w:pPr>
      <w:r>
        <w:t xml:space="preserve">Human-agent collaboration, mixed initiative, and transfer of control</w:t>
      </w:r>
    </w:p>
    <w:p>
      <w:pPr>
        <w:pStyle w:val="FirstParagraph"/>
      </w:pPr>
      <w:r>
        <w:t xml:space="preserve">High-stakes workflows demand that “the human is always the final authority” is not a slogan but an executable contract.</w:t>
      </w:r>
    </w:p>
    <w:p>
      <w:pPr>
        <w:pStyle w:val="Compact"/>
        <w:numPr>
          <w:ilvl w:val="0"/>
          <w:numId w:val="1006"/>
        </w:numPr>
      </w:pPr>
      <w:r>
        <w:rPr>
          <w:b/>
          <w:bCs/>
        </w:rPr>
        <w:t xml:space="preserve">Mixed-initiative UI principles</w:t>
      </w:r>
      <w:r>
        <w:t xml:space="preserve"> </w:t>
      </w:r>
      <w:r>
        <w:t xml:space="preserve">emphasize coupling automation with direct manipulation and careful control of when the system should act vs suggest. For workflow standards, this supports a design where agents produce</w:t>
      </w:r>
      <w:r>
        <w:t xml:space="preserve"> </w:t>
      </w:r>
      <w:r>
        <w:rPr>
          <w:b/>
          <w:bCs/>
        </w:rPr>
        <w:t xml:space="preserve">proposals</w:t>
      </w:r>
      <w:r>
        <w:t xml:space="preserve"> </w:t>
      </w:r>
      <w:r>
        <w:t xml:space="preserve">that become</w:t>
      </w:r>
      <w:r>
        <w:t xml:space="preserve"> </w:t>
      </w:r>
      <w:r>
        <w:rPr>
          <w:b/>
          <w:bCs/>
        </w:rPr>
        <w:t xml:space="preserve">commits</w:t>
      </w:r>
      <w:r>
        <w:t xml:space="preserve"> </w:t>
      </w:r>
      <w:r>
        <w:t xml:space="preserve">only under policy/human authorization.</w:t>
      </w:r>
      <w:r>
        <w:t xml:space="preserve"> </w:t>
      </w:r>
      <w:hyperlink r:id="rId39">
        <w:r>
          <w:rPr>
            <w:rStyle w:val="Hyperlink"/>
          </w:rPr>
          <w:t xml:space="preserve">[62]</w:t>
        </w:r>
      </w:hyperlink>
    </w:p>
    <w:p>
      <w:pPr>
        <w:pStyle w:val="Compact"/>
        <w:numPr>
          <w:ilvl w:val="0"/>
          <w:numId w:val="1006"/>
        </w:numPr>
      </w:pPr>
      <w:r>
        <w:rPr>
          <w:b/>
          <w:bCs/>
        </w:rPr>
        <w:t xml:space="preserve">Adjustable autonomy</w:t>
      </w:r>
      <w:r>
        <w:t xml:space="preserve"> </w:t>
      </w:r>
      <w:r>
        <w:t xml:space="preserve">research formalizes transfer-of-control strategies (agent ↔ human), which maps cleanly to authority modes like “none/supervised/bounded/independent” in your core model (recommended later).</w:t>
      </w:r>
      <w:r>
        <w:t xml:space="preserve"> </w:t>
      </w:r>
      <w:hyperlink r:id="rId35">
        <w:r>
          <w:rPr>
            <w:rStyle w:val="Hyperlink"/>
          </w:rPr>
          <w:t xml:space="preserve">[63]</w:t>
        </w:r>
      </w:hyperlink>
    </w:p>
    <w:p>
      <w:pPr>
        <w:pStyle w:val="Compact"/>
        <w:numPr>
          <w:ilvl w:val="0"/>
          <w:numId w:val="1006"/>
        </w:numPr>
      </w:pPr>
      <w:r>
        <w:t xml:space="preserve">“Agency plus automation” work in HCI argues for designing systems where people and algorithms interact adaptively; for standards design, this supports making the</w:t>
      </w:r>
      <w:r>
        <w:t xml:space="preserve"> </w:t>
      </w:r>
      <w:r>
        <w:rPr>
          <w:i/>
          <w:iCs/>
        </w:rPr>
        <w:t xml:space="preserve">interaction protocol</w:t>
      </w:r>
      <w:r>
        <w:t xml:space="preserve"> </w:t>
      </w:r>
      <w:r>
        <w:t xml:space="preserve">(propose/confirm/override) explicit rather than leaving it to ad hoc UI behavior.</w:t>
      </w:r>
      <w:r>
        <w:t xml:space="preserve"> </w:t>
      </w:r>
      <w:hyperlink r:id="rId61">
        <w:r>
          <w:rPr>
            <w:rStyle w:val="Hyperlink"/>
          </w:rPr>
          <w:t xml:space="preserve">[64]</w:t>
        </w:r>
      </w:hyperlink>
    </w:p>
    <w:bookmarkEnd w:id="62"/>
    <w:bookmarkStart w:id="66" w:name="Xc34cdf37f1a1401561005211ebfdb2826b25901"/>
    <w:p>
      <w:pPr>
        <w:pStyle w:val="Heading3"/>
      </w:pPr>
      <w:r>
        <w:t xml:space="preserve">Taxonomy of agent behaviors and required standard primitives</w:t>
      </w:r>
    </w:p>
    <w:p>
      <w:pPr>
        <w:pStyle w:val="FirstParagraph"/>
      </w:pPr>
      <w:r>
        <w:rPr>
          <w:b/>
          <w:bCs/>
        </w:rPr>
        <w:t xml:space="preserve">Table B</w:t>
      </w:r>
      <w:r>
        <w:t xml:space="preserve"> </w:t>
      </w:r>
      <w:r>
        <w:t xml:space="preserve">is a taxonomy oriented to high-stakes workflows rather than generic “agents in games.” The “Required primitives” column is what should exist at the workflow standard layer (core + agent tier), irrespective of whether the agent itself is LLM-based.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Agent behavior class</w:t>
            </w:r>
          </w:p>
        </w:tc>
        <w:tc>
          <w:tcPr/>
          <w:p>
            <w:pPr>
              <w:pStyle w:val="Compact"/>
            </w:pPr>
            <w:r>
              <w:t xml:space="preserve">Examples in literature/systems</w:t>
            </w:r>
          </w:p>
        </w:tc>
        <w:tc>
          <w:tcPr/>
          <w:p>
            <w:pPr>
              <w:pStyle w:val="Compact"/>
            </w:pPr>
            <w:r>
              <w:t xml:space="preserve">Failure mode in high-stakes settings</w:t>
            </w:r>
          </w:p>
        </w:tc>
        <w:tc>
          <w:tcPr/>
          <w:p>
            <w:pPr>
              <w:pStyle w:val="Compact"/>
            </w:pPr>
            <w:r>
              <w:t xml:space="preserve">Required standard primitives</w:t>
            </w:r>
          </w:p>
        </w:tc>
      </w:tr>
      <w:tr>
        <w:tc>
          <w:tcPr/>
          <w:p>
            <w:pPr>
              <w:pStyle w:val="Compact"/>
            </w:pPr>
            <w:r>
              <w:t xml:space="preserve">Propose-only assistance</w:t>
            </w:r>
          </w:p>
        </w:tc>
        <w:tc>
          <w:tcPr/>
          <w:p>
            <w:pPr>
              <w:pStyle w:val="Compact"/>
            </w:pPr>
            <w:r>
              <w:t xml:space="preserve">ReAct-style trajectories; mixed-initiative principles</w:t>
            </w:r>
            <w:r>
              <w:t xml:space="preserve"> </w:t>
            </w:r>
            <w:hyperlink r:id="rId50">
              <w:r>
                <w:rPr>
                  <w:rStyle w:val="Hyperlink"/>
                </w:rPr>
                <w:t xml:space="preserve">[65]</w:t>
              </w:r>
            </w:hyperlink>
          </w:p>
        </w:tc>
        <w:tc>
          <w:tcPr/>
          <w:p>
            <w:pPr>
              <w:pStyle w:val="Compact"/>
            </w:pPr>
            <w:r>
              <w:t xml:space="preserve">Silent automation; unclear provenance; “why did it do that?”</w:t>
            </w:r>
          </w:p>
        </w:tc>
        <w:tc>
          <w:tcPr/>
          <w:p>
            <w:pPr>
              <w:pStyle w:val="Compact"/>
            </w:pPr>
            <w:r>
              <w:rPr>
                <w:rStyle w:val="VerbatimChar"/>
              </w:rPr>
              <w:t xml:space="preserve">Proposal</w:t>
            </w:r>
            <w:r>
              <w:t xml:space="preserve"> </w:t>
            </w:r>
            <w:r>
              <w:t xml:space="preserve">object, provenance fields, “explanation artifact,” reviewer workflow state, explicit rejection reasons</w:t>
            </w:r>
          </w:p>
        </w:tc>
      </w:tr>
      <w:tr>
        <w:tc>
          <w:tcPr/>
          <w:p>
            <w:pPr>
              <w:pStyle w:val="Compact"/>
            </w:pPr>
            <w:r>
              <w:t xml:space="preserve">Tool-using execution</w:t>
            </w:r>
          </w:p>
        </w:tc>
        <w:tc>
          <w:tcPr/>
          <w:p>
            <w:pPr>
              <w:pStyle w:val="Compact"/>
            </w:pPr>
            <w:r>
              <w:t xml:space="preserve">Toolformer/ToolBench/ToolLLM</w:t>
            </w:r>
            <w:r>
              <w:t xml:space="preserve"> </w:t>
            </w:r>
            <w:hyperlink r:id="rId51">
              <w:r>
                <w:rPr>
                  <w:rStyle w:val="Hyperlink"/>
                </w:rPr>
                <w:t xml:space="preserve">[66]</w:t>
              </w:r>
            </w:hyperlink>
          </w:p>
        </w:tc>
        <w:tc>
          <w:tcPr/>
          <w:p>
            <w:pPr>
              <w:pStyle w:val="Compact"/>
            </w:pPr>
            <w:r>
              <w:t xml:space="preserve">Tool misuse, bad inputs, insecure output handling</w:t>
            </w:r>
          </w:p>
        </w:tc>
        <w:tc>
          <w:tcPr/>
          <w:p>
            <w:pPr>
              <w:pStyle w:val="Compact"/>
            </w:pPr>
            <w:r>
              <w:t xml:space="preserve">Tool contract references (OpenAPI/JSON Schema), pre/post conditions, structured tool results, output validation gates</w:t>
            </w:r>
          </w:p>
        </w:tc>
      </w:tr>
      <w:tr>
        <w:tc>
          <w:tcPr/>
          <w:p>
            <w:pPr>
              <w:pStyle w:val="Compact"/>
            </w:pPr>
            <w:r>
              <w:t xml:space="preserve">Delegation / multi-agent routing</w:t>
            </w:r>
          </w:p>
        </w:tc>
        <w:tc>
          <w:tcPr/>
          <w:p>
            <w:pPr>
              <w:pStyle w:val="Compact"/>
            </w:pPr>
            <w:r>
              <w:t xml:space="preserve">AutoGen; Contract Net inspiration</w:t>
            </w:r>
            <w:r>
              <w:t xml:space="preserve"> </w:t>
            </w:r>
            <w:hyperlink r:id="rId54">
              <w:r>
                <w:rPr>
                  <w:rStyle w:val="Hyperlink"/>
                </w:rPr>
                <w:t xml:space="preserve">[67]</w:t>
              </w:r>
            </w:hyperlink>
          </w:p>
        </w:tc>
        <w:tc>
          <w:tcPr/>
          <w:p>
            <w:pPr>
              <w:pStyle w:val="Compact"/>
            </w:pPr>
            <w:r>
              <w:t xml:space="preserve">Unbounded delegation chain; accountability gaps</w:t>
            </w:r>
          </w:p>
        </w:tc>
        <w:tc>
          <w:tcPr/>
          <w:p>
            <w:pPr>
              <w:pStyle w:val="Compact"/>
            </w:pPr>
            <w:r>
              <w:t xml:space="preserve">Delegation records, capability claims, delegation constraints, chain-of-custody for decisions</w:t>
            </w:r>
          </w:p>
        </w:tc>
      </w:tr>
      <w:tr>
        <w:tc>
          <w:tcPr/>
          <w:p>
            <w:pPr>
              <w:pStyle w:val="Compact"/>
            </w:pPr>
            <w:r>
              <w:t xml:space="preserve">Long-running task management</w:t>
            </w:r>
          </w:p>
        </w:tc>
        <w:tc>
          <w:tcPr/>
          <w:p>
            <w:pPr>
              <w:pStyle w:val="Compact"/>
            </w:pPr>
            <w:r>
              <w:t xml:space="preserve">A2A Task vs Message; durable workflow engines</w:t>
            </w:r>
            <w:r>
              <w:t xml:space="preserve"> </w:t>
            </w:r>
            <w:hyperlink r:id="rId44">
              <w:r>
                <w:rPr>
                  <w:rStyle w:val="Hyperlink"/>
                </w:rPr>
                <w:t xml:space="preserve">[68]</w:t>
              </w:r>
            </w:hyperlink>
          </w:p>
        </w:tc>
        <w:tc>
          <w:tcPr/>
          <w:p>
            <w:pPr>
              <w:pStyle w:val="Compact"/>
            </w:pPr>
            <w:r>
              <w:t xml:space="preserve">Lost context, duplicate side effects, replay drift</w:t>
            </w:r>
          </w:p>
        </w:tc>
        <w:tc>
          <w:tcPr/>
          <w:p>
            <w:pPr>
              <w:pStyle w:val="Compact"/>
            </w:pPr>
            <w:r>
              <w:t xml:space="preserve">Durable task IDs, idempotency keys, replay-safe step model, timers, resubscribe semantics</w:t>
            </w:r>
          </w:p>
        </w:tc>
      </w:tr>
      <w:tr>
        <w:tc>
          <w:tcPr/>
          <w:p>
            <w:pPr>
              <w:pStyle w:val="Compact"/>
            </w:pPr>
            <w:r>
              <w:t xml:space="preserve">Evidence synthesis / summarization</w:t>
            </w:r>
          </w:p>
        </w:tc>
        <w:tc>
          <w:tcPr/>
          <w:p>
            <w:pPr>
              <w:pStyle w:val="Compact"/>
            </w:pPr>
            <w:r>
              <w:t xml:space="preserve">Agentic surveys emphasize retrieval + reflection</w:t>
            </w:r>
            <w:r>
              <w:t xml:space="preserve"> </w:t>
            </w:r>
            <w:hyperlink r:id="rId63">
              <w:r>
                <w:rPr>
                  <w:rStyle w:val="Hyperlink"/>
                </w:rPr>
                <w:t xml:space="preserve">[69]</w:t>
              </w:r>
            </w:hyperlink>
          </w:p>
        </w:tc>
        <w:tc>
          <w:tcPr/>
          <w:p>
            <w:pPr>
              <w:pStyle w:val="Compact"/>
            </w:pPr>
            <w:r>
              <w:t xml:space="preserve">Hallucination treated as evidence; contamination via untrusted sources</w:t>
            </w:r>
          </w:p>
        </w:tc>
        <w:tc>
          <w:tcPr/>
          <w:p>
            <w:pPr>
              <w:pStyle w:val="Compact"/>
            </w:pPr>
            <w:r>
              <w:t xml:space="preserve">Evidence object model; citations/links; trust labels; source classification; anti-injection boundaries</w:t>
            </w:r>
          </w:p>
        </w:tc>
      </w:tr>
      <w:tr>
        <w:tc>
          <w:tcPr/>
          <w:p>
            <w:pPr>
              <w:pStyle w:val="Compact"/>
            </w:pPr>
            <w:r>
              <w:t xml:space="preserve">Negotiation / clarification</w:t>
            </w:r>
          </w:p>
        </w:tc>
        <w:tc>
          <w:tcPr/>
          <w:p>
            <w:pPr>
              <w:pStyle w:val="Compact"/>
            </w:pPr>
            <w:r>
              <w:t xml:space="preserve">A2A “input-required”; joint-action confirmations</w:t>
            </w:r>
            <w:r>
              <w:t xml:space="preserve"> </w:t>
            </w:r>
            <w:hyperlink r:id="rId46">
              <w:r>
                <w:rPr>
                  <w:rStyle w:val="Hyperlink"/>
                </w:rPr>
                <w:t xml:space="preserve">[70]</w:t>
              </w:r>
            </w:hyperlink>
          </w:p>
        </w:tc>
        <w:tc>
          <w:tcPr/>
          <w:p>
            <w:pPr>
              <w:pStyle w:val="Compact"/>
            </w:pPr>
            <w:r>
              <w:t xml:space="preserve">Vague approvals; ambiguous authority</w:t>
            </w:r>
          </w:p>
        </w:tc>
        <w:tc>
          <w:tcPr/>
          <w:p>
            <w:pPr>
              <w:pStyle w:val="Compact"/>
            </w:pPr>
            <w:r>
              <w:t xml:space="preserve">“Clarification required” state; structured question objects; explicit scope agreement; confirmation events</w:t>
            </w:r>
          </w:p>
        </w:tc>
      </w:tr>
      <w:tr>
        <w:tc>
          <w:tcPr/>
          <w:p>
            <w:pPr>
              <w:pStyle w:val="Compact"/>
            </w:pPr>
            <w:r>
              <w:t xml:space="preserve">Learning / memory accumulation</w:t>
            </w:r>
          </w:p>
        </w:tc>
        <w:tc>
          <w:tcPr/>
          <w:p>
            <w:pPr>
              <w:pStyle w:val="Compact"/>
            </w:pPr>
            <w:r>
              <w:t xml:space="preserve">Voyager skill library; agent memory surveys (emerging)</w:t>
            </w:r>
            <w:r>
              <w:t xml:space="preserve"> </w:t>
            </w:r>
            <w:hyperlink r:id="rId64">
              <w:r>
                <w:rPr>
                  <w:rStyle w:val="Hyperlink"/>
                </w:rPr>
                <w:t xml:space="preserve">[71]</w:t>
              </w:r>
            </w:hyperlink>
          </w:p>
        </w:tc>
        <w:tc>
          <w:tcPr/>
          <w:p>
            <w:pPr>
              <w:pStyle w:val="Compact"/>
            </w:pPr>
            <w:r>
              <w:t xml:space="preserve">Poisoned memory; outdated policy; privacy leakage</w:t>
            </w:r>
          </w:p>
        </w:tc>
        <w:tc>
          <w:tcPr/>
          <w:p>
            <w:pPr>
              <w:pStyle w:val="Compact"/>
            </w:pPr>
            <w:r>
              <w:t xml:space="preserve">Memory as governed artifact store; versioning; retention policies; PII controls; audit on memory writes</w:t>
            </w:r>
          </w:p>
        </w:tc>
      </w:tr>
      <w:tr>
        <w:tc>
          <w:tcPr/>
          <w:p>
            <w:pPr>
              <w:pStyle w:val="Compact"/>
            </w:pPr>
            <w:r>
              <w:t xml:space="preserve">Interface/action-space shaping</w:t>
            </w:r>
          </w:p>
        </w:tc>
        <w:tc>
          <w:tcPr/>
          <w:p>
            <w:pPr>
              <w:pStyle w:val="Compact"/>
            </w:pPr>
            <w:r>
              <w:t xml:space="preserve">SWE-agent’s Agent-Computer Interface design</w:t>
            </w:r>
            <w:r>
              <w:t xml:space="preserve"> </w:t>
            </w:r>
            <w:hyperlink r:id="rId65">
              <w:r>
                <w:rPr>
                  <w:rStyle w:val="Hyperlink"/>
                </w:rPr>
                <w:t xml:space="preserve">[72]</w:t>
              </w:r>
            </w:hyperlink>
          </w:p>
        </w:tc>
        <w:tc>
          <w:tcPr/>
          <w:p>
            <w:pPr>
              <w:pStyle w:val="Compact"/>
            </w:pPr>
            <w:r>
              <w:t xml:space="preserve">Agent has the wrong action ontology; unsafe over-permissioning</w:t>
            </w:r>
          </w:p>
        </w:tc>
        <w:tc>
          <w:tcPr/>
          <w:p>
            <w:pPr>
              <w:pStyle w:val="Compact"/>
            </w:pPr>
            <w:r>
              <w:t xml:space="preserve">Standardized action primitives; sandbox boundaries; capability descriptor; least-privilege tool access</w:t>
            </w:r>
          </w:p>
        </w:tc>
      </w:tr>
    </w:tbl>
    <w:bookmarkEnd w:id="66"/>
    <w:bookmarkEnd w:id="67"/>
    <w:bookmarkStart w:id="73" w:name="Xd8a8bd5043cbb3a4cd27c04795e59cd10bffae2"/>
    <w:p>
      <w:pPr>
        <w:pStyle w:val="Heading2"/>
      </w:pPr>
      <w:r>
        <w:t xml:space="preserve">Durable orchestration and replay semantics with agents</w:t>
      </w:r>
    </w:p>
    <w:p>
      <w:pPr>
        <w:pStyle w:val="FirstParagraph"/>
      </w:pPr>
      <w:r>
        <w:t xml:space="preserve">The most relevant “cutting-edge” systems research for agentic workflows is not “agents,” but</w:t>
      </w:r>
      <w:r>
        <w:t xml:space="preserve"> </w:t>
      </w:r>
      <w:r>
        <w:rPr>
          <w:b/>
          <w:bCs/>
        </w:rPr>
        <w:t xml:space="preserve">durable execution</w:t>
      </w:r>
      <w:r>
        <w:t xml:space="preserve">: showing what it takes for a workflow to run for days/months/years, survive crashes, and remain auditable.</w:t>
      </w:r>
    </w:p>
    <w:bookmarkStart w:id="70" w:name="Xe2cffca003023a7c67663583494e2b516990429"/>
    <w:p>
      <w:pPr>
        <w:pStyle w:val="Heading3"/>
      </w:pPr>
      <w:r>
        <w:t xml:space="preserve">Durable event histories as the spine of long-running correctness</w:t>
      </w:r>
    </w:p>
    <w:p>
      <w:pPr>
        <w:pStyle w:val="Compact"/>
        <w:numPr>
          <w:ilvl w:val="0"/>
          <w:numId w:val="1007"/>
        </w:numPr>
      </w:pPr>
      <w:r>
        <w:rPr>
          <w:b/>
          <w:bCs/>
        </w:rPr>
        <w:t xml:space="preserve">Temporal</w:t>
      </w:r>
      <w:r>
        <w:t xml:space="preserve"> </w:t>
      </w:r>
      <w:r>
        <w:t xml:space="preserve">centers workflow execution around an append-only</w:t>
      </w:r>
      <w:r>
        <w:t xml:space="preserve"> </w:t>
      </w:r>
      <w:r>
        <w:rPr>
          <w:b/>
          <w:bCs/>
        </w:rPr>
        <w:t xml:space="preserve">Event History</w:t>
      </w:r>
      <w:r>
        <w:t xml:space="preserve">; this history enables durable execution and recovery, and also serves as an audit log for debugging. Temporal workflows are described as able to run for years, and are subject to deterministic constraints for replay.</w:t>
      </w:r>
      <w:r>
        <w:t xml:space="preserve"> </w:t>
      </w:r>
      <w:hyperlink r:id="rId22">
        <w:r>
          <w:rPr>
            <w:rStyle w:val="Hyperlink"/>
          </w:rPr>
          <w:t xml:space="preserve">[73]</w:t>
        </w:r>
      </w:hyperlink>
    </w:p>
    <w:p>
      <w:pPr>
        <w:pStyle w:val="Compact"/>
        <w:numPr>
          <w:ilvl w:val="0"/>
          <w:numId w:val="1007"/>
        </w:numPr>
      </w:pPr>
      <w:r>
        <w:rPr>
          <w:b/>
          <w:bCs/>
        </w:rPr>
        <w:t xml:space="preserve">Durable Functions / Durable Task</w:t>
      </w:r>
      <w:r>
        <w:t xml:space="preserve"> </w:t>
      </w:r>
      <w:r>
        <w:t xml:space="preserve">explicitly uses event sourcing and replay for orchestrator state; orchestrator code must be deterministic because it can replay multiple times to rebuild state. The OOPSLA paper formalizes semantics; the docs stress determinism constraints as a practical engineering reality.</w:t>
      </w:r>
      <w:r>
        <w:t xml:space="preserve"> </w:t>
      </w:r>
      <w:hyperlink r:id="rId68">
        <w:r>
          <w:rPr>
            <w:rStyle w:val="Hyperlink"/>
          </w:rPr>
          <w:t xml:space="preserve">[74]</w:t>
        </w:r>
      </w:hyperlink>
    </w:p>
    <w:p>
      <w:pPr>
        <w:pStyle w:val="Compact"/>
        <w:numPr>
          <w:ilvl w:val="0"/>
          <w:numId w:val="1007"/>
        </w:numPr>
      </w:pPr>
      <w:r>
        <w:rPr>
          <w:b/>
          <w:bCs/>
        </w:rPr>
        <w:t xml:space="preserve">Event Sourcing</w:t>
      </w:r>
      <w:r>
        <w:t xml:space="preserve"> </w:t>
      </w:r>
      <w:r>
        <w:t xml:space="preserve">as a general pattern requires capturing state changes as ordered events in an append-only store to rebuild state later, which is exactly the core abstraction durable workflow engines exploit.</w:t>
      </w:r>
      <w:r>
        <w:t xml:space="preserve"> </w:t>
      </w:r>
      <w:hyperlink r:id="rId69">
        <w:r>
          <w:rPr>
            <w:rStyle w:val="Hyperlink"/>
          </w:rPr>
          <w:t xml:space="preserve">[75]</w:t>
        </w:r>
      </w:hyperlink>
    </w:p>
    <w:bookmarkEnd w:id="70"/>
    <w:bookmarkStart w:id="71" w:name="Xd24ca62102bb9c46ba7955a15bea2f7c8ac6b7e"/>
    <w:p>
      <w:pPr>
        <w:pStyle w:val="Heading3"/>
      </w:pPr>
      <w:r>
        <w:t xml:space="preserve">The agent problem: nondeterminism meets replay</w:t>
      </w:r>
    </w:p>
    <w:p>
      <w:pPr>
        <w:pStyle w:val="FirstParagraph"/>
      </w:pPr>
      <w:r>
        <w:t xml:space="preserve">LLMs/agents are nondeterministic, and their outputs can vary with time, model version, tool availability, and context length. In a replay-based orchestration model,</w:t>
      </w:r>
      <w:r>
        <w:t xml:space="preserve"> </w:t>
      </w:r>
      <w:r>
        <w:rPr>
          <w:b/>
          <w:bCs/>
        </w:rPr>
        <w:t xml:space="preserve">nondeterminism must be turned into recorded facts</w:t>
      </w:r>
      <w:r>
        <w:t xml:space="preserve">. Durable workflow engines already enforce this: only deterministic code belongs in orchestration logic; nondeterministic work is captured as activities whose results are recorded in the workflow history.</w:t>
      </w:r>
      <w:r>
        <w:t xml:space="preserve"> </w:t>
      </w:r>
      <w:hyperlink r:id="rId68">
        <w:r>
          <w:rPr>
            <w:rStyle w:val="Hyperlink"/>
          </w:rPr>
          <w:t xml:space="preserve">[76]</w:t>
        </w:r>
      </w:hyperlink>
    </w:p>
    <w:p>
      <w:pPr>
        <w:pStyle w:val="BodyText"/>
      </w:pPr>
      <w:r>
        <w:rPr>
          <w:b/>
          <w:bCs/>
        </w:rPr>
        <w:t xml:space="preserve">Inference (grounded in durable execution sources):</w:t>
      </w:r>
      <w:r>
        <w:t xml:space="preserve"> </w:t>
      </w:r>
      <w:r>
        <w:t xml:space="preserve">For an AI Agent Integration tier in high-stakes workflows, an “agent step” should be modeled as a recorded external action/result (like an activity), not as inline orchestration logic. This implies:</w:t>
      </w:r>
      <w:r>
        <w:br/>
      </w:r>
      <w:r>
        <w:t xml:space="preserve">1) the agent invocation produces a structured result that is persisted;</w:t>
      </w:r>
      <w:r>
        <w:br/>
      </w:r>
      <w:r>
        <w:t xml:space="preserve">2) replay reuses the persisted result;</w:t>
      </w:r>
      <w:r>
        <w:br/>
      </w:r>
      <w:r>
        <w:t xml:space="preserve">3) any new agent run must explicitly start a</w:t>
      </w:r>
      <w:r>
        <w:t xml:space="preserve"> </w:t>
      </w:r>
      <w:r>
        <w:rPr>
          <w:i/>
          <w:iCs/>
        </w:rPr>
        <w:t xml:space="preserve">new</w:t>
      </w:r>
      <w:r>
        <w:t xml:space="preserve"> </w:t>
      </w:r>
      <w:r>
        <w:t xml:space="preserve">step with a new identity and policy checks. This is the only way to preserve auditability and avoid double side effects.</w:t>
      </w:r>
      <w:r>
        <w:t xml:space="preserve"> </w:t>
      </w:r>
      <w:hyperlink r:id="rId22">
        <w:r>
          <w:rPr>
            <w:rStyle w:val="Hyperlink"/>
          </w:rPr>
          <w:t xml:space="preserve">[77]</w:t>
        </w:r>
      </w:hyperlink>
    </w:p>
    <w:bookmarkEnd w:id="71"/>
    <w:bookmarkStart w:id="72" w:name="X09acab6dddccc9426c7d50fdfec456c3b620f0d"/>
    <w:p>
      <w:pPr>
        <w:pStyle w:val="Heading3"/>
      </w:pPr>
      <w:r>
        <w:t xml:space="preserve">Mermaid diagram for long-running agent task with replay and compensation</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Case as Case/Workflow Orchestrator</w:t>
      </w:r>
      <w:r>
        <w:br/>
      </w:r>
      <w:r>
        <w:rPr>
          <w:rStyle w:val="VerbatimChar"/>
        </w:rPr>
        <w:t xml:space="preserve">  participant Agent as Agent Runner</w:t>
      </w:r>
      <w:r>
        <w:br/>
      </w:r>
      <w:r>
        <w:rPr>
          <w:rStyle w:val="VerbatimChar"/>
        </w:rPr>
        <w:t xml:space="preserve">  participant Tool as External Tool/API</w:t>
      </w:r>
      <w:r>
        <w:br/>
      </w:r>
      <w:r>
        <w:rPr>
          <w:rStyle w:val="VerbatimChar"/>
        </w:rPr>
        <w:t xml:space="preserve">  participant Hist as Durable Event History</w:t>
      </w:r>
      <w:r>
        <w:br/>
      </w:r>
      <w:r>
        <w:br/>
      </w:r>
      <w:r>
        <w:rPr>
          <w:rStyle w:val="VerbatimChar"/>
        </w:rPr>
        <w:t xml:space="preserve">  Case-&gt;&gt;Hist: append(Event: step.scheduled, stepId)</w:t>
      </w:r>
      <w:r>
        <w:br/>
      </w:r>
      <w:r>
        <w:rPr>
          <w:rStyle w:val="VerbatimChar"/>
        </w:rPr>
        <w:t xml:space="preserve">  Case-&gt;&gt;Agent: invoke(stepId, input, constraints)</w:t>
      </w:r>
      <w:r>
        <w:br/>
      </w:r>
      <w:r>
        <w:rPr>
          <w:rStyle w:val="VerbatimChar"/>
        </w:rPr>
        <w:t xml:space="preserve">  Agent-&gt;&gt;Tool: call(tool, args, idempotencyKey)</w:t>
      </w:r>
      <w:r>
        <w:br/>
      </w:r>
      <w:r>
        <w:rPr>
          <w:rStyle w:val="VerbatimChar"/>
        </w:rPr>
        <w:t xml:space="preserve">  Tool--&gt;&gt;Agent: result(toolResult)</w:t>
      </w:r>
      <w:r>
        <w:br/>
      </w:r>
      <w:r>
        <w:rPr>
          <w:rStyle w:val="VerbatimChar"/>
        </w:rPr>
        <w:t xml:space="preserve">  Agent--&gt;&gt;Case: stepResult(proposal or actionResult)</w:t>
      </w:r>
      <w:r>
        <w:br/>
      </w:r>
      <w:r>
        <w:rPr>
          <w:rStyle w:val="VerbatimChar"/>
        </w:rPr>
        <w:t xml:space="preserve">  Case-&gt;&gt;Hist: append(Event: step.completed, stepId, digest)</w:t>
      </w:r>
      <w:r>
        <w:br/>
      </w:r>
      <w:r>
        <w:br/>
      </w:r>
      <w:r>
        <w:rPr>
          <w:rStyle w:val="VerbatimChar"/>
        </w:rPr>
        <w:t xml:space="preserve">  Note over Case,Hist: Crash / failover occurs</w:t>
      </w:r>
      <w:r>
        <w:br/>
      </w:r>
      <w:r>
        <w:br/>
      </w:r>
      <w:r>
        <w:rPr>
          <w:rStyle w:val="VerbatimChar"/>
        </w:rPr>
        <w:t xml:space="preserve">  Case-&gt;&gt;Hist: read(history)</w:t>
      </w:r>
      <w:r>
        <w:br/>
      </w:r>
      <w:r>
        <w:rPr>
          <w:rStyle w:val="VerbatimChar"/>
        </w:rPr>
        <w:t xml:space="preserve">  Note over Case: Replay orchestration deterministically</w:t>
      </w:r>
      <w:r>
        <w:br/>
      </w:r>
      <w:r>
        <w:rPr>
          <w:rStyle w:val="VerbatimChar"/>
        </w:rPr>
        <w:t xml:space="preserve">  Case-&gt;&gt;Hist: find(step.completed, stepId)</w:t>
      </w:r>
      <w:r>
        <w:br/>
      </w:r>
      <w:r>
        <w:rPr>
          <w:rStyle w:val="VerbatimChar"/>
        </w:rPr>
        <w:t xml:space="preserve">  Case-&gt;&gt;Case: reuse recorded stepResult (no re-run)</w:t>
      </w:r>
      <w:r>
        <w:br/>
      </w:r>
      <w:r>
        <w:rPr>
          <w:rStyle w:val="VerbatimChar"/>
        </w:rPr>
        <w:t xml:space="preserve">  alt Compensation needed</w:t>
      </w:r>
      <w:r>
        <w:br/>
      </w:r>
      <w:r>
        <w:rPr>
          <w:rStyle w:val="VerbatimChar"/>
        </w:rPr>
        <w:t xml:space="preserve">    Case-&gt;&gt;Hist: append(Event: compensation.scheduled, compId)</w:t>
      </w:r>
      <w:r>
        <w:br/>
      </w:r>
      <w:r>
        <w:rPr>
          <w:rStyle w:val="VerbatimChar"/>
        </w:rPr>
        <w:t xml:space="preserve">    Case-&gt;&gt;Tool: call(compensate, args, idempotencyKey)</w:t>
      </w:r>
      <w:r>
        <w:br/>
      </w:r>
      <w:r>
        <w:rPr>
          <w:rStyle w:val="VerbatimChar"/>
        </w:rPr>
        <w:t xml:space="preserve">    Tool--&gt;&gt;Case: compResult</w:t>
      </w:r>
      <w:r>
        <w:br/>
      </w:r>
      <w:r>
        <w:rPr>
          <w:rStyle w:val="VerbatimChar"/>
        </w:rPr>
        <w:t xml:space="preserve">    Case-&gt;&gt;Hist: append(Event: compensation.completed, compId)</w:t>
      </w:r>
      <w:r>
        <w:br/>
      </w:r>
      <w:r>
        <w:rPr>
          <w:rStyle w:val="VerbatimChar"/>
        </w:rPr>
        <w:t xml:space="preserve">  end</w:t>
      </w:r>
    </w:p>
    <w:p>
      <w:pPr>
        <w:pStyle w:val="FirstParagraph"/>
      </w:pPr>
      <w:r>
        <w:t xml:space="preserve">This diagram encodes the durable execution expectation expressed in Temporal/Durable Functions: replay uses recorded history rather than re-executing nondeterministic work.</w:t>
      </w:r>
      <w:r>
        <w:t xml:space="preserve"> </w:t>
      </w:r>
      <w:hyperlink r:id="rId22">
        <w:r>
          <w:rPr>
            <w:rStyle w:val="Hyperlink"/>
          </w:rPr>
          <w:t xml:space="preserve">[78]</w:t>
        </w:r>
      </w:hyperlink>
    </w:p>
    <w:bookmarkEnd w:id="72"/>
    <w:bookmarkEnd w:id="73"/>
    <w:bookmarkStart w:id="81" w:name="X0166d6fbdd3dd679c6ed141e66fbc3318f3f0f1"/>
    <w:p>
      <w:pPr>
        <w:pStyle w:val="Heading2"/>
      </w:pPr>
      <w:r>
        <w:t xml:space="preserve">Safety, governance, provenance, and audit for agent actions</w:t>
      </w:r>
    </w:p>
    <w:p>
      <w:pPr>
        <w:pStyle w:val="FirstParagraph"/>
      </w:pPr>
      <w:r>
        <w:t xml:space="preserve">High-stakes, exception-heavy casework imposes requirements beyond “the agent can do tasks.” The workflow must answer:</w:t>
      </w:r>
    </w:p>
    <w:p>
      <w:pPr>
        <w:pStyle w:val="Compact"/>
        <w:numPr>
          <w:ilvl w:val="0"/>
          <w:numId w:val="1008"/>
        </w:numPr>
      </w:pPr>
      <w:r>
        <w:rPr>
          <w:b/>
          <w:bCs/>
        </w:rPr>
        <w:t xml:space="preserve">Who (human/agent/system) caused a state change?</w:t>
      </w:r>
    </w:p>
    <w:p>
      <w:pPr>
        <w:pStyle w:val="Compact"/>
        <w:numPr>
          <w:ilvl w:val="0"/>
          <w:numId w:val="1008"/>
        </w:numPr>
      </w:pPr>
      <w:r>
        <w:rPr>
          <w:b/>
          <w:bCs/>
        </w:rPr>
        <w:t xml:space="preserve">What evidence and policy was used?</w:t>
      </w:r>
    </w:p>
    <w:p>
      <w:pPr>
        <w:pStyle w:val="Compact"/>
        <w:numPr>
          <w:ilvl w:val="0"/>
          <w:numId w:val="1008"/>
        </w:numPr>
      </w:pPr>
      <w:r>
        <w:rPr>
          <w:b/>
          <w:bCs/>
        </w:rPr>
        <w:t xml:space="preserve">What was proposed vs what was committed?</w:t>
      </w:r>
    </w:p>
    <w:p>
      <w:pPr>
        <w:pStyle w:val="Compact"/>
        <w:numPr>
          <w:ilvl w:val="0"/>
          <w:numId w:val="1008"/>
        </w:numPr>
      </w:pPr>
      <w:r>
        <w:rPr>
          <w:b/>
          <w:bCs/>
        </w:rPr>
        <w:t xml:space="preserve">What was overridden, by whom, and why?</w:t>
      </w:r>
    </w:p>
    <w:p>
      <w:pPr>
        <w:pStyle w:val="Compact"/>
        <w:numPr>
          <w:ilvl w:val="0"/>
          <w:numId w:val="1008"/>
        </w:numPr>
      </w:pPr>
      <w:r>
        <w:rPr>
          <w:b/>
          <w:bCs/>
        </w:rPr>
        <w:t xml:space="preserve">What should happen on replay, and what must not happen again?</w:t>
      </w:r>
    </w:p>
    <w:p>
      <w:pPr>
        <w:pStyle w:val="FirstParagraph"/>
      </w:pPr>
      <w:r>
        <w:t xml:space="preserve">Modern governance and security work gives concrete reasons these must be standard primitives.</w:t>
      </w:r>
    </w:p>
    <w:bookmarkStart w:id="75" w:name="threat-model-drivers"/>
    <w:p>
      <w:pPr>
        <w:pStyle w:val="Heading3"/>
      </w:pPr>
      <w:r>
        <w:t xml:space="preserve">Threat model drivers</w:t>
      </w:r>
    </w:p>
    <w:p>
      <w:pPr>
        <w:pStyle w:val="Compact"/>
        <w:numPr>
          <w:ilvl w:val="0"/>
          <w:numId w:val="1009"/>
        </w:numPr>
      </w:pPr>
      <w:r>
        <w:t xml:space="preserve">The</w:t>
      </w:r>
      <w:r>
        <w:t xml:space="preserve"> </w:t>
      </w:r>
      <w:r>
        <w:rPr>
          <w:b/>
          <w:bCs/>
        </w:rPr>
        <w:t xml:space="preserve">OWASP Top 10 for LLM Apps</w:t>
      </w:r>
      <w:r>
        <w:t xml:space="preserve"> </w:t>
      </w:r>
      <w:r>
        <w:t xml:space="preserve">treats prompt injection as a top risk and explicitly calls out insecure output handling and other failure classes relevant to tool-using agents. This is directly applicable to high-stakes workflows that ingest untrusted documents and then call privileged tools.</w:t>
      </w:r>
      <w:r>
        <w:t xml:space="preserve"> </w:t>
      </w:r>
      <w:hyperlink r:id="rId26">
        <w:r>
          <w:rPr>
            <w:rStyle w:val="Hyperlink"/>
          </w:rPr>
          <w:t xml:space="preserve">[25]</w:t>
        </w:r>
      </w:hyperlink>
    </w:p>
    <w:p>
      <w:pPr>
        <w:pStyle w:val="Compact"/>
        <w:numPr>
          <w:ilvl w:val="0"/>
          <w:numId w:val="1009"/>
        </w:numPr>
      </w:pPr>
      <w:r>
        <w:t xml:space="preserve">Academic security research on</w:t>
      </w:r>
      <w:r>
        <w:t xml:space="preserve"> </w:t>
      </w:r>
      <w:r>
        <w:rPr>
          <w:b/>
          <w:bCs/>
        </w:rPr>
        <w:t xml:space="preserve">indirect prompt injection</w:t>
      </w:r>
      <w:r>
        <w:t xml:space="preserve"> </w:t>
      </w:r>
      <w:r>
        <w:t xml:space="preserve">demonstrates that when an application blurs the line between “data” and “instructions” (e.g., retrieved web pages, files, emails), attackers can hijack tool use, steal data, and manipulate downstream API calls. This is exactly the “case intake reads evidence + agent acts” scenario.</w:t>
      </w:r>
      <w:r>
        <w:t xml:space="preserve"> </w:t>
      </w:r>
      <w:hyperlink r:id="rId74">
        <w:r>
          <w:rPr>
            <w:rStyle w:val="Hyperlink"/>
          </w:rPr>
          <w:t xml:space="preserve">[79]</w:t>
        </w:r>
      </w:hyperlink>
    </w:p>
    <w:p>
      <w:pPr>
        <w:pStyle w:val="FirstParagraph"/>
      </w:pPr>
      <w:r>
        <w:rPr>
          <w:b/>
          <w:bCs/>
        </w:rPr>
        <w:t xml:space="preserve">Workflow-standard implication:</w:t>
      </w:r>
      <w:r>
        <w:t xml:space="preserve"> </w:t>
      </w:r>
      <w:r>
        <w:t xml:space="preserve">agents must operate under explicit</w:t>
      </w:r>
      <w:r>
        <w:t xml:space="preserve"> </w:t>
      </w:r>
      <w:r>
        <w:rPr>
          <w:b/>
          <w:bCs/>
        </w:rPr>
        <w:t xml:space="preserve">authority modes</w:t>
      </w:r>
      <w:r>
        <w:t xml:space="preserve">, and all tool calls must be mediated by a policy layer that distinguishes trusted vs untrusted content and enforces least privilege (the core cannot pretend this is purely “implementation detail”).</w:t>
      </w:r>
      <w:r>
        <w:t xml:space="preserve"> </w:t>
      </w:r>
      <w:hyperlink r:id="rId26">
        <w:r>
          <w:rPr>
            <w:rStyle w:val="Hyperlink"/>
          </w:rPr>
          <w:t xml:space="preserve">[80]</w:t>
        </w:r>
      </w:hyperlink>
    </w:p>
    <w:bookmarkEnd w:id="75"/>
    <w:bookmarkStart w:id="77" w:name="X9a2dc555a481ecc03631995e9c8c223bb1ca436"/>
    <w:p>
      <w:pPr>
        <w:pStyle w:val="Heading3"/>
      </w:pPr>
      <w:r>
        <w:t xml:space="preserve">Governance frameworks and compliance gravity</w:t>
      </w:r>
    </w:p>
    <w:p>
      <w:pPr>
        <w:pStyle w:val="Compact"/>
        <w:numPr>
          <w:ilvl w:val="0"/>
          <w:numId w:val="1010"/>
        </w:numPr>
      </w:pPr>
      <w:r>
        <w:rPr>
          <w:b/>
          <w:bCs/>
        </w:rPr>
        <w:t xml:space="preserve">NIST AI RMF 1.0</w:t>
      </w:r>
      <w:r>
        <w:t xml:space="preserve"> </w:t>
      </w:r>
      <w:r>
        <w:t xml:space="preserve">is designed to help manage AI risks and promote trustworthy AI. Its companion</w:t>
      </w:r>
      <w:r>
        <w:t xml:space="preserve"> </w:t>
      </w:r>
      <w:r>
        <w:rPr>
          <w:b/>
          <w:bCs/>
        </w:rPr>
        <w:t xml:space="preserve">Generative AI Profile</w:t>
      </w:r>
      <w:r>
        <w:t xml:space="preserve"> </w:t>
      </w:r>
      <w:r>
        <w:t xml:space="preserve">identifies GenAI-specific risks and recommended actions for risk management (cross-sectoral). These are not workflow specs, but they are the kind of governance expectations high-stakes operators will map onto workflow controls (documentation, monitoring, evaluation, and accountability loops).</w:t>
      </w:r>
      <w:r>
        <w:t xml:space="preserve"> </w:t>
      </w:r>
      <w:hyperlink r:id="rId27">
        <w:r>
          <w:rPr>
            <w:rStyle w:val="Hyperlink"/>
          </w:rPr>
          <w:t xml:space="preserve">[81]</w:t>
        </w:r>
      </w:hyperlink>
    </w:p>
    <w:p>
      <w:pPr>
        <w:pStyle w:val="Compact"/>
        <w:numPr>
          <w:ilvl w:val="0"/>
          <w:numId w:val="1010"/>
        </w:numPr>
      </w:pPr>
      <w:r>
        <w:t xml:space="preserve">The</w:t>
      </w:r>
      <w:r>
        <w:t xml:space="preserve"> </w:t>
      </w:r>
      <w:r>
        <w:rPr>
          <w:b/>
          <w:bCs/>
        </w:rPr>
        <w:t xml:space="preserve">EU AI Act</w:t>
      </w:r>
      <w:r>
        <w:t xml:space="preserve"> </w:t>
      </w:r>
      <w:r>
        <w:t xml:space="preserve">(Regulation (EU) 2024/1689) is now an enacted regulatory context for “high-risk” AI deployments, and it will influence procurement and design requirements well beyond EU borders.</w:t>
      </w:r>
      <w:r>
        <w:t xml:space="preserve"> </w:t>
      </w:r>
      <w:hyperlink r:id="rId32">
        <w:r>
          <w:rPr>
            <w:rStyle w:val="Hyperlink"/>
          </w:rPr>
          <w:t xml:space="preserve">[82]</w:t>
        </w:r>
      </w:hyperlink>
    </w:p>
    <w:p>
      <w:pPr>
        <w:pStyle w:val="Compact"/>
        <w:numPr>
          <w:ilvl w:val="0"/>
          <w:numId w:val="1010"/>
        </w:numPr>
      </w:pPr>
      <w:r>
        <w:rPr>
          <w:b/>
          <w:bCs/>
        </w:rPr>
        <w:t xml:space="preserve">ISO/IEC 42001</w:t>
      </w:r>
      <w:r>
        <w:t xml:space="preserve"> </w:t>
      </w:r>
      <w:r>
        <w:t xml:space="preserve">is an AI management system standard focused on organizational governance across the AI lifecycle—relevant because high-stakes workflows typically require institution-level controls, not just app-level controls.</w:t>
      </w:r>
      <w:r>
        <w:t xml:space="preserve"> </w:t>
      </w:r>
      <w:hyperlink r:id="rId76">
        <w:r>
          <w:rPr>
            <w:rStyle w:val="Hyperlink"/>
          </w:rPr>
          <w:t xml:space="preserve">[83]</w:t>
        </w:r>
      </w:hyperlink>
    </w:p>
    <w:bookmarkEnd w:id="77"/>
    <w:bookmarkStart w:id="78" w:name="provenance-and-audit-building-blocks"/>
    <w:p>
      <w:pPr>
        <w:pStyle w:val="Heading3"/>
      </w:pPr>
      <w:r>
        <w:t xml:space="preserve">Provenance and audit building blocks</w:t>
      </w:r>
    </w:p>
    <w:p>
      <w:pPr>
        <w:pStyle w:val="Compact"/>
        <w:numPr>
          <w:ilvl w:val="0"/>
          <w:numId w:val="1011"/>
        </w:numPr>
      </w:pPr>
      <w:r>
        <w:rPr>
          <w:b/>
          <w:bCs/>
        </w:rPr>
        <w:t xml:space="preserve">PROV-DM</w:t>
      </w:r>
      <w:r>
        <w:t xml:space="preserve"> </w:t>
      </w:r>
      <w:r>
        <w:t xml:space="preserve">provides a stable conceptual model to represent provenance with entities, activities, agents, and a “bundle” mechanism for provenance-of-provenance. This is particularly useful for “audit trails about audit trails” (e.g., redactions, corrections, appeals).</w:t>
      </w:r>
      <w:r>
        <w:t xml:space="preserve"> </w:t>
      </w:r>
      <w:hyperlink r:id="rId33">
        <w:r>
          <w:rPr>
            <w:rStyle w:val="Hyperlink"/>
          </w:rPr>
          <w:t xml:space="preserve">[18]</w:t>
        </w:r>
      </w:hyperlink>
    </w:p>
    <w:p>
      <w:pPr>
        <w:pStyle w:val="Compact"/>
        <w:numPr>
          <w:ilvl w:val="0"/>
          <w:numId w:val="1011"/>
        </w:numPr>
      </w:pPr>
      <w:r>
        <w:rPr>
          <w:b/>
          <w:bCs/>
        </w:rPr>
        <w:t xml:space="preserve">OpenTelemetry GenAI semantic conventions</w:t>
      </w:r>
      <w:r>
        <w:t xml:space="preserve"> </w:t>
      </w:r>
      <w:r>
        <w:t xml:space="preserve">supply an emerging vocabulary for tracing model calls and agent operations; because agent conventions are still marked Development, a workflow standard should expose</w:t>
      </w:r>
      <w:r>
        <w:t xml:space="preserve"> </w:t>
      </w:r>
      <w:r>
        <w:rPr>
          <w:b/>
          <w:bCs/>
        </w:rPr>
        <w:t xml:space="preserve">generic</w:t>
      </w:r>
      <w:r>
        <w:t xml:space="preserve"> </w:t>
      </w:r>
      <w:r>
        <w:t xml:space="preserve">trace hooks and provide mappings rather than hard-coding unstable telemetry semantics.</w:t>
      </w:r>
      <w:r>
        <w:t xml:space="preserve"> </w:t>
      </w:r>
      <w:hyperlink r:id="rId25">
        <w:r>
          <w:rPr>
            <w:rStyle w:val="Hyperlink"/>
          </w:rPr>
          <w:t xml:space="preserve">[16]</w:t>
        </w:r>
      </w:hyperlink>
    </w:p>
    <w:p>
      <w:pPr>
        <w:pStyle w:val="Compact"/>
        <w:numPr>
          <w:ilvl w:val="0"/>
          <w:numId w:val="1011"/>
        </w:numPr>
      </w:pPr>
      <w:r>
        <w:rPr>
          <w:b/>
          <w:bCs/>
        </w:rPr>
        <w:t xml:space="preserve">SCITT</w:t>
      </w:r>
      <w:r>
        <w:t xml:space="preserve"> </w:t>
      </w:r>
      <w:r>
        <w:t xml:space="preserve">introduces an architecture for transparency services with</w:t>
      </w:r>
      <w:r>
        <w:t xml:space="preserve"> </w:t>
      </w:r>
      <w:r>
        <w:rPr>
          <w:b/>
          <w:bCs/>
        </w:rPr>
        <w:t xml:space="preserve">signed statements</w:t>
      </w:r>
      <w:r>
        <w:t xml:space="preserve"> </w:t>
      </w:r>
      <w:r>
        <w:t xml:space="preserve">and</w:t>
      </w:r>
      <w:r>
        <w:t xml:space="preserve"> </w:t>
      </w:r>
      <w:r>
        <w:rPr>
          <w:b/>
          <w:bCs/>
        </w:rPr>
        <w:t xml:space="preserve">receipts</w:t>
      </w:r>
      <w:r>
        <w:t xml:space="preserve">, designed to reduce reliance on a single trusted log and provide verifiable proofs of issuance/registration. This is a compelling pattern for “verifiable agent action logs,” especially when multiple parties (agency, vendor, auditor) need shared confidence.</w:t>
      </w:r>
      <w:r>
        <w:t xml:space="preserve"> </w:t>
      </w:r>
      <w:hyperlink r:id="rId36">
        <w:r>
          <w:rPr>
            <w:rStyle w:val="Hyperlink"/>
          </w:rPr>
          <w:t xml:space="preserve">[21]</w:t>
        </w:r>
      </w:hyperlink>
    </w:p>
    <w:p>
      <w:pPr>
        <w:pStyle w:val="Compact"/>
        <w:numPr>
          <w:ilvl w:val="0"/>
          <w:numId w:val="1011"/>
        </w:numPr>
      </w:pPr>
      <w:r>
        <w:rPr>
          <w:b/>
          <w:bCs/>
        </w:rPr>
        <w:t xml:space="preserve">W3C VC Data Integrity</w:t>
      </w:r>
      <w:r>
        <w:t xml:space="preserve"> </w:t>
      </w:r>
      <w:r>
        <w:t xml:space="preserve">offers cryptographic authenticity/integrity for constrained documents; this can be applied to “evidence items” or “decision receipts” where tamper-evidence matters.</w:t>
      </w:r>
      <w:r>
        <w:t xml:space="preserve"> </w:t>
      </w:r>
      <w:hyperlink r:id="rId34">
        <w:r>
          <w:rPr>
            <w:rStyle w:val="Hyperlink"/>
          </w:rPr>
          <w:t xml:space="preserve">[19]</w:t>
        </w:r>
      </w:hyperlink>
    </w:p>
    <w:p>
      <w:pPr>
        <w:pStyle w:val="Compact"/>
        <w:numPr>
          <w:ilvl w:val="0"/>
          <w:numId w:val="1011"/>
        </w:numPr>
      </w:pPr>
      <w:r>
        <w:rPr>
          <w:b/>
          <w:bCs/>
        </w:rPr>
        <w:t xml:space="preserve">SLSA/in-toto attestation patterns</w:t>
      </w:r>
      <w:r>
        <w:t xml:space="preserve"> </w:t>
      </w:r>
      <w:r>
        <w:t xml:space="preserve">show how to structure attestations as a statement applied to “subjects” under a predicate type; this is a reusable blueprint for “tool execution receipts” and “agent decision attestations” (inference).</w:t>
      </w:r>
      <w:r>
        <w:t xml:space="preserve"> </w:t>
      </w:r>
      <w:hyperlink r:id="rId38">
        <w:r>
          <w:rPr>
            <w:rStyle w:val="Hyperlink"/>
          </w:rPr>
          <w:t xml:space="preserve">[23]</w:t>
        </w:r>
      </w:hyperlink>
    </w:p>
    <w:bookmarkEnd w:id="78"/>
    <w:bookmarkStart w:id="79" w:name="Xa7ab9b8de02675b0cd0f24383399c039aba2975"/>
    <w:p>
      <w:pPr>
        <w:pStyle w:val="Heading3"/>
      </w:pPr>
      <w:r>
        <w:t xml:space="preserve">Human-in-the-loop authority and mixed initiative</w:t>
      </w:r>
    </w:p>
    <w:p>
      <w:pPr>
        <w:pStyle w:val="FirstParagraph"/>
      </w:pPr>
      <w:r>
        <w:t xml:space="preserve">Classic HCI and agent autonomy work suggests a design that is practical in high-stakes workflows:</w:t>
      </w:r>
    </w:p>
    <w:p>
      <w:pPr>
        <w:pStyle w:val="Compact"/>
        <w:numPr>
          <w:ilvl w:val="0"/>
          <w:numId w:val="1012"/>
        </w:numPr>
      </w:pPr>
      <w:r>
        <w:t xml:space="preserve">Mixed initiative principles emphasize careful coupling of automation and direct manipulation, strengthening the case for a</w:t>
      </w:r>
      <w:r>
        <w:t xml:space="preserve"> </w:t>
      </w:r>
      <w:r>
        <w:rPr>
          <w:b/>
          <w:bCs/>
        </w:rPr>
        <w:t xml:space="preserve">propose → approve → commit</w:t>
      </w:r>
      <w:r>
        <w:t xml:space="preserve"> </w:t>
      </w:r>
      <w:r>
        <w:t xml:space="preserve">contract.</w:t>
      </w:r>
      <w:r>
        <w:t xml:space="preserve"> </w:t>
      </w:r>
      <w:hyperlink r:id="rId39">
        <w:r>
          <w:rPr>
            <w:rStyle w:val="Hyperlink"/>
          </w:rPr>
          <w:t xml:space="preserve">[84]</w:t>
        </w:r>
      </w:hyperlink>
    </w:p>
    <w:p>
      <w:pPr>
        <w:pStyle w:val="Compact"/>
        <w:numPr>
          <w:ilvl w:val="0"/>
          <w:numId w:val="1012"/>
        </w:numPr>
      </w:pPr>
      <w:r>
        <w:t xml:space="preserve">Adjustable autonomy formalizes transfer-of-control strategies, supporting the idea that authority should be an explicit modeled dimension, not an emergent property of UI.</w:t>
      </w:r>
      <w:r>
        <w:t xml:space="preserve"> </w:t>
      </w:r>
      <w:hyperlink r:id="rId35">
        <w:r>
          <w:rPr>
            <w:rStyle w:val="Hyperlink"/>
          </w:rPr>
          <w:t xml:space="preserve">[63]</w:t>
        </w:r>
      </w:hyperlink>
    </w:p>
    <w:bookmarkEnd w:id="79"/>
    <w:bookmarkStart w:id="80" w:name="X5813d067ac33b4a52b8f0016a6a9d16e3ceb96b"/>
    <w:p>
      <w:pPr>
        <w:pStyle w:val="Heading3"/>
      </w:pPr>
      <w:r>
        <w:t xml:space="preserve">Mermaid diagram for propose → approve → commit with audit events</w:t>
      </w:r>
    </w:p>
    <w:p>
      <w:pPr>
        <w:pStyle w:val="SourceCode"/>
      </w:pPr>
      <w:r>
        <w:rPr>
          <w:rStyle w:val="VerbatimChar"/>
        </w:rPr>
        <w:t xml:space="preserve">sequenceDiagram</w:t>
      </w:r>
      <w:r>
        <w:br/>
      </w:r>
      <w:r>
        <w:rPr>
          <w:rStyle w:val="VerbatimChar"/>
        </w:rPr>
        <w:t xml:space="preserve">  participant Human as Human Reviewer</w:t>
      </w:r>
      <w:r>
        <w:br/>
      </w:r>
      <w:r>
        <w:rPr>
          <w:rStyle w:val="VerbatimChar"/>
        </w:rPr>
        <w:t xml:space="preserve">  participant Agent as Agent</w:t>
      </w:r>
      <w:r>
        <w:br/>
      </w:r>
      <w:r>
        <w:rPr>
          <w:rStyle w:val="VerbatimChar"/>
        </w:rPr>
        <w:t xml:space="preserve">  participant Orchestrator as Workflow Orchestrator</w:t>
      </w:r>
      <w:r>
        <w:br/>
      </w:r>
      <w:r>
        <w:rPr>
          <w:rStyle w:val="VerbatimChar"/>
        </w:rPr>
        <w:t xml:space="preserve">  participant Policy as Policy/Authorization Engine</w:t>
      </w:r>
      <w:r>
        <w:br/>
      </w:r>
      <w:r>
        <w:rPr>
          <w:rStyle w:val="VerbatimChar"/>
        </w:rPr>
        <w:t xml:space="preserve">  participant Tool as External System/Tool</w:t>
      </w:r>
      <w:r>
        <w:br/>
      </w:r>
      <w:r>
        <w:rPr>
          <w:rStyle w:val="VerbatimChar"/>
        </w:rPr>
        <w:t xml:space="preserve">  participant Audit as Audit/Provenance Log</w:t>
      </w:r>
      <w:r>
        <w:br/>
      </w:r>
      <w:r>
        <w:br/>
      </w:r>
      <w:r>
        <w:rPr>
          <w:rStyle w:val="VerbatimChar"/>
        </w:rPr>
        <w:t xml:space="preserve">  Agent-&gt;&gt;Orchestrator: propose(ActionPlan, EvidenceRefs, Rationale)</w:t>
      </w:r>
      <w:r>
        <w:br/>
      </w:r>
      <w:r>
        <w:rPr>
          <w:rStyle w:val="VerbatimChar"/>
        </w:rPr>
        <w:t xml:space="preserve">  Orchestrator-&gt;&gt;Policy: evaluate(plan, authorityMode, context)</w:t>
      </w:r>
      <w:r>
        <w:br/>
      </w:r>
      <w:r>
        <w:rPr>
          <w:rStyle w:val="VerbatimChar"/>
        </w:rPr>
        <w:t xml:space="preserve">  Policy--&gt;&gt;Orchestrator: decision(approveRequired=true)</w:t>
      </w:r>
      <w:r>
        <w:br/>
      </w:r>
      <w:r>
        <w:br/>
      </w:r>
      <w:r>
        <w:rPr>
          <w:rStyle w:val="VerbatimChar"/>
        </w:rPr>
        <w:t xml:space="preserve">  Orchestrator-&gt;&gt;Audit: append(event=proposal.created, actor=agent)</w:t>
      </w:r>
      <w:r>
        <w:br/>
      </w:r>
      <w:r>
        <w:rPr>
          <w:rStyle w:val="VerbatimChar"/>
        </w:rPr>
        <w:t xml:space="preserve">  Orchestrator-&gt;&gt;Human: createApprovalTask(planSummary)</w:t>
      </w:r>
      <w:r>
        <w:br/>
      </w:r>
      <w:r>
        <w:br/>
      </w:r>
      <w:r>
        <w:rPr>
          <w:rStyle w:val="VerbatimChar"/>
        </w:rPr>
        <w:t xml:space="preserve">  Human--&gt;&gt;Orchestrator: approve(plan, overrides?)</w:t>
      </w:r>
      <w:r>
        <w:br/>
      </w:r>
      <w:r>
        <w:rPr>
          <w:rStyle w:val="VerbatimChar"/>
        </w:rPr>
        <w:t xml:space="preserve">  Orchestrator-&gt;&gt;Audit: append(event=approval.recorded, actor=human)</w:t>
      </w:r>
      <w:r>
        <w:br/>
      </w:r>
      <w:r>
        <w:br/>
      </w:r>
      <w:r>
        <w:rPr>
          <w:rStyle w:val="VerbatimChar"/>
        </w:rPr>
        <w:t xml:space="preserve">  Orchestrator-&gt;&gt;Tool: execute(toolCall, idempotencyKey)</w:t>
      </w:r>
      <w:r>
        <w:br/>
      </w:r>
      <w:r>
        <w:rPr>
          <w:rStyle w:val="VerbatimChar"/>
        </w:rPr>
        <w:t xml:space="preserve">  Tool--&gt;&gt;Orchestrator: result</w:t>
      </w:r>
      <w:r>
        <w:br/>
      </w:r>
      <w:r>
        <w:rPr>
          <w:rStyle w:val="VerbatimChar"/>
        </w:rPr>
        <w:t xml:space="preserve">  Orchestrator-&gt;&gt;Audit: append(event=commit.completed, toolReceipt, stateDelta)</w:t>
      </w:r>
    </w:p>
    <w:p>
      <w:pPr>
        <w:pStyle w:val="FirstParagraph"/>
      </w:pPr>
      <w:r>
        <w:t xml:space="preserve">This pattern is consistent with the general thrust of mixed-initiative principles and addresses tool-use risk realities described by OWASP and indirect prompt injection research.</w:t>
      </w:r>
      <w:r>
        <w:t xml:space="preserve"> </w:t>
      </w:r>
      <w:hyperlink r:id="rId39">
        <w:r>
          <w:rPr>
            <w:rStyle w:val="Hyperlink"/>
          </w:rPr>
          <w:t xml:space="preserve">[85]</w:t>
        </w:r>
      </w:hyperlink>
    </w:p>
    <w:bookmarkEnd w:id="80"/>
    <w:bookmarkEnd w:id="81"/>
    <w:bookmarkStart w:id="89" w:name="X9d7b2fb8c134aaeea4d03b66c105f302b879e65"/>
    <w:p>
      <w:pPr>
        <w:pStyle w:val="Heading2"/>
      </w:pPr>
      <w:r>
        <w:t xml:space="preserve">Evaluation, testing, and conformance approaches for workflow-integrated agents</w:t>
      </w:r>
    </w:p>
    <w:p>
      <w:pPr>
        <w:pStyle w:val="FirstParagraph"/>
      </w:pPr>
      <w:r>
        <w:t xml:space="preserve">Agent evaluation is expanding rapidly, but most benchmarks emphasize “can the agent finish the task?” rather than “can the agent behave correctly under governance constraints, partial information, and override.” That gap is exactly where a workflow standard can add durable value.</w:t>
      </w:r>
    </w:p>
    <w:bookmarkStart w:id="85" w:name="Xc35afd67ef557c192faf4dc1a67dca1a26dae28"/>
    <w:p>
      <w:pPr>
        <w:pStyle w:val="Heading3"/>
      </w:pPr>
      <w:r>
        <w:t xml:space="preserve">What current benchmarks measure well (and what they don’t)</w:t>
      </w:r>
    </w:p>
    <w:p>
      <w:pPr>
        <w:pStyle w:val="Compact"/>
        <w:numPr>
          <w:ilvl w:val="0"/>
          <w:numId w:val="1013"/>
        </w:numPr>
      </w:pPr>
      <w:r>
        <w:rPr>
          <w:b/>
          <w:bCs/>
        </w:rPr>
        <w:t xml:space="preserve">AgentBench</w:t>
      </w:r>
      <w:r>
        <w:t xml:space="preserve"> </w:t>
      </w:r>
      <w:r>
        <w:t xml:space="preserve">evaluates LLMs-as-agents across multiple interactive environments and attributes failures to long-term reasoning/decision-making/instruction-following limits. This is useful for capability tracking, but it is not designed for high-stakes governance semantics.</w:t>
      </w:r>
      <w:r>
        <w:t xml:space="preserve"> </w:t>
      </w:r>
      <w:hyperlink r:id="rId82">
        <w:r>
          <w:rPr>
            <w:rStyle w:val="Hyperlink"/>
          </w:rPr>
          <w:t xml:space="preserve">[86]</w:t>
        </w:r>
      </w:hyperlink>
    </w:p>
    <w:p>
      <w:pPr>
        <w:pStyle w:val="Compact"/>
        <w:numPr>
          <w:ilvl w:val="0"/>
          <w:numId w:val="1013"/>
        </w:numPr>
      </w:pPr>
      <w:r>
        <w:rPr>
          <w:b/>
          <w:bCs/>
        </w:rPr>
        <w:t xml:space="preserve">WebArena</w:t>
      </w:r>
      <w:r>
        <w:t xml:space="preserve"> </w:t>
      </w:r>
      <w:r>
        <w:t xml:space="preserve">provides a realistic, reproducible web environment for language-guided agents; it’s valuable for tool-use evaluation and reproducibility. Still, governance constraints in real casework (authority, audit, redaction) are mostly absent.</w:t>
      </w:r>
      <w:r>
        <w:t xml:space="preserve"> </w:t>
      </w:r>
      <w:hyperlink r:id="rId83">
        <w:r>
          <w:rPr>
            <w:rStyle w:val="Hyperlink"/>
          </w:rPr>
          <w:t xml:space="preserve">[87]</w:t>
        </w:r>
      </w:hyperlink>
    </w:p>
    <w:p>
      <w:pPr>
        <w:pStyle w:val="Compact"/>
        <w:numPr>
          <w:ilvl w:val="0"/>
          <w:numId w:val="1013"/>
        </w:numPr>
      </w:pPr>
      <w:r>
        <w:rPr>
          <w:b/>
          <w:bCs/>
        </w:rPr>
        <w:t xml:space="preserve">ToolBench / ToolLLM</w:t>
      </w:r>
      <w:r>
        <w:t xml:space="preserve"> </w:t>
      </w:r>
      <w:r>
        <w:t xml:space="preserve">explicitly tests tool manipulation, reflecting the core “agent + tool contracts” problem. However, tool APIs and evaluation stability are themselves a known issue, making naive conformance difficult unless APIs are frozen or mocked.</w:t>
      </w:r>
      <w:r>
        <w:t xml:space="preserve"> </w:t>
      </w:r>
      <w:hyperlink r:id="rId52">
        <w:r>
          <w:rPr>
            <w:rStyle w:val="Hyperlink"/>
          </w:rPr>
          <w:t xml:space="preserve">[55]</w:t>
        </w:r>
      </w:hyperlink>
    </w:p>
    <w:p>
      <w:pPr>
        <w:pStyle w:val="Compact"/>
        <w:numPr>
          <w:ilvl w:val="0"/>
          <w:numId w:val="1013"/>
        </w:numPr>
      </w:pPr>
      <w:r>
        <w:rPr>
          <w:b/>
          <w:bCs/>
        </w:rPr>
        <w:t xml:space="preserve">SWE-bench</w:t>
      </w:r>
      <w:r>
        <w:t xml:space="preserve"> </w:t>
      </w:r>
      <w:r>
        <w:t xml:space="preserve">(and</w:t>
      </w:r>
      <w:r>
        <w:t xml:space="preserve"> </w:t>
      </w:r>
      <w:r>
        <w:rPr>
          <w:b/>
          <w:bCs/>
        </w:rPr>
        <w:t xml:space="preserve">SWE-bench Live</w:t>
      </w:r>
      <w:r>
        <w:t xml:space="preserve">) show how to evaluate long-horizon, real-world tasks and address contamination/recency issues; this is a useful model for building “live” conformance suites for workflow agents, but the domain is software engineering rather than casework.</w:t>
      </w:r>
      <w:r>
        <w:t xml:space="preserve"> </w:t>
      </w:r>
      <w:hyperlink r:id="rId84">
        <w:r>
          <w:rPr>
            <w:rStyle w:val="Hyperlink"/>
          </w:rPr>
          <w:t xml:space="preserve">[88]</w:t>
        </w:r>
      </w:hyperlink>
    </w:p>
    <w:bookmarkEnd w:id="85"/>
    <w:bookmarkStart w:id="86" w:name="X2b7349804cadb7d1f58896f9e69fc21bae39bd8"/>
    <w:p>
      <w:pPr>
        <w:pStyle w:val="Heading3"/>
      </w:pPr>
      <w:r>
        <w:t xml:space="preserve">Conformance strategy for an AI Agent Integration tier</w:t>
      </w:r>
    </w:p>
    <w:p>
      <w:pPr>
        <w:pStyle w:val="FirstParagraph"/>
      </w:pPr>
      <w:r>
        <w:t xml:space="preserve">A credible conformance model should test</w:t>
      </w:r>
      <w:r>
        <w:t xml:space="preserve"> </w:t>
      </w:r>
      <w:r>
        <w:rPr>
          <w:b/>
          <w:bCs/>
        </w:rPr>
        <w:t xml:space="preserve">(a) protocol interoperability</w:t>
      </w:r>
      <w:r>
        <w:t xml:space="preserve">,</w:t>
      </w:r>
      <w:r>
        <w:t xml:space="preserve"> </w:t>
      </w:r>
      <w:r>
        <w:rPr>
          <w:b/>
          <w:bCs/>
        </w:rPr>
        <w:t xml:space="preserve">(b) governance correctness</w:t>
      </w:r>
      <w:r>
        <w:t xml:space="preserve">, and</w:t>
      </w:r>
      <w:r>
        <w:t xml:space="preserve"> </w:t>
      </w:r>
      <w:r>
        <w:rPr>
          <w:b/>
          <w:bCs/>
        </w:rPr>
        <w:t xml:space="preserve">(c) durability/replay correctness</w:t>
      </w:r>
      <w:r>
        <w:t xml:space="preserve"> </w:t>
      </w:r>
      <w:r>
        <w:t xml:space="preserve">as separate dimensions, because they fail independently.</w:t>
      </w:r>
    </w:p>
    <w:p>
      <w:pPr>
        <w:pStyle w:val="BodyText"/>
      </w:pPr>
      <w:r>
        <w:rPr>
          <w:b/>
          <w:bCs/>
        </w:rPr>
        <w:t xml:space="preserve">Recommended conformance fixture structure (inference from durable systems + benchmark design):</w:t>
      </w:r>
      <w:r>
        <w:t xml:space="preserve"> </w:t>
      </w:r>
      <w:r>
        <w:t xml:space="preserve">1)</w:t>
      </w:r>
      <w:r>
        <w:t xml:space="preserve"> </w:t>
      </w:r>
      <w:r>
        <w:rPr>
          <w:b/>
          <w:bCs/>
        </w:rPr>
        <w:t xml:space="preserve">Static fixtures</w:t>
      </w:r>
      <w:r>
        <w:t xml:space="preserve">: canonical JSON for AgentCard/tool descriptors, authority policies, and audit-event schemas; validate with JSON Schema/OpenAPI tool contracts.</w:t>
      </w:r>
      <w:r>
        <w:t xml:space="preserve"> </w:t>
      </w:r>
      <w:hyperlink r:id="rId40">
        <w:r>
          <w:rPr>
            <w:rStyle w:val="Hyperlink"/>
          </w:rPr>
          <w:t xml:space="preserve">[89]</w:t>
        </w:r>
      </w:hyperlink>
      <w:r>
        <w:br/>
      </w:r>
      <w:r>
        <w:t xml:space="preserve">2)</w:t>
      </w:r>
      <w:r>
        <w:t xml:space="preserve"> </w:t>
      </w:r>
      <w:r>
        <w:rPr>
          <w:b/>
          <w:bCs/>
        </w:rPr>
        <w:t xml:space="preserve">Deterministic simulation harness</w:t>
      </w:r>
      <w:r>
        <w:t xml:space="preserve">: run orchestrations with a “fake agent” that returns scripted outputs; verify event history, idempotency, and replay outcomes (mirrors durable execution expectations).</w:t>
      </w:r>
      <w:r>
        <w:t xml:space="preserve"> </w:t>
      </w:r>
      <w:hyperlink r:id="rId68">
        <w:r>
          <w:rPr>
            <w:rStyle w:val="Hyperlink"/>
          </w:rPr>
          <w:t xml:space="preserve">[90]</w:t>
        </w:r>
      </w:hyperlink>
      <w:r>
        <w:br/>
      </w:r>
      <w:r>
        <w:t xml:space="preserve">3)</w:t>
      </w:r>
      <w:r>
        <w:t xml:space="preserve"> </w:t>
      </w:r>
      <w:r>
        <w:rPr>
          <w:b/>
          <w:bCs/>
        </w:rPr>
        <w:t xml:space="preserve">Adversarial harness</w:t>
      </w:r>
      <w:r>
        <w:t xml:space="preserve">: inject OWASP-style prompt injection payloads into “evidence” documents and confirm tool gating prevents unauthorized calls; this follows demonstrated indirect prompt injection risks.</w:t>
      </w:r>
      <w:r>
        <w:t xml:space="preserve"> </w:t>
      </w:r>
      <w:hyperlink r:id="rId74">
        <w:r>
          <w:rPr>
            <w:rStyle w:val="Hyperlink"/>
          </w:rPr>
          <w:t xml:space="preserve">[91]</w:t>
        </w:r>
      </w:hyperlink>
      <w:r>
        <w:br/>
      </w:r>
      <w:r>
        <w:t xml:space="preserve">4)</w:t>
      </w:r>
      <w:r>
        <w:t xml:space="preserve"> </w:t>
      </w:r>
      <w:r>
        <w:rPr>
          <w:b/>
          <w:bCs/>
        </w:rPr>
        <w:t xml:space="preserve">Telemetry harness</w:t>
      </w:r>
      <w:r>
        <w:t xml:space="preserve">: ensure traces/events can be mapped to OpenTelemetry GenAI semantics (best-effort given Development status), without requiring those semantics in core.</w:t>
      </w:r>
      <w:r>
        <w:t xml:space="preserve"> </w:t>
      </w:r>
      <w:hyperlink r:id="rId25">
        <w:r>
          <w:rPr>
            <w:rStyle w:val="Hyperlink"/>
          </w:rPr>
          <w:t xml:space="preserve">[92]</w:t>
        </w:r>
      </w:hyperlink>
    </w:p>
    <w:bookmarkEnd w:id="86"/>
    <w:bookmarkStart w:id="88" w:name="X7340dfbda48e5b3ed04b51d284680f98a3cc748"/>
    <w:p>
      <w:pPr>
        <w:pStyle w:val="Heading3"/>
      </w:pPr>
      <w:r>
        <w:t xml:space="preserve">Canonical simulation scenarios for high-stakes workflows</w:t>
      </w:r>
    </w:p>
    <w:p>
      <w:pPr>
        <w:pStyle w:val="FirstParagraph"/>
      </w:pPr>
      <w:r>
        <w:t xml:space="preserve">These scenario templates are designed to be portable across implementations (they define behavior, not product specifics):</w:t>
      </w:r>
    </w:p>
    <w:p>
      <w:pPr>
        <w:pStyle w:val="Compact"/>
        <w:numPr>
          <w:ilvl w:val="0"/>
          <w:numId w:val="1014"/>
        </w:numPr>
      </w:pPr>
      <w:r>
        <w:rPr>
          <w:b/>
          <w:bCs/>
        </w:rPr>
        <w:t xml:space="preserve">Eligibility determination with override</w:t>
      </w:r>
      <w:r>
        <w:t xml:space="preserve">: agent proposes eligibility result + required evidence; human overrides with reason; system must preserve both and compute final outcome deterministically (aligns with PROV responsibility + audit needs).</w:t>
      </w:r>
      <w:r>
        <w:t xml:space="preserve"> </w:t>
      </w:r>
      <w:hyperlink r:id="rId33">
        <w:r>
          <w:rPr>
            <w:rStyle w:val="Hyperlink"/>
          </w:rPr>
          <w:t xml:space="preserve">[93]</w:t>
        </w:r>
      </w:hyperlink>
    </w:p>
    <w:p>
      <w:pPr>
        <w:pStyle w:val="Compact"/>
        <w:numPr>
          <w:ilvl w:val="0"/>
          <w:numId w:val="1014"/>
        </w:numPr>
      </w:pPr>
      <w:r>
        <w:rPr>
          <w:b/>
          <w:bCs/>
        </w:rPr>
        <w:t xml:space="preserve">Inspection scheduling with external callback</w:t>
      </w:r>
      <w:r>
        <w:t xml:space="preserve">: agent picks contractor/tool to schedule; callback arrives late; workflow replays; no duplicate scheduling (durable execution + idempotency).</w:t>
      </w:r>
      <w:r>
        <w:t xml:space="preserve"> </w:t>
      </w:r>
      <w:hyperlink r:id="rId68">
        <w:r>
          <w:rPr>
            <w:rStyle w:val="Hyperlink"/>
          </w:rPr>
          <w:t xml:space="preserve">[76]</w:t>
        </w:r>
      </w:hyperlink>
    </w:p>
    <w:p>
      <w:pPr>
        <w:pStyle w:val="Compact"/>
        <w:numPr>
          <w:ilvl w:val="0"/>
          <w:numId w:val="1014"/>
        </w:numPr>
      </w:pPr>
      <w:r>
        <w:rPr>
          <w:b/>
          <w:bCs/>
        </w:rPr>
        <w:t xml:space="preserve">Fraud review escalation</w:t>
      </w:r>
      <w:r>
        <w:t xml:space="preserve">: agent flags anomaly; policy requires supervisor approval; decision recorded; escalation chain is auditable.</w:t>
      </w:r>
      <w:r>
        <w:t xml:space="preserve"> </w:t>
      </w:r>
      <w:hyperlink r:id="rId27">
        <w:r>
          <w:rPr>
            <w:rStyle w:val="Hyperlink"/>
          </w:rPr>
          <w:t xml:space="preserve">[94]</w:t>
        </w:r>
      </w:hyperlink>
    </w:p>
    <w:p>
      <w:pPr>
        <w:pStyle w:val="Compact"/>
        <w:numPr>
          <w:ilvl w:val="0"/>
          <w:numId w:val="1014"/>
        </w:numPr>
      </w:pPr>
      <w:r>
        <w:rPr>
          <w:b/>
          <w:bCs/>
        </w:rPr>
        <w:t xml:space="preserve">Untrusted evidence ingestion</w:t>
      </w:r>
      <w:r>
        <w:t xml:space="preserve">: evidence contains indirect prompt injection attempt; agent must not exfiltrate or call privileged tool; record detection and safe refusal.</w:t>
      </w:r>
      <w:r>
        <w:t xml:space="preserve"> </w:t>
      </w:r>
      <w:hyperlink r:id="rId74">
        <w:r>
          <w:rPr>
            <w:rStyle w:val="Hyperlink"/>
          </w:rPr>
          <w:t xml:space="preserve">[95]</w:t>
        </w:r>
      </w:hyperlink>
    </w:p>
    <w:p>
      <w:pPr>
        <w:pStyle w:val="Compact"/>
        <w:numPr>
          <w:ilvl w:val="0"/>
          <w:numId w:val="1014"/>
        </w:numPr>
      </w:pPr>
      <w:r>
        <w:rPr>
          <w:b/>
          <w:bCs/>
        </w:rPr>
        <w:t xml:space="preserve">Multi-agent handoff</w:t>
      </w:r>
      <w:r>
        <w:t xml:space="preserve">: intake agent delegates to specialist agent; both actions must link via delegation chain and preserve accountability (A2A Task/Context pattern).</w:t>
      </w:r>
      <w:r>
        <w:t xml:space="preserve"> </w:t>
      </w:r>
      <w:hyperlink r:id="rId44">
        <w:r>
          <w:rPr>
            <w:rStyle w:val="Hyperlink"/>
          </w:rPr>
          <w:t xml:space="preserve">[40]</w:t>
        </w:r>
      </w:hyperlink>
    </w:p>
    <w:p>
      <w:pPr>
        <w:pStyle w:val="Compact"/>
        <w:numPr>
          <w:ilvl w:val="0"/>
          <w:numId w:val="1014"/>
        </w:numPr>
      </w:pPr>
      <w:r>
        <w:rPr>
          <w:b/>
          <w:bCs/>
        </w:rPr>
        <w:t xml:space="preserve">Long-running case with policy version change</w:t>
      </w:r>
      <w:r>
        <w:t xml:space="preserve">: workflow continues under previous policy version; re-evaluation creates a new decision artifact; old decisions remain traceable (durable versioning pressure is well-known in replay systems).</w:t>
      </w:r>
      <w:r>
        <w:t xml:space="preserve"> </w:t>
      </w:r>
      <w:hyperlink r:id="rId87">
        <w:r>
          <w:rPr>
            <w:rStyle w:val="Hyperlink"/>
          </w:rPr>
          <w:t xml:space="preserve">[96]</w:t>
        </w:r>
      </w:hyperlink>
    </w:p>
    <w:bookmarkEnd w:id="88"/>
    <w:bookmarkEnd w:id="89"/>
    <w:bookmarkStart w:id="95" w:name="X3ab41fd0d07f14573df86ca2e0f8597e880d322"/>
    <w:p>
      <w:pPr>
        <w:pStyle w:val="Heading2"/>
      </w:pPr>
      <w:r>
        <w:t xml:space="preserve">Design recommendations for an AI Agent Integration tier and minimal core changes</w:t>
      </w:r>
    </w:p>
    <w:p>
      <w:pPr>
        <w:pStyle w:val="FirstParagraph"/>
      </w:pPr>
      <w:r>
        <w:t xml:space="preserve">This section turns the research into a concrete architecture direction:</w:t>
      </w:r>
      <w:r>
        <w:t xml:space="preserve"> </w:t>
      </w:r>
      <w:r>
        <w:rPr>
          <w:b/>
          <w:bCs/>
        </w:rPr>
        <w:t xml:space="preserve">keep the core standard agent-compatible and governance-complete; put protocol interop in an agent tier/profile</w:t>
      </w:r>
      <w:r>
        <w:t xml:space="preserve">.</w:t>
      </w:r>
    </w:p>
    <w:bookmarkStart w:id="90" w:name="Xbc491e5179f94c551aa5e1796514df6e0dee8e5"/>
    <w:p>
      <w:pPr>
        <w:pStyle w:val="Heading3"/>
      </w:pPr>
      <w:r>
        <w:t xml:space="preserve">Entity relationship model among core objects, agents, tools, and provenance</w:t>
      </w:r>
    </w:p>
    <w:p>
      <w:pPr>
        <w:pStyle w:val="SourceCode"/>
      </w:pPr>
      <w:r>
        <w:rPr>
          <w:rStyle w:val="VerbatimChar"/>
        </w:rPr>
        <w:t xml:space="preserve">erDiagram</w:t>
      </w:r>
      <w:r>
        <w:br/>
      </w:r>
      <w:r>
        <w:rPr>
          <w:rStyle w:val="VerbatimChar"/>
        </w:rPr>
        <w:t xml:space="preserve">  CASE ||--o{ WORKFLOW_INSTANCE : contains</w:t>
      </w:r>
      <w:r>
        <w:br/>
      </w:r>
      <w:r>
        <w:rPr>
          <w:rStyle w:val="VerbatimChar"/>
        </w:rPr>
        <w:t xml:space="preserve">  WORKFLOW_INSTANCE ||--o{ STEP : has</w:t>
      </w:r>
      <w:r>
        <w:br/>
      </w:r>
      <w:r>
        <w:rPr>
          <w:rStyle w:val="VerbatimChar"/>
        </w:rPr>
        <w:t xml:space="preserve">  STEP ||--o{ TASK : creates</w:t>
      </w:r>
      <w:r>
        <w:br/>
      </w:r>
      <w:r>
        <w:rPr>
          <w:rStyle w:val="VerbatimChar"/>
        </w:rPr>
        <w:t xml:space="preserve">  STEP ||--o{ DECISION : produces</w:t>
      </w:r>
      <w:r>
        <w:br/>
      </w:r>
      <w:r>
        <w:rPr>
          <w:rStyle w:val="VerbatimChar"/>
        </w:rPr>
        <w:t xml:space="preserve">  STEP ||--o{ TOOL_CALL : invokes</w:t>
      </w:r>
      <w:r>
        <w:br/>
      </w:r>
      <w:r>
        <w:rPr>
          <w:rStyle w:val="VerbatimChar"/>
        </w:rPr>
        <w:t xml:space="preserve">  STEP ||--o{ AGENT_INVOCATION : invokes</w:t>
      </w:r>
      <w:r>
        <w:br/>
      </w:r>
      <w:r>
        <w:rPr>
          <w:rStyle w:val="VerbatimChar"/>
        </w:rPr>
        <w:t xml:space="preserve">  CASE ||--o{ EVIDENCE_ITEM : references</w:t>
      </w:r>
      <w:r>
        <w:br/>
      </w:r>
      <w:r>
        <w:rPr>
          <w:rStyle w:val="VerbatimChar"/>
        </w:rPr>
        <w:t xml:space="preserve">  CASE ||--o{ AUDIT_EVENT : records</w:t>
      </w:r>
      <w:r>
        <w:br/>
      </w:r>
      <w:r>
        <w:br/>
      </w:r>
      <w:r>
        <w:rPr>
          <w:rStyle w:val="VerbatimChar"/>
        </w:rPr>
        <w:t xml:space="preserve">  AGENT ||--o{ AGENT_INVOCATION : performs</w:t>
      </w:r>
      <w:r>
        <w:br/>
      </w:r>
      <w:r>
        <w:rPr>
          <w:rStyle w:val="VerbatimChar"/>
        </w:rPr>
        <w:t xml:space="preserve">  TOOL ||--o{ TOOL_CALL : target</w:t>
      </w:r>
      <w:r>
        <w:br/>
      </w:r>
      <w:r>
        <w:rPr>
          <w:rStyle w:val="VerbatimChar"/>
        </w:rPr>
        <w:t xml:space="preserve">  POLICY ||--o{ DECISION : governs</w:t>
      </w:r>
      <w:r>
        <w:br/>
      </w:r>
      <w:r>
        <w:br/>
      </w:r>
      <w:r>
        <w:rPr>
          <w:rStyle w:val="VerbatimChar"/>
        </w:rPr>
        <w:t xml:space="preserve">  PROVENANCE_BUNDLE ||--o{ AUDIT_EVENT : groups</w:t>
      </w:r>
      <w:r>
        <w:br/>
      </w:r>
      <w:r>
        <w:rPr>
          <w:rStyle w:val="VerbatimChar"/>
        </w:rPr>
        <w:t xml:space="preserve">  PROVENANCE_BUNDLE ||--o{ EVIDENCE_ITEM : attributes</w:t>
      </w:r>
      <w:r>
        <w:br/>
      </w:r>
      <w:r>
        <w:rPr>
          <w:rStyle w:val="VerbatimChar"/>
        </w:rPr>
        <w:t xml:space="preserve">  PROVENANCE_BUNDLE ||--o{ DECISION : attributes</w:t>
      </w:r>
      <w:r>
        <w:br/>
      </w:r>
      <w:r>
        <w:br/>
      </w:r>
      <w:r>
        <w:rPr>
          <w:rStyle w:val="VerbatimChar"/>
        </w:rPr>
        <w:t xml:space="preserve">  AGENT {</w:t>
      </w:r>
      <w:r>
        <w:br/>
      </w:r>
      <w:r>
        <w:rPr>
          <w:rStyle w:val="VerbatimChar"/>
        </w:rPr>
        <w:t xml:space="preserve">    string agent_id</w:t>
      </w:r>
      <w:r>
        <w:br/>
      </w:r>
      <w:r>
        <w:rPr>
          <w:rStyle w:val="VerbatimChar"/>
        </w:rPr>
        <w:t xml:space="preserve">    string agent_kind</w:t>
      </w:r>
      <w:r>
        <w:br/>
      </w:r>
      <w:r>
        <w:rPr>
          <w:rStyle w:val="VerbatimChar"/>
        </w:rPr>
        <w:t xml:space="preserve">    string provider</w:t>
      </w:r>
      <w:r>
        <w:br/>
      </w:r>
      <w:r>
        <w:rPr>
          <w:rStyle w:val="VerbatimChar"/>
        </w:rPr>
        <w:t xml:space="preserve">  }</w:t>
      </w:r>
      <w:r>
        <w:br/>
      </w:r>
      <w:r>
        <w:rPr>
          <w:rStyle w:val="VerbatimChar"/>
        </w:rPr>
        <w:t xml:space="preserve">  AGENT_INVOCATION {</w:t>
      </w:r>
      <w:r>
        <w:br/>
      </w:r>
      <w:r>
        <w:rPr>
          <w:rStyle w:val="VerbatimChar"/>
        </w:rPr>
        <w:t xml:space="preserve">    string invocation_id</w:t>
      </w:r>
      <w:r>
        <w:br/>
      </w:r>
      <w:r>
        <w:rPr>
          <w:rStyle w:val="VerbatimChar"/>
        </w:rPr>
        <w:t xml:space="preserve">    string authority_mode</w:t>
      </w:r>
      <w:r>
        <w:br/>
      </w:r>
      <w:r>
        <w:rPr>
          <w:rStyle w:val="VerbatimChar"/>
        </w:rPr>
        <w:t xml:space="preserve">    string input_digest</w:t>
      </w:r>
      <w:r>
        <w:br/>
      </w:r>
      <w:r>
        <w:rPr>
          <w:rStyle w:val="VerbatimChar"/>
        </w:rPr>
        <w:t xml:space="preserve">    string output_digest</w:t>
      </w:r>
      <w:r>
        <w:br/>
      </w:r>
      <w:r>
        <w:rPr>
          <w:rStyle w:val="VerbatimChar"/>
        </w:rPr>
        <w:t xml:space="preserve">  }</w:t>
      </w:r>
      <w:r>
        <w:br/>
      </w:r>
      <w:r>
        <w:rPr>
          <w:rStyle w:val="VerbatimChar"/>
        </w:rPr>
        <w:t xml:space="preserve">  TOOL_CALL {</w:t>
      </w:r>
      <w:r>
        <w:br/>
      </w:r>
      <w:r>
        <w:rPr>
          <w:rStyle w:val="VerbatimChar"/>
        </w:rPr>
        <w:t xml:space="preserve">    string call_id</w:t>
      </w:r>
      <w:r>
        <w:br/>
      </w:r>
      <w:r>
        <w:rPr>
          <w:rStyle w:val="VerbatimChar"/>
        </w:rPr>
        <w:t xml:space="preserve">    string idempotency_key</w:t>
      </w:r>
      <w:r>
        <w:br/>
      </w:r>
      <w:r>
        <w:rPr>
          <w:rStyle w:val="VerbatimChar"/>
        </w:rPr>
        <w:t xml:space="preserve">    string request_schema_ref</w:t>
      </w:r>
      <w:r>
        <w:br/>
      </w:r>
      <w:r>
        <w:rPr>
          <w:rStyle w:val="VerbatimChar"/>
        </w:rPr>
        <w:t xml:space="preserve">    string response_schema_ref</w:t>
      </w:r>
      <w:r>
        <w:br/>
      </w:r>
      <w:r>
        <w:rPr>
          <w:rStyle w:val="VerbatimChar"/>
        </w:rPr>
        <w:t xml:space="preserve">  }</w:t>
      </w:r>
      <w:r>
        <w:br/>
      </w:r>
      <w:r>
        <w:rPr>
          <w:rStyle w:val="VerbatimChar"/>
        </w:rPr>
        <w:t xml:space="preserve">  AUDIT_EVENT {</w:t>
      </w:r>
      <w:r>
        <w:br/>
      </w:r>
      <w:r>
        <w:rPr>
          <w:rStyle w:val="VerbatimChar"/>
        </w:rPr>
        <w:t xml:space="preserve">    string event_id</w:t>
      </w:r>
      <w:r>
        <w:br/>
      </w:r>
      <w:r>
        <w:rPr>
          <w:rStyle w:val="VerbatimChar"/>
        </w:rPr>
        <w:t xml:space="preserve">    string event_type</w:t>
      </w:r>
      <w:r>
        <w:br/>
      </w:r>
      <w:r>
        <w:rPr>
          <w:rStyle w:val="VerbatimChar"/>
        </w:rPr>
        <w:t xml:space="preserve">    string actor_ref</w:t>
      </w:r>
      <w:r>
        <w:br/>
      </w:r>
      <w:r>
        <w:rPr>
          <w:rStyle w:val="VerbatimChar"/>
        </w:rPr>
        <w:t xml:space="preserve">    string timestamp</w:t>
      </w:r>
      <w:r>
        <w:br/>
      </w:r>
      <w:r>
        <w:rPr>
          <w:rStyle w:val="VerbatimChar"/>
        </w:rPr>
        <w:t xml:space="preserve">  }</w:t>
      </w:r>
    </w:p>
    <w:p>
      <w:pPr>
        <w:pStyle w:val="FirstParagraph"/>
      </w:pPr>
      <w:r>
        <w:t xml:space="preserve">This model aligns with PROV-DM’s “agents, activities, entities” conceptual triad, while expressing workflow-native objects (cases, steps, tasks, decisions) in your domain vocabulary.</w:t>
      </w:r>
      <w:r>
        <w:t xml:space="preserve"> </w:t>
      </w:r>
      <w:hyperlink r:id="rId33">
        <w:r>
          <w:rPr>
            <w:rStyle w:val="Hyperlink"/>
          </w:rPr>
          <w:t xml:space="preserve">[97]</w:t>
        </w:r>
      </w:hyperlink>
    </w:p>
    <w:bookmarkEnd w:id="90"/>
    <w:bookmarkStart w:id="91" w:name="Xa67a68d88c0390cee069fd26908cfd22c2f5b38"/>
    <w:p>
      <w:pPr>
        <w:pStyle w:val="Heading3"/>
      </w:pPr>
      <w:r>
        <w:t xml:space="preserve">Recommended minimal core changes vs agent-tier features</w:t>
      </w:r>
    </w:p>
    <w:p>
      <w:pPr>
        <w:pStyle w:val="FirstParagraph"/>
      </w:pPr>
      <w:r>
        <w:rPr>
          <w:b/>
          <w:bCs/>
        </w:rPr>
        <w:t xml:space="preserve">Table C</w:t>
      </w:r>
      <w:r>
        <w:t xml:space="preserve"> </w:t>
      </w:r>
      <w:r>
        <w:t xml:space="preserve">is the concrete proposal: what to change in core (minimal but essential) and what belongs in the agent tier (interop-heavy). Priorities reflect high-stakes needs and dependency ordering.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Layer</w:t>
            </w:r>
          </w:p>
        </w:tc>
        <w:tc>
          <w:tcPr/>
          <w:p>
            <w:pPr>
              <w:pStyle w:val="Compact"/>
              <w:jc w:val="right"/>
            </w:pPr>
            <w:r>
              <w:t xml:space="preserve">Priority</w:t>
            </w:r>
          </w:p>
        </w:tc>
        <w:tc>
          <w:tcPr/>
          <w:p>
            <w:pPr>
              <w:pStyle w:val="Compact"/>
            </w:pPr>
            <w:r>
              <w:t xml:space="preserve">Rationale</w:t>
            </w:r>
          </w:p>
        </w:tc>
        <w:tc>
          <w:tcPr/>
          <w:p>
            <w:pPr>
              <w:pStyle w:val="Compact"/>
            </w:pPr>
            <w:r>
              <w:t xml:space="preserve">Evidence base</w:t>
            </w:r>
          </w:p>
        </w:tc>
        <w:tc>
          <w:tcPr/>
          <w:p>
            <w:pPr>
              <w:pStyle w:val="Compact"/>
            </w:pPr>
            <w:r>
              <w:t xml:space="preserve">Classification</w:t>
            </w:r>
          </w:p>
        </w:tc>
      </w:tr>
      <w:tr>
        <w:tc>
          <w:tcPr/>
          <w:p>
            <w:pPr>
              <w:pStyle w:val="Compact"/>
            </w:pPr>
            <w:r>
              <w:t xml:space="preserve">Add</w:t>
            </w:r>
            <w:r>
              <w:t xml:space="preserve"> </w:t>
            </w:r>
            <w:r>
              <w:rPr>
                <w:rStyle w:val="VerbatimChar"/>
              </w:rPr>
              <w:t xml:space="preserve">ActorKind = human | system | agent</w:t>
            </w:r>
          </w:p>
        </w:tc>
        <w:tc>
          <w:tcPr/>
          <w:p>
            <w:pPr>
              <w:pStyle w:val="Compact"/>
            </w:pPr>
            <w:r>
              <w:t xml:space="preserve">Core</w:t>
            </w:r>
          </w:p>
        </w:tc>
        <w:tc>
          <w:tcPr/>
          <w:p>
            <w:pPr>
              <w:pStyle w:val="Compact"/>
              <w:jc w:val="right"/>
            </w:pPr>
            <w:r>
              <w:t xml:space="preserve">P0</w:t>
            </w:r>
          </w:p>
        </w:tc>
        <w:tc>
          <w:tcPr/>
          <w:p>
            <w:pPr>
              <w:pStyle w:val="Compact"/>
            </w:pPr>
            <w:r>
              <w:t xml:space="preserve">Agents must be explicit actors for accountability; otherwise audit/provenance becomes ambiguous</w:t>
            </w:r>
          </w:p>
        </w:tc>
        <w:tc>
          <w:tcPr/>
          <w:p>
            <w:pPr>
              <w:pStyle w:val="Compact"/>
            </w:pPr>
            <w:r>
              <w:t xml:space="preserve">PROV responsibility modeling; governance expectations</w:t>
            </w:r>
            <w:r>
              <w:t xml:space="preserve"> </w:t>
            </w:r>
            <w:hyperlink r:id="rId33">
              <w:r>
                <w:rPr>
                  <w:rStyle w:val="Hyperlink"/>
                </w:rPr>
                <w:t xml:space="preserve">[98]</w:t>
              </w:r>
            </w:hyperlink>
          </w:p>
        </w:tc>
        <w:tc>
          <w:tcPr/>
          <w:p>
            <w:pPr>
              <w:pStyle w:val="Compact"/>
            </w:pPr>
            <w:r>
              <w:rPr>
                <w:b/>
                <w:bCs/>
              </w:rPr>
              <w:t xml:space="preserve">Adopt</w:t>
            </w:r>
          </w:p>
        </w:tc>
      </w:tr>
      <w:tr>
        <w:tc>
          <w:tcPr/>
          <w:p>
            <w:pPr>
              <w:pStyle w:val="Compact"/>
            </w:pPr>
            <w:r>
              <w:t xml:space="preserve">Add</w:t>
            </w:r>
            <w:r>
              <w:t xml:space="preserve"> </w:t>
            </w:r>
            <w:r>
              <w:rPr>
                <w:rStyle w:val="VerbatimChar"/>
              </w:rPr>
              <w:t xml:space="preserve">Proposal</w:t>
            </w:r>
            <w:r>
              <w:t xml:space="preserve"> </w:t>
            </w:r>
            <w:r>
              <w:t xml:space="preserve">vs</w:t>
            </w:r>
            <w:r>
              <w:t xml:space="preserve"> </w:t>
            </w:r>
            <w:r>
              <w:rPr>
                <w:rStyle w:val="VerbatimChar"/>
              </w:rPr>
              <w:t xml:space="preserve">Commit</w:t>
            </w:r>
            <w:r>
              <w:t xml:space="preserve"> </w:t>
            </w:r>
            <w:r>
              <w:t xml:space="preserve">as distinct event families</w:t>
            </w:r>
          </w:p>
        </w:tc>
        <w:tc>
          <w:tcPr/>
          <w:p>
            <w:pPr>
              <w:pStyle w:val="Compact"/>
            </w:pPr>
            <w:r>
              <w:t xml:space="preserve">Core</w:t>
            </w:r>
          </w:p>
        </w:tc>
        <w:tc>
          <w:tcPr/>
          <w:p>
            <w:pPr>
              <w:pStyle w:val="Compact"/>
              <w:jc w:val="right"/>
            </w:pPr>
            <w:r>
              <w:t xml:space="preserve">P0</w:t>
            </w:r>
          </w:p>
        </w:tc>
        <w:tc>
          <w:tcPr/>
          <w:p>
            <w:pPr>
              <w:pStyle w:val="Compact"/>
            </w:pPr>
            <w:r>
              <w:t xml:space="preserve">Mixed-initiative + security risk makes “propose-only by default” safer and auditable; avoids silent automation</w:t>
            </w:r>
          </w:p>
        </w:tc>
        <w:tc>
          <w:tcPr/>
          <w:p>
            <w:pPr>
              <w:pStyle w:val="Compact"/>
            </w:pPr>
            <w:r>
              <w:t xml:space="preserve">Mixed-initiative principles; OWASP risk taxonomy</w:t>
            </w:r>
            <w:r>
              <w:t xml:space="preserve"> </w:t>
            </w:r>
            <w:hyperlink r:id="rId39">
              <w:r>
                <w:rPr>
                  <w:rStyle w:val="Hyperlink"/>
                </w:rPr>
                <w:t xml:space="preserve">[99]</w:t>
              </w:r>
            </w:hyperlink>
          </w:p>
        </w:tc>
        <w:tc>
          <w:tcPr/>
          <w:p>
            <w:pPr>
              <w:pStyle w:val="Compact"/>
            </w:pPr>
            <w:r>
              <w:rPr>
                <w:b/>
                <w:bCs/>
              </w:rPr>
              <w:t xml:space="preserve">Adopt</w:t>
            </w:r>
          </w:p>
        </w:tc>
      </w:tr>
      <w:tr>
        <w:tc>
          <w:tcPr/>
          <w:p>
            <w:pPr>
              <w:pStyle w:val="Compact"/>
            </w:pPr>
            <w:r>
              <w:t xml:space="preserve">Introduce</w:t>
            </w:r>
            <w:r>
              <w:t xml:space="preserve"> </w:t>
            </w:r>
            <w:r>
              <w:rPr>
                <w:rStyle w:val="VerbatimChar"/>
              </w:rPr>
              <w:t xml:space="preserve">AuthorityMode = none | supervised | bounded | independent</w:t>
            </w:r>
          </w:p>
        </w:tc>
        <w:tc>
          <w:tcPr/>
          <w:p>
            <w:pPr>
              <w:pStyle w:val="Compact"/>
            </w:pPr>
            <w:r>
              <w:t xml:space="preserve">Core</w:t>
            </w:r>
          </w:p>
        </w:tc>
        <w:tc>
          <w:tcPr/>
          <w:p>
            <w:pPr>
              <w:pStyle w:val="Compact"/>
              <w:jc w:val="right"/>
            </w:pPr>
            <w:r>
              <w:t xml:space="preserve">P0</w:t>
            </w:r>
          </w:p>
        </w:tc>
        <w:tc>
          <w:tcPr/>
          <w:p>
            <w:pPr>
              <w:pStyle w:val="Compact"/>
            </w:pPr>
            <w:r>
              <w:t xml:space="preserve">Adjustable autonomy requires transfer-of-control be explicit and testable</w:t>
            </w:r>
          </w:p>
        </w:tc>
        <w:tc>
          <w:tcPr/>
          <w:p>
            <w:pPr>
              <w:pStyle w:val="Compact"/>
            </w:pPr>
            <w:r>
              <w:t xml:space="preserve">Adjustable autonomy research</w:t>
            </w:r>
            <w:r>
              <w:t xml:space="preserve"> </w:t>
            </w:r>
            <w:hyperlink r:id="rId35">
              <w:r>
                <w:rPr>
                  <w:rStyle w:val="Hyperlink"/>
                </w:rPr>
                <w:t xml:space="preserve">[63]</w:t>
              </w:r>
            </w:hyperlink>
          </w:p>
        </w:tc>
        <w:tc>
          <w:tcPr/>
          <w:p>
            <w:pPr>
              <w:pStyle w:val="Compact"/>
            </w:pPr>
            <w:r>
              <w:rPr>
                <w:b/>
                <w:bCs/>
              </w:rPr>
              <w:t xml:space="preserve">Adopt</w:t>
            </w:r>
          </w:p>
        </w:tc>
      </w:tr>
      <w:tr>
        <w:tc>
          <w:tcPr/>
          <w:p>
            <w:pPr>
              <w:pStyle w:val="Compact"/>
            </w:pPr>
            <w:r>
              <w:t xml:space="preserve">Require durable</w:t>
            </w:r>
            <w:r>
              <w:t xml:space="preserve"> </w:t>
            </w:r>
            <w:r>
              <w:rPr>
                <w:rStyle w:val="VerbatimChar"/>
              </w:rPr>
              <w:t xml:space="preserve">StepResult</w:t>
            </w:r>
            <w:r>
              <w:t xml:space="preserve"> </w:t>
            </w:r>
            <w:r>
              <w:t xml:space="preserve">persistence + replay semantics for agent/tool invocations</w:t>
            </w:r>
          </w:p>
        </w:tc>
        <w:tc>
          <w:tcPr/>
          <w:p>
            <w:pPr>
              <w:pStyle w:val="Compact"/>
            </w:pPr>
            <w:r>
              <w:t xml:space="preserve">Core</w:t>
            </w:r>
          </w:p>
        </w:tc>
        <w:tc>
          <w:tcPr/>
          <w:p>
            <w:pPr>
              <w:pStyle w:val="Compact"/>
              <w:jc w:val="right"/>
            </w:pPr>
            <w:r>
              <w:t xml:space="preserve">P0</w:t>
            </w:r>
          </w:p>
        </w:tc>
        <w:tc>
          <w:tcPr/>
          <w:p>
            <w:pPr>
              <w:pStyle w:val="Compact"/>
            </w:pPr>
            <w:r>
              <w:t xml:space="preserve">Durable workflows require determinism; agent outputs must become recorded facts to make replay safe</w:t>
            </w:r>
          </w:p>
        </w:tc>
        <w:tc>
          <w:tcPr/>
          <w:p>
            <w:pPr>
              <w:pStyle w:val="Compact"/>
            </w:pPr>
            <w:r>
              <w:t xml:space="preserve">Durable orchestration determinism + event history</w:t>
            </w:r>
            <w:r>
              <w:t xml:space="preserve"> </w:t>
            </w:r>
            <w:hyperlink r:id="rId68">
              <w:r>
                <w:rPr>
                  <w:rStyle w:val="Hyperlink"/>
                </w:rPr>
                <w:t xml:space="preserve">[100]</w:t>
              </w:r>
            </w:hyperlink>
          </w:p>
        </w:tc>
        <w:tc>
          <w:tcPr/>
          <w:p>
            <w:pPr>
              <w:pStyle w:val="Compact"/>
            </w:pPr>
            <w:r>
              <w:rPr>
                <w:b/>
                <w:bCs/>
              </w:rPr>
              <w:t xml:space="preserve">Adopt</w:t>
            </w:r>
          </w:p>
        </w:tc>
      </w:tr>
      <w:tr>
        <w:tc>
          <w:tcPr/>
          <w:p>
            <w:pPr>
              <w:pStyle w:val="Compact"/>
            </w:pPr>
            <w:r>
              <w:t xml:space="preserve">Standardize</w:t>
            </w:r>
            <w:r>
              <w:t xml:space="preserve"> </w:t>
            </w:r>
            <w:r>
              <w:rPr>
                <w:rStyle w:val="VerbatimChar"/>
              </w:rPr>
              <w:t xml:space="preserve">ToolCall</w:t>
            </w:r>
            <w:r>
              <w:t xml:space="preserve"> </w:t>
            </w:r>
            <w:r>
              <w:t xml:space="preserve">envelope with</w:t>
            </w:r>
            <w:r>
              <w:t xml:space="preserve"> </w:t>
            </w:r>
            <w:r>
              <w:rPr>
                <w:rStyle w:val="VerbatimChar"/>
              </w:rPr>
              <w:t xml:space="preserve">idempotency_key</w:t>
            </w:r>
            <w:r>
              <w:t xml:space="preserve">, schema refs, and result digest</w:t>
            </w:r>
          </w:p>
        </w:tc>
        <w:tc>
          <w:tcPr/>
          <w:p>
            <w:pPr>
              <w:pStyle w:val="Compact"/>
            </w:pPr>
            <w:r>
              <w:t xml:space="preserve">Core</w:t>
            </w:r>
          </w:p>
        </w:tc>
        <w:tc>
          <w:tcPr/>
          <w:p>
            <w:pPr>
              <w:pStyle w:val="Compact"/>
              <w:jc w:val="right"/>
            </w:pPr>
            <w:r>
              <w:t xml:space="preserve">P0</w:t>
            </w:r>
          </w:p>
        </w:tc>
        <w:tc>
          <w:tcPr/>
          <w:p>
            <w:pPr>
              <w:pStyle w:val="Compact"/>
            </w:pPr>
            <w:r>
              <w:t xml:space="preserve">Tool side effects must not duplicate; typed contracts are needed for validation and conformance</w:t>
            </w:r>
          </w:p>
        </w:tc>
        <w:tc>
          <w:tcPr/>
          <w:p>
            <w:pPr>
              <w:pStyle w:val="Compact"/>
            </w:pPr>
            <w:r>
              <w:t xml:space="preserve">Event sourcing + tool calling patterns</w:t>
            </w:r>
            <w:r>
              <w:t xml:space="preserve"> </w:t>
            </w:r>
            <w:hyperlink r:id="rId69">
              <w:r>
                <w:rPr>
                  <w:rStyle w:val="Hyperlink"/>
                </w:rPr>
                <w:t xml:space="preserve">[101]</w:t>
              </w:r>
            </w:hyperlink>
          </w:p>
        </w:tc>
        <w:tc>
          <w:tcPr/>
          <w:p>
            <w:pPr>
              <w:pStyle w:val="Compact"/>
            </w:pPr>
            <w:r>
              <w:rPr>
                <w:b/>
                <w:bCs/>
              </w:rPr>
              <w:t xml:space="preserve">Adopt</w:t>
            </w:r>
          </w:p>
        </w:tc>
      </w:tr>
      <w:tr>
        <w:tc>
          <w:tcPr/>
          <w:p>
            <w:pPr>
              <w:pStyle w:val="Compact"/>
            </w:pPr>
            <w:r>
              <w:t xml:space="preserve">Require provenance hooks:</w:t>
            </w:r>
            <w:r>
              <w:t xml:space="preserve"> </w:t>
            </w:r>
            <w:r>
              <w:rPr>
                <w:rStyle w:val="VerbatimChar"/>
              </w:rPr>
              <w:t xml:space="preserve">evidence_refs</w:t>
            </w:r>
            <w:r>
              <w:t xml:space="preserve">,</w:t>
            </w:r>
            <w:r>
              <w:t xml:space="preserve"> </w:t>
            </w:r>
            <w:r>
              <w:rPr>
                <w:rStyle w:val="VerbatimChar"/>
              </w:rPr>
              <w:t xml:space="preserve">policy_ref</w:t>
            </w:r>
            <w:r>
              <w:t xml:space="preserve">,</w:t>
            </w:r>
            <w:r>
              <w:t xml:space="preserve"> </w:t>
            </w:r>
            <w:r>
              <w:rPr>
                <w:rStyle w:val="VerbatimChar"/>
              </w:rPr>
              <w:t xml:space="preserve">rule_version</w:t>
            </w:r>
            <w:r>
              <w:t xml:space="preserve">,</w:t>
            </w:r>
            <w:r>
              <w:t xml:space="preserve"> </w:t>
            </w:r>
            <w:r>
              <w:rPr>
                <w:rStyle w:val="VerbatimChar"/>
              </w:rPr>
              <w:t xml:space="preserve">input_digest</w:t>
            </w:r>
            <w:r>
              <w:t xml:space="preserve">,</w:t>
            </w:r>
            <w:r>
              <w:t xml:space="preserve"> </w:t>
            </w:r>
            <w:r>
              <w:rPr>
                <w:rStyle w:val="VerbatimChar"/>
              </w:rPr>
              <w:t xml:space="preserve">output_digest</w:t>
            </w:r>
          </w:p>
        </w:tc>
        <w:tc>
          <w:tcPr/>
          <w:p>
            <w:pPr>
              <w:pStyle w:val="Compact"/>
            </w:pPr>
            <w:r>
              <w:t xml:space="preserve">Core</w:t>
            </w:r>
          </w:p>
        </w:tc>
        <w:tc>
          <w:tcPr/>
          <w:p>
            <w:pPr>
              <w:pStyle w:val="Compact"/>
              <w:jc w:val="right"/>
            </w:pPr>
            <w:r>
              <w:t xml:space="preserve">P0</w:t>
            </w:r>
          </w:p>
        </w:tc>
        <w:tc>
          <w:tcPr/>
          <w:p>
            <w:pPr>
              <w:pStyle w:val="Compact"/>
            </w:pPr>
            <w:r>
              <w:t xml:space="preserve">High-stakes review requires “what evidence/policy produced this” even when models change</w:t>
            </w:r>
          </w:p>
        </w:tc>
        <w:tc>
          <w:tcPr/>
          <w:p>
            <w:pPr>
              <w:pStyle w:val="Compact"/>
            </w:pPr>
            <w:r>
              <w:t xml:space="preserve">PROV-DM + governance frameworks</w:t>
            </w:r>
            <w:r>
              <w:t xml:space="preserve"> </w:t>
            </w:r>
            <w:hyperlink r:id="rId33">
              <w:r>
                <w:rPr>
                  <w:rStyle w:val="Hyperlink"/>
                </w:rPr>
                <w:t xml:space="preserve">[102]</w:t>
              </w:r>
            </w:hyperlink>
          </w:p>
        </w:tc>
        <w:tc>
          <w:tcPr/>
          <w:p>
            <w:pPr>
              <w:pStyle w:val="Compact"/>
            </w:pPr>
            <w:r>
              <w:rPr>
                <w:b/>
                <w:bCs/>
              </w:rPr>
              <w:t xml:space="preserve">Adopt</w:t>
            </w:r>
          </w:p>
        </w:tc>
      </w:tr>
      <w:tr>
        <w:tc>
          <w:tcPr/>
          <w:p>
            <w:pPr>
              <w:pStyle w:val="Compact"/>
            </w:pPr>
            <w:r>
              <w:t xml:space="preserve">Define Agent Tier mapping to MCP tools/resources/prompts and lifecycle</w:t>
            </w:r>
          </w:p>
        </w:tc>
        <w:tc>
          <w:tcPr/>
          <w:p>
            <w:pPr>
              <w:pStyle w:val="Compact"/>
            </w:pPr>
            <w:r>
              <w:t xml:space="preserve">Agent tier</w:t>
            </w:r>
          </w:p>
        </w:tc>
        <w:tc>
          <w:tcPr/>
          <w:p>
            <w:pPr>
              <w:pStyle w:val="Compact"/>
              <w:jc w:val="right"/>
            </w:pPr>
            <w:r>
              <w:t xml:space="preserve">P1</w:t>
            </w:r>
          </w:p>
        </w:tc>
        <w:tc>
          <w:tcPr/>
          <w:p>
            <w:pPr>
              <w:pStyle w:val="Compact"/>
            </w:pPr>
            <w:r>
              <w:t xml:space="preserve">MCP is the best current “tool/context interoperability waist”</w:t>
            </w:r>
          </w:p>
        </w:tc>
        <w:tc>
          <w:tcPr/>
          <w:p>
            <w:pPr>
              <w:pStyle w:val="Compact"/>
            </w:pPr>
            <w:r>
              <w:t xml:space="preserve">MCP lifecycle + modularity</w:t>
            </w:r>
            <w:r>
              <w:t xml:space="preserve"> </w:t>
            </w:r>
            <w:hyperlink r:id="rId28">
              <w:r>
                <w:rPr>
                  <w:rStyle w:val="Hyperlink"/>
                </w:rPr>
                <w:t xml:space="preserve">[103]</w:t>
              </w:r>
            </w:hyperlink>
          </w:p>
        </w:tc>
        <w:tc>
          <w:tcPr/>
          <w:p>
            <w:pPr>
              <w:pStyle w:val="Compact"/>
            </w:pPr>
            <w:r>
              <w:rPr>
                <w:b/>
                <w:bCs/>
              </w:rPr>
              <w:t xml:space="preserve">Adapt</w:t>
            </w:r>
          </w:p>
        </w:tc>
      </w:tr>
      <w:tr>
        <w:tc>
          <w:tcPr/>
          <w:p>
            <w:pPr>
              <w:pStyle w:val="Compact"/>
            </w:pPr>
            <w:r>
              <w:t xml:space="preserve">Define Agent Tier mapping to A2A discovery + Task/Message model</w:t>
            </w:r>
          </w:p>
        </w:tc>
        <w:tc>
          <w:tcPr/>
          <w:p>
            <w:pPr>
              <w:pStyle w:val="Compact"/>
            </w:pPr>
            <w:r>
              <w:t xml:space="preserve">Agent tier</w:t>
            </w:r>
          </w:p>
        </w:tc>
        <w:tc>
          <w:tcPr/>
          <w:p>
            <w:pPr>
              <w:pStyle w:val="Compact"/>
              <w:jc w:val="right"/>
            </w:pPr>
            <w:r>
              <w:t xml:space="preserve">P1</w:t>
            </w:r>
          </w:p>
        </w:tc>
        <w:tc>
          <w:tcPr/>
          <w:p>
            <w:pPr>
              <w:pStyle w:val="Compact"/>
            </w:pPr>
            <w:r>
              <w:t xml:space="preserve">A2A provides cross-agent interoperability concepts: AgentCard, tasks, contextId, immutability</w:t>
            </w:r>
          </w:p>
        </w:tc>
        <w:tc>
          <w:tcPr/>
          <w:p>
            <w:pPr>
              <w:pStyle w:val="Compact"/>
            </w:pPr>
            <w:r>
              <w:t xml:space="preserve">A2A spec/docs</w:t>
            </w:r>
            <w:r>
              <w:t xml:space="preserve"> </w:t>
            </w:r>
            <w:hyperlink r:id="rId23">
              <w:r>
                <w:rPr>
                  <w:rStyle w:val="Hyperlink"/>
                </w:rPr>
                <w:t xml:space="preserve">[4]</w:t>
              </w:r>
            </w:hyperlink>
          </w:p>
        </w:tc>
        <w:tc>
          <w:tcPr/>
          <w:p>
            <w:pPr>
              <w:pStyle w:val="Compact"/>
            </w:pPr>
            <w:r>
              <w:rPr>
                <w:b/>
                <w:bCs/>
              </w:rPr>
              <w:t xml:space="preserve">Adapt</w:t>
            </w:r>
          </w:p>
        </w:tc>
      </w:tr>
      <w:tr>
        <w:tc>
          <w:tcPr/>
          <w:p>
            <w:pPr>
              <w:pStyle w:val="Compact"/>
            </w:pPr>
            <w:r>
              <w:t xml:space="preserve">Define Agent Tier mapping for OpenAI tool calling + structured outputs (provider profile)</w:t>
            </w:r>
          </w:p>
        </w:tc>
        <w:tc>
          <w:tcPr/>
          <w:p>
            <w:pPr>
              <w:pStyle w:val="Compact"/>
            </w:pPr>
            <w:r>
              <w:t xml:space="preserve">Agent tier</w:t>
            </w:r>
          </w:p>
        </w:tc>
        <w:tc>
          <w:tcPr/>
          <w:p>
            <w:pPr>
              <w:pStyle w:val="Compact"/>
              <w:jc w:val="right"/>
            </w:pPr>
            <w:r>
              <w:t xml:space="preserve">P2</w:t>
            </w:r>
          </w:p>
        </w:tc>
        <w:tc>
          <w:tcPr/>
          <w:p>
            <w:pPr>
              <w:pStyle w:val="Compact"/>
            </w:pPr>
            <w:r>
              <w:t xml:space="preserve">Provider compatibility matters; keep it in a profile to avoid locking core to one vendor</w:t>
            </w:r>
          </w:p>
        </w:tc>
        <w:tc>
          <w:tcPr/>
          <w:p>
            <w:pPr>
              <w:pStyle w:val="Compact"/>
            </w:pPr>
            <w:r>
              <w:t xml:space="preserve">OpenAI tool calling + structured outputs + MCP integration</w:t>
            </w:r>
            <w:r>
              <w:t xml:space="preserve"> </w:t>
            </w:r>
            <w:hyperlink r:id="rId24">
              <w:r>
                <w:rPr>
                  <w:rStyle w:val="Hyperlink"/>
                </w:rPr>
                <w:t xml:space="preserve">[104]</w:t>
              </w:r>
            </w:hyperlink>
          </w:p>
        </w:tc>
        <w:tc>
          <w:tcPr/>
          <w:p>
            <w:pPr>
              <w:pStyle w:val="Compact"/>
            </w:pPr>
            <w:r>
              <w:rPr>
                <w:b/>
                <w:bCs/>
              </w:rPr>
              <w:t xml:space="preserve">Adapt</w:t>
            </w:r>
          </w:p>
        </w:tc>
      </w:tr>
      <w:tr>
        <w:tc>
          <w:tcPr/>
          <w:p>
            <w:pPr>
              <w:pStyle w:val="Compact"/>
            </w:pPr>
            <w:r>
              <w:t xml:space="preserve">Telemetry profile mapping to OpenTelemetry GenAI semconv</w:t>
            </w:r>
          </w:p>
        </w:tc>
        <w:tc>
          <w:tcPr/>
          <w:p>
            <w:pPr>
              <w:pStyle w:val="Compact"/>
            </w:pPr>
            <w:r>
              <w:t xml:space="preserve">Agent tier</w:t>
            </w:r>
          </w:p>
        </w:tc>
        <w:tc>
          <w:tcPr/>
          <w:p>
            <w:pPr>
              <w:pStyle w:val="Compact"/>
              <w:jc w:val="right"/>
            </w:pPr>
            <w:r>
              <w:t xml:space="preserve">P2</w:t>
            </w:r>
          </w:p>
        </w:tc>
        <w:tc>
          <w:tcPr/>
          <w:p>
            <w:pPr>
              <w:pStyle w:val="Compact"/>
            </w:pPr>
            <w:r>
              <w:t xml:space="preserve">Observability should be portable but semconv is still evolving</w:t>
            </w:r>
          </w:p>
        </w:tc>
        <w:tc>
          <w:tcPr/>
          <w:p>
            <w:pPr>
              <w:pStyle w:val="Compact"/>
            </w:pPr>
            <w:r>
              <w:t xml:space="preserve">OTel GenAI semconv, Development status</w:t>
            </w:r>
            <w:r>
              <w:t xml:space="preserve"> </w:t>
            </w:r>
            <w:hyperlink r:id="rId25">
              <w:r>
                <w:rPr>
                  <w:rStyle w:val="Hyperlink"/>
                </w:rPr>
                <w:t xml:space="preserve">[16]</w:t>
              </w:r>
            </w:hyperlink>
          </w:p>
        </w:tc>
        <w:tc>
          <w:tcPr/>
          <w:p>
            <w:pPr>
              <w:pStyle w:val="Compact"/>
            </w:pPr>
            <w:r>
              <w:rPr>
                <w:b/>
                <w:bCs/>
              </w:rPr>
              <w:t xml:space="preserve">Adapt</w:t>
            </w:r>
          </w:p>
        </w:tc>
      </w:tr>
      <w:tr>
        <w:tc>
          <w:tcPr/>
          <w:p>
            <w:pPr>
              <w:pStyle w:val="Compact"/>
            </w:pPr>
            <w:r>
              <w:t xml:space="preserve">Optional “verifiable audit trail” profile (SCITT / VC Data Integrity / in-toto attestations)</w:t>
            </w:r>
          </w:p>
        </w:tc>
        <w:tc>
          <w:tcPr/>
          <w:p>
            <w:pPr>
              <w:pStyle w:val="Compact"/>
            </w:pPr>
            <w:r>
              <w:t xml:space="preserve">Agent tier</w:t>
            </w:r>
          </w:p>
        </w:tc>
        <w:tc>
          <w:tcPr/>
          <w:p>
            <w:pPr>
              <w:pStyle w:val="Compact"/>
              <w:jc w:val="right"/>
            </w:pPr>
            <w:r>
              <w:t xml:space="preserve">P3</w:t>
            </w:r>
          </w:p>
        </w:tc>
        <w:tc>
          <w:tcPr/>
          <w:p>
            <w:pPr>
              <w:pStyle w:val="Compact"/>
            </w:pPr>
            <w:r>
              <w:t xml:space="preserve">Some domains need tamper-evidence &amp; third-party audit; keep optional due to cost/complexity</w:t>
            </w:r>
          </w:p>
        </w:tc>
        <w:tc>
          <w:tcPr/>
          <w:p>
            <w:pPr>
              <w:pStyle w:val="Compact"/>
            </w:pPr>
            <w:r>
              <w:t xml:space="preserve">SCITT signed statements/receipts; VC Data Integrity; SLSA/in-toto pattern</w:t>
            </w:r>
            <w:r>
              <w:t xml:space="preserve"> </w:t>
            </w:r>
            <w:hyperlink r:id="rId36">
              <w:r>
                <w:rPr>
                  <w:rStyle w:val="Hyperlink"/>
                </w:rPr>
                <w:t xml:space="preserve">[105]</w:t>
              </w:r>
            </w:hyperlink>
          </w:p>
        </w:tc>
        <w:tc>
          <w:tcPr/>
          <w:p>
            <w:pPr>
              <w:pStyle w:val="Compact"/>
            </w:pPr>
            <w:r>
              <w:rPr>
                <w:b/>
                <w:bCs/>
              </w:rPr>
              <w:t xml:space="preserve">Adapt</w:t>
            </w:r>
          </w:p>
        </w:tc>
      </w:tr>
      <w:tr>
        <w:tc>
          <w:tcPr/>
          <w:p>
            <w:pPr>
              <w:pStyle w:val="Compact"/>
            </w:pPr>
            <w:r>
              <w:t xml:space="preserve">“Agent internal cognition” standardization (prompt formats, chain-of-thought)</w:t>
            </w:r>
          </w:p>
        </w:tc>
        <w:tc>
          <w:tcPr/>
          <w:p>
            <w:pPr>
              <w:pStyle w:val="Compact"/>
            </w:pPr>
            <w:r>
              <w:t xml:space="preserve">Out of scope</w:t>
            </w:r>
          </w:p>
        </w:tc>
        <w:tc>
          <w:tcPr/>
          <w:p>
            <w:pPr>
              <w:pStyle w:val="Compact"/>
              <w:jc w:val="right"/>
            </w:pPr>
            <w:r>
              <w:t xml:space="preserve">—</w:t>
            </w:r>
          </w:p>
        </w:tc>
        <w:tc>
          <w:tcPr/>
          <w:p>
            <w:pPr>
              <w:pStyle w:val="Compact"/>
            </w:pPr>
            <w:r>
              <w:t xml:space="preserve">Too unstable; privacy/safety concerns; interoperability is at action/proposal boundaries</w:t>
            </w:r>
          </w:p>
        </w:tc>
        <w:tc>
          <w:tcPr/>
          <w:p>
            <w:pPr>
              <w:pStyle w:val="Compact"/>
            </w:pPr>
            <w:r>
              <w:t xml:space="preserve">Modern practice + security risks; not stable for standardization</w:t>
            </w:r>
            <w:r>
              <w:t xml:space="preserve"> </w:t>
            </w:r>
            <w:hyperlink r:id="rId26">
              <w:r>
                <w:rPr>
                  <w:rStyle w:val="Hyperlink"/>
                </w:rPr>
                <w:t xml:space="preserve">[106]</w:t>
              </w:r>
            </w:hyperlink>
          </w:p>
        </w:tc>
        <w:tc>
          <w:tcPr/>
          <w:p>
            <w:pPr>
              <w:pStyle w:val="Compact"/>
            </w:pPr>
            <w:r>
              <w:rPr>
                <w:b/>
                <w:bCs/>
              </w:rPr>
              <w:t xml:space="preserve">Deliberately out of scope</w:t>
            </w:r>
          </w:p>
        </w:tc>
      </w:tr>
    </w:tbl>
    <w:bookmarkEnd w:id="91"/>
    <w:bookmarkStart w:id="92" w:name="X1811381d020225060510690dffa2bd5f05b070a"/>
    <w:p>
      <w:pPr>
        <w:pStyle w:val="Heading3"/>
      </w:pPr>
      <w:r>
        <w:t xml:space="preserve">Gaps and open research problems that affect standards design</w:t>
      </w:r>
    </w:p>
    <w:p>
      <w:pPr>
        <w:pStyle w:val="Compact"/>
        <w:numPr>
          <w:ilvl w:val="0"/>
          <w:numId w:val="1015"/>
        </w:numPr>
      </w:pPr>
      <w:r>
        <w:rPr>
          <w:b/>
          <w:bCs/>
        </w:rPr>
        <w:t xml:space="preserve">Standardized “authority + accountability” semantics across agent protocols is missing.</w:t>
      </w:r>
      <w:r>
        <w:t xml:space="preserve"> </w:t>
      </w:r>
      <w:r>
        <w:t xml:space="preserve">MCP and A2A define interaction mechanics, but not the governance semantics required for regulated workflows (authority modes, approvals, overrides).</w:t>
      </w:r>
      <w:r>
        <w:t xml:space="preserve"> </w:t>
      </w:r>
      <w:hyperlink r:id="rId28">
        <w:r>
          <w:rPr>
            <w:rStyle w:val="Hyperlink"/>
          </w:rPr>
          <w:t xml:space="preserve">[107]</w:t>
        </w:r>
      </w:hyperlink>
    </w:p>
    <w:p>
      <w:pPr>
        <w:pStyle w:val="Compact"/>
        <w:numPr>
          <w:ilvl w:val="0"/>
          <w:numId w:val="1015"/>
        </w:numPr>
      </w:pPr>
      <w:r>
        <w:rPr>
          <w:b/>
          <w:bCs/>
        </w:rPr>
        <w:t xml:space="preserve">Replay semantics for agents are underspecified in the agent literature.</w:t>
      </w:r>
      <w:r>
        <w:t xml:space="preserve"> </w:t>
      </w:r>
      <w:r>
        <w:t xml:space="preserve">Durable systems define replay constraints, but agent frameworks often assume you can just “run again,” which is not acceptable with side effects (inference).</w:t>
      </w:r>
      <w:r>
        <w:t xml:space="preserve"> </w:t>
      </w:r>
      <w:hyperlink r:id="rId68">
        <w:r>
          <w:rPr>
            <w:rStyle w:val="Hyperlink"/>
          </w:rPr>
          <w:t xml:space="preserve">[76]</w:t>
        </w:r>
      </w:hyperlink>
    </w:p>
    <w:p>
      <w:pPr>
        <w:pStyle w:val="Compact"/>
        <w:numPr>
          <w:ilvl w:val="0"/>
          <w:numId w:val="1015"/>
        </w:numPr>
      </w:pPr>
      <w:r>
        <w:rPr>
          <w:b/>
          <w:bCs/>
        </w:rPr>
        <w:t xml:space="preserve">Tool contracts for agents lack a universal descriptor.</w:t>
      </w:r>
      <w:r>
        <w:t xml:space="preserve"> </w:t>
      </w:r>
      <w:r>
        <w:t xml:space="preserve">OpenAPI helps for APIs, but many “tools” are not HTTP APIs; WoT Thing Description’s affordance model (“properties/actions/events”) is a strong candidate blueprint for a generalized capability descriptor (valuable discovery).</w:t>
      </w:r>
      <w:r>
        <w:t xml:space="preserve"> </w:t>
      </w:r>
      <w:hyperlink r:id="rId42">
        <w:r>
          <w:rPr>
            <w:rStyle w:val="Hyperlink"/>
          </w:rPr>
          <w:t xml:space="preserve">[108]</w:t>
        </w:r>
      </w:hyperlink>
    </w:p>
    <w:p>
      <w:pPr>
        <w:pStyle w:val="Compact"/>
        <w:numPr>
          <w:ilvl w:val="0"/>
          <w:numId w:val="1015"/>
        </w:numPr>
      </w:pPr>
      <w:r>
        <w:rPr>
          <w:b/>
          <w:bCs/>
        </w:rPr>
        <w:t xml:space="preserve">Security boundaries for untrusted content are not standardized.</w:t>
      </w:r>
      <w:r>
        <w:t xml:space="preserve"> </w:t>
      </w:r>
      <w:r>
        <w:t xml:space="preserve">Indirect prompt injection shows this is a primary risk for tool-using agents; standards should enable content trust labeling and policy enforcement points.</w:t>
      </w:r>
      <w:r>
        <w:t xml:space="preserve"> </w:t>
      </w:r>
      <w:hyperlink r:id="rId74">
        <w:r>
          <w:rPr>
            <w:rStyle w:val="Hyperlink"/>
          </w:rPr>
          <w:t xml:space="preserve">[109]</w:t>
        </w:r>
      </w:hyperlink>
    </w:p>
    <w:p>
      <w:pPr>
        <w:pStyle w:val="Compact"/>
        <w:numPr>
          <w:ilvl w:val="0"/>
          <w:numId w:val="1015"/>
        </w:numPr>
      </w:pPr>
      <w:r>
        <w:rPr>
          <w:b/>
          <w:bCs/>
        </w:rPr>
        <w:t xml:space="preserve">Observability semantics are emerging but unsettled.</w:t>
      </w:r>
      <w:r>
        <w:t xml:space="preserve"> </w:t>
      </w:r>
      <w:r>
        <w:t xml:space="preserve">OpenTelemetry GenAI semconv is promising but still marked Development for key agent spans; design for mappable hooks rather than hard dependencies.</w:t>
      </w:r>
      <w:r>
        <w:t xml:space="preserve"> </w:t>
      </w:r>
      <w:hyperlink r:id="rId25">
        <w:r>
          <w:rPr>
            <w:rStyle w:val="Hyperlink"/>
          </w:rPr>
          <w:t xml:space="preserve">[16]</w:t>
        </w:r>
      </w:hyperlink>
    </w:p>
    <w:bookmarkEnd w:id="92"/>
    <w:bookmarkStart w:id="93" w:name="prioritized-research-agenda"/>
    <w:p>
      <w:pPr>
        <w:pStyle w:val="Heading3"/>
      </w:pPr>
      <w:r>
        <w:t xml:space="preserve">Prioritized research agenda</w:t>
      </w:r>
    </w:p>
    <w:p>
      <w:pPr>
        <w:pStyle w:val="Compact"/>
        <w:numPr>
          <w:ilvl w:val="0"/>
          <w:numId w:val="1016"/>
        </w:numPr>
      </w:pPr>
      <w:r>
        <w:rPr>
          <w:b/>
          <w:bCs/>
        </w:rPr>
        <w:t xml:space="preserve">Formal “proposal/commit” semantics and conformance tests</w:t>
      </w:r>
      <w:r>
        <w:t xml:space="preserve"> </w:t>
      </w:r>
      <w:r>
        <w:t xml:space="preserve">for human-agent workflows, including reversible commits and explicit override reasoning.</w:t>
      </w:r>
      <w:r>
        <w:t xml:space="preserve"> </w:t>
      </w:r>
      <w:hyperlink r:id="rId39">
        <w:r>
          <w:rPr>
            <w:rStyle w:val="Hyperlink"/>
          </w:rPr>
          <w:t xml:space="preserve">[110]</w:t>
        </w:r>
      </w:hyperlink>
    </w:p>
    <w:p>
      <w:pPr>
        <w:pStyle w:val="Compact"/>
        <w:numPr>
          <w:ilvl w:val="0"/>
          <w:numId w:val="1016"/>
        </w:numPr>
      </w:pPr>
      <w:r>
        <w:rPr>
          <w:b/>
          <w:bCs/>
        </w:rPr>
        <w:t xml:space="preserve">A policy language/profile for agent authority and tool permissions</w:t>
      </w:r>
      <w:r>
        <w:t xml:space="preserve"> </w:t>
      </w:r>
      <w:r>
        <w:t xml:space="preserve">that is analyzable and can be bound to workflow steps (inspired by OWASP threats and NIST RMF controls).</w:t>
      </w:r>
      <w:r>
        <w:t xml:space="preserve"> </w:t>
      </w:r>
      <w:hyperlink r:id="rId26">
        <w:r>
          <w:rPr>
            <w:rStyle w:val="Hyperlink"/>
          </w:rPr>
          <w:t xml:space="preserve">[111]</w:t>
        </w:r>
      </w:hyperlink>
    </w:p>
    <w:p>
      <w:pPr>
        <w:pStyle w:val="Compact"/>
        <w:numPr>
          <w:ilvl w:val="0"/>
          <w:numId w:val="1016"/>
        </w:numPr>
      </w:pPr>
      <w:r>
        <w:rPr>
          <w:b/>
          <w:bCs/>
        </w:rPr>
        <w:t xml:space="preserve">Standard tool capability descriptor</w:t>
      </w:r>
      <w:r>
        <w:t xml:space="preserve"> </w:t>
      </w:r>
      <w:r>
        <w:t xml:space="preserve">that unifies OpenAPI-style contracts and WoT-style affordances, including non-HTTP tools and long-running tool actions.</w:t>
      </w:r>
      <w:r>
        <w:t xml:space="preserve"> </w:t>
      </w:r>
      <w:hyperlink r:id="rId42">
        <w:r>
          <w:rPr>
            <w:rStyle w:val="Hyperlink"/>
          </w:rPr>
          <w:t xml:space="preserve">[108]</w:t>
        </w:r>
      </w:hyperlink>
    </w:p>
    <w:p>
      <w:pPr>
        <w:pStyle w:val="Compact"/>
        <w:numPr>
          <w:ilvl w:val="0"/>
          <w:numId w:val="1016"/>
        </w:numPr>
      </w:pPr>
      <w:r>
        <w:rPr>
          <w:b/>
          <w:bCs/>
        </w:rPr>
        <w:t xml:space="preserve">Portable replay/recovery semantics for agent steps</w:t>
      </w:r>
      <w:r>
        <w:t xml:space="preserve"> </w:t>
      </w:r>
      <w:r>
        <w:t xml:space="preserve">(how to store, hash, and reproduce agent outputs safely; how to mark “re-evaluate” vs “replay”) grounded in durable execution theory.</w:t>
      </w:r>
      <w:r>
        <w:t xml:space="preserve"> </w:t>
      </w:r>
      <w:hyperlink r:id="rId68">
        <w:r>
          <w:rPr>
            <w:rStyle w:val="Hyperlink"/>
          </w:rPr>
          <w:t xml:space="preserve">[112]</w:t>
        </w:r>
      </w:hyperlink>
    </w:p>
    <w:p>
      <w:pPr>
        <w:pStyle w:val="Compact"/>
        <w:numPr>
          <w:ilvl w:val="0"/>
          <w:numId w:val="1016"/>
        </w:numPr>
      </w:pPr>
      <w:r>
        <w:rPr>
          <w:b/>
          <w:bCs/>
        </w:rPr>
        <w:t xml:space="preserve">Agent security red-teaming fixtures</w:t>
      </w:r>
      <w:r>
        <w:t xml:space="preserve"> </w:t>
      </w:r>
      <w:r>
        <w:t xml:space="preserve">specifically for indirect prompt injection and tool hijacking in workflow contexts (documents + evidence + privileged tools).</w:t>
      </w:r>
      <w:r>
        <w:t xml:space="preserve"> </w:t>
      </w:r>
      <w:hyperlink r:id="rId74">
        <w:r>
          <w:rPr>
            <w:rStyle w:val="Hyperlink"/>
          </w:rPr>
          <w:t xml:space="preserve">[113]</w:t>
        </w:r>
      </w:hyperlink>
    </w:p>
    <w:p>
      <w:pPr>
        <w:pStyle w:val="Compact"/>
        <w:numPr>
          <w:ilvl w:val="0"/>
          <w:numId w:val="1016"/>
        </w:numPr>
      </w:pPr>
      <w:r>
        <w:rPr>
          <w:b/>
          <w:bCs/>
        </w:rPr>
        <w:t xml:space="preserve">Cross-protocol interoperability cookbook</w:t>
      </w:r>
      <w:r>
        <w:t xml:space="preserve">: normative mappings between A2A tasks, MCP sessions/tools, and workflow objects (case/step/task/decision).</w:t>
      </w:r>
      <w:r>
        <w:t xml:space="preserve"> </w:t>
      </w:r>
      <w:hyperlink r:id="rId44">
        <w:r>
          <w:rPr>
            <w:rStyle w:val="Hyperlink"/>
          </w:rPr>
          <w:t xml:space="preserve">[114]</w:t>
        </w:r>
      </w:hyperlink>
    </w:p>
    <w:p>
      <w:pPr>
        <w:pStyle w:val="Compact"/>
        <w:numPr>
          <w:ilvl w:val="0"/>
          <w:numId w:val="1016"/>
        </w:numPr>
      </w:pPr>
      <w:r>
        <w:rPr>
          <w:b/>
          <w:bCs/>
        </w:rPr>
        <w:t xml:space="preserve">Workflow-oriented agent benchmarks</w:t>
      </w:r>
      <w:r>
        <w:t xml:space="preserve"> </w:t>
      </w:r>
      <w:r>
        <w:t xml:space="preserve">(beyond web/coding): long-horizon, exception-heavy, compliance-driven tasks with explicit approvals and evidence. Current benchmarks rarely encode these constraints.</w:t>
      </w:r>
      <w:r>
        <w:t xml:space="preserve"> </w:t>
      </w:r>
      <w:hyperlink r:id="rId82">
        <w:r>
          <w:rPr>
            <w:rStyle w:val="Hyperlink"/>
          </w:rPr>
          <w:t xml:space="preserve">[115]</w:t>
        </w:r>
      </w:hyperlink>
    </w:p>
    <w:p>
      <w:pPr>
        <w:pStyle w:val="Compact"/>
        <w:numPr>
          <w:ilvl w:val="0"/>
          <w:numId w:val="1016"/>
        </w:numPr>
      </w:pPr>
      <w:r>
        <w:rPr>
          <w:b/>
          <w:bCs/>
        </w:rPr>
        <w:t xml:space="preserve">Cryptographically verifiable audit profiles</w:t>
      </w:r>
      <w:r>
        <w:t xml:space="preserve"> </w:t>
      </w:r>
      <w:r>
        <w:t xml:space="preserve">using transparency logs/attestations for domains that need strong third-party auditability (financial, regulatory, inter-agency).</w:t>
      </w:r>
      <w:r>
        <w:t xml:space="preserve"> </w:t>
      </w:r>
      <w:hyperlink r:id="rId36">
        <w:r>
          <w:rPr>
            <w:rStyle w:val="Hyperlink"/>
          </w:rPr>
          <w:t xml:space="preserve">[105]</w:t>
        </w:r>
      </w:hyperlink>
    </w:p>
    <w:bookmarkEnd w:id="93"/>
    <w:bookmarkStart w:id="94" w:name="X59efd8fb4321194fd4ea951cf7af8d4362bba56"/>
    <w:p>
      <w:pPr>
        <w:pStyle w:val="Heading3"/>
      </w:pPr>
      <w:r>
        <w:t xml:space="preserve">Canonical conformance fixtures and scenarios</w:t>
      </w:r>
    </w:p>
    <w:p>
      <w:pPr>
        <w:pStyle w:val="FirstParagraph"/>
      </w:pPr>
      <w:r>
        <w:t xml:space="preserve">A minimal but credible suite (for early tiers):</w:t>
      </w:r>
    </w:p>
    <w:p>
      <w:pPr>
        <w:pStyle w:val="Compact"/>
        <w:numPr>
          <w:ilvl w:val="0"/>
          <w:numId w:val="1017"/>
        </w:numPr>
      </w:pPr>
      <w:r>
        <w:rPr>
          <w:b/>
          <w:bCs/>
        </w:rPr>
        <w:t xml:space="preserve">Fixture pack</w:t>
      </w:r>
      <w:r>
        <w:t xml:space="preserve">: canonical JSON Schemas for</w:t>
      </w:r>
      <w:r>
        <w:t xml:space="preserve"> </w:t>
      </w:r>
      <w:r>
        <w:rPr>
          <w:rStyle w:val="VerbatimChar"/>
        </w:rPr>
        <w:t xml:space="preserve">AgentCard</w:t>
      </w:r>
      <w:r>
        <w:t xml:space="preserve">-like profiles,</w:t>
      </w:r>
      <w:r>
        <w:t xml:space="preserve"> </w:t>
      </w:r>
      <w:r>
        <w:rPr>
          <w:rStyle w:val="VerbatimChar"/>
        </w:rPr>
        <w:t xml:space="preserve">ToolCall</w:t>
      </w:r>
      <w:r>
        <w:t xml:space="preserve"> </w:t>
      </w:r>
      <w:r>
        <w:t xml:space="preserve">envelopes with idempotency keys, and audit events referencing PROV-like relations.</w:t>
      </w:r>
      <w:r>
        <w:t xml:space="preserve"> </w:t>
      </w:r>
      <w:hyperlink r:id="rId30">
        <w:r>
          <w:rPr>
            <w:rStyle w:val="Hyperlink"/>
          </w:rPr>
          <w:t xml:space="preserve">[116]</w:t>
        </w:r>
      </w:hyperlink>
    </w:p>
    <w:p>
      <w:pPr>
        <w:pStyle w:val="Compact"/>
        <w:numPr>
          <w:ilvl w:val="0"/>
          <w:numId w:val="1017"/>
        </w:numPr>
      </w:pPr>
      <w:r>
        <w:rPr>
          <w:b/>
          <w:bCs/>
        </w:rPr>
        <w:t xml:space="preserve">Replay pack</w:t>
      </w:r>
      <w:r>
        <w:t xml:space="preserve">: recorded histories + expected final state after replay, including “agent step must not re-run.”</w:t>
      </w:r>
      <w:r>
        <w:t xml:space="preserve"> </w:t>
      </w:r>
      <w:hyperlink r:id="rId68">
        <w:r>
          <w:rPr>
            <w:rStyle w:val="Hyperlink"/>
          </w:rPr>
          <w:t xml:space="preserve">[100]</w:t>
        </w:r>
      </w:hyperlink>
    </w:p>
    <w:p>
      <w:pPr>
        <w:pStyle w:val="Compact"/>
        <w:numPr>
          <w:ilvl w:val="0"/>
          <w:numId w:val="1017"/>
        </w:numPr>
      </w:pPr>
      <w:r>
        <w:rPr>
          <w:b/>
          <w:bCs/>
        </w:rPr>
        <w:t xml:space="preserve">Injection pack</w:t>
      </w:r>
      <w:r>
        <w:t xml:space="preserve">: evidence documents containing known indirect prompt injection payloads; expected safe behavior (no privileged tool call, explicit refusal event).</w:t>
      </w:r>
      <w:r>
        <w:t xml:space="preserve"> </w:t>
      </w:r>
      <w:hyperlink r:id="rId74">
        <w:r>
          <w:rPr>
            <w:rStyle w:val="Hyperlink"/>
          </w:rPr>
          <w:t xml:space="preserve">[91]</w:t>
        </w:r>
      </w:hyperlink>
    </w:p>
    <w:p>
      <w:pPr>
        <w:pStyle w:val="Compact"/>
        <w:numPr>
          <w:ilvl w:val="0"/>
          <w:numId w:val="1017"/>
        </w:numPr>
      </w:pPr>
      <w:r>
        <w:rPr>
          <w:b/>
          <w:bCs/>
        </w:rPr>
        <w:t xml:space="preserve">Delegation pack</w:t>
      </w:r>
      <w:r>
        <w:t xml:space="preserve">: multi-agent handoff with explicit accountability chain and final human approval requirement.</w:t>
      </w:r>
      <w:r>
        <w:t xml:space="preserve"> </w:t>
      </w:r>
      <w:hyperlink r:id="rId44">
        <w:r>
          <w:rPr>
            <w:rStyle w:val="Hyperlink"/>
          </w:rPr>
          <w:t xml:space="preserve">[117]</w:t>
        </w:r>
      </w:hyperlink>
    </w:p>
    <w:bookmarkEnd w:id="94"/>
    <w:bookmarkEnd w:id="95"/>
    <w:bookmarkStart w:id="103" w:name="ranked-lists"/>
    <w:p>
      <w:pPr>
        <w:pStyle w:val="Heading2"/>
      </w:pPr>
      <w:r>
        <w:t xml:space="preserve">Ranked lists</w:t>
      </w:r>
    </w:p>
    <w:bookmarkStart w:id="97" w:name="design-principles-for-agent-integration"/>
    <w:p>
      <w:pPr>
        <w:pStyle w:val="Heading3"/>
      </w:pPr>
      <w:r>
        <w:t xml:space="preserve">Design principles for agent integration</w:t>
      </w:r>
    </w:p>
    <w:p>
      <w:pPr>
        <w:pStyle w:val="Compact"/>
        <w:numPr>
          <w:ilvl w:val="0"/>
          <w:numId w:val="1018"/>
        </w:numPr>
      </w:pPr>
      <w:r>
        <w:rPr>
          <w:b/>
          <w:bCs/>
        </w:rPr>
        <w:t xml:space="preserve">Governance first</w:t>
      </w:r>
      <w:r>
        <w:t xml:space="preserve">: model authority, approvals, and overrides as first-class workflow constructs, not UI behavior.</w:t>
      </w:r>
      <w:r>
        <w:t xml:space="preserve"> </w:t>
      </w:r>
      <w:hyperlink r:id="rId35">
        <w:r>
          <w:rPr>
            <w:rStyle w:val="Hyperlink"/>
          </w:rPr>
          <w:t xml:space="preserve">[118]</w:t>
        </w:r>
      </w:hyperlink>
    </w:p>
    <w:p>
      <w:pPr>
        <w:pStyle w:val="Compact"/>
        <w:numPr>
          <w:ilvl w:val="0"/>
          <w:numId w:val="1018"/>
        </w:numPr>
      </w:pPr>
      <w:r>
        <w:rPr>
          <w:b/>
          <w:bCs/>
        </w:rPr>
        <w:t xml:space="preserve">Propose ≠ commit</w:t>
      </w:r>
      <w:r>
        <w:t xml:space="preserve">: agents propose; the workflow commits only under explicit authorization gates.</w:t>
      </w:r>
      <w:r>
        <w:t xml:space="preserve"> </w:t>
      </w:r>
      <w:hyperlink r:id="rId39">
        <w:r>
          <w:rPr>
            <w:rStyle w:val="Hyperlink"/>
          </w:rPr>
          <w:t xml:space="preserve">[99]</w:t>
        </w:r>
      </w:hyperlink>
    </w:p>
    <w:p>
      <w:pPr>
        <w:pStyle w:val="Compact"/>
        <w:numPr>
          <w:ilvl w:val="0"/>
          <w:numId w:val="1018"/>
        </w:numPr>
      </w:pPr>
      <w:r>
        <w:rPr>
          <w:b/>
          <w:bCs/>
        </w:rPr>
        <w:t xml:space="preserve">Externalize nondeterminism</w:t>
      </w:r>
      <w:r>
        <w:t xml:space="preserve">: agent results must be recorded as durable step outcomes to make replay safe.</w:t>
      </w:r>
      <w:r>
        <w:t xml:space="preserve"> </w:t>
      </w:r>
      <w:hyperlink r:id="rId68">
        <w:r>
          <w:rPr>
            <w:rStyle w:val="Hyperlink"/>
          </w:rPr>
          <w:t xml:space="preserve">[76]</w:t>
        </w:r>
      </w:hyperlink>
    </w:p>
    <w:p>
      <w:pPr>
        <w:pStyle w:val="Compact"/>
        <w:numPr>
          <w:ilvl w:val="0"/>
          <w:numId w:val="1018"/>
        </w:numPr>
      </w:pPr>
      <w:r>
        <w:rPr>
          <w:b/>
          <w:bCs/>
        </w:rPr>
        <w:t xml:space="preserve">Typed actions over free text</w:t>
      </w:r>
      <w:r>
        <w:t xml:space="preserve">: require structured tool calls and results with schemas and validation.</w:t>
      </w:r>
      <w:r>
        <w:t xml:space="preserve"> </w:t>
      </w:r>
      <w:hyperlink r:id="rId24">
        <w:r>
          <w:rPr>
            <w:rStyle w:val="Hyperlink"/>
          </w:rPr>
          <w:t xml:space="preserve">[119]</w:t>
        </w:r>
      </w:hyperlink>
    </w:p>
    <w:p>
      <w:pPr>
        <w:pStyle w:val="Compact"/>
        <w:numPr>
          <w:ilvl w:val="0"/>
          <w:numId w:val="1018"/>
        </w:numPr>
      </w:pPr>
      <w:r>
        <w:rPr>
          <w:b/>
          <w:bCs/>
        </w:rPr>
        <w:t xml:space="preserve">Least privilege by default</w:t>
      </w:r>
      <w:r>
        <w:t xml:space="preserve">: constrain tool access and data exposure; treat “excessive agency” as a predictable failure mode.</w:t>
      </w:r>
      <w:r>
        <w:t xml:space="preserve"> </w:t>
      </w:r>
      <w:hyperlink r:id="rId26">
        <w:r>
          <w:rPr>
            <w:rStyle w:val="Hyperlink"/>
          </w:rPr>
          <w:t xml:space="preserve">[25]</w:t>
        </w:r>
      </w:hyperlink>
    </w:p>
    <w:p>
      <w:pPr>
        <w:pStyle w:val="Compact"/>
        <w:numPr>
          <w:ilvl w:val="0"/>
          <w:numId w:val="1018"/>
        </w:numPr>
      </w:pPr>
      <w:r>
        <w:rPr>
          <w:b/>
          <w:bCs/>
        </w:rPr>
        <w:t xml:space="preserve">Evidence is not memory</w:t>
      </w:r>
      <w:r>
        <w:t xml:space="preserve">: treat evidence as governed artifacts with provenance, not as mutable prompt context.</w:t>
      </w:r>
      <w:r>
        <w:t xml:space="preserve"> </w:t>
      </w:r>
      <w:hyperlink r:id="rId33">
        <w:r>
          <w:rPr>
            <w:rStyle w:val="Hyperlink"/>
          </w:rPr>
          <w:t xml:space="preserve">[120]</w:t>
        </w:r>
      </w:hyperlink>
    </w:p>
    <w:p>
      <w:pPr>
        <w:pStyle w:val="Compact"/>
        <w:numPr>
          <w:ilvl w:val="0"/>
          <w:numId w:val="1018"/>
        </w:numPr>
      </w:pPr>
      <w:r>
        <w:rPr>
          <w:b/>
          <w:bCs/>
        </w:rPr>
        <w:t xml:space="preserve">Interoperability via layers</w:t>
      </w:r>
      <w:r>
        <w:t xml:space="preserve">: keep core stable; map MCP/A2A/provider APIs via tiers/profiles.</w:t>
      </w:r>
      <w:r>
        <w:t xml:space="preserve"> </w:t>
      </w:r>
      <w:hyperlink r:id="rId28">
        <w:r>
          <w:rPr>
            <w:rStyle w:val="Hyperlink"/>
          </w:rPr>
          <w:t xml:space="preserve">[121]</w:t>
        </w:r>
      </w:hyperlink>
    </w:p>
    <w:p>
      <w:pPr>
        <w:pStyle w:val="Compact"/>
        <w:numPr>
          <w:ilvl w:val="0"/>
          <w:numId w:val="1018"/>
        </w:numPr>
      </w:pPr>
      <w:r>
        <w:rPr>
          <w:b/>
          <w:bCs/>
        </w:rPr>
        <w:t xml:space="preserve">Audit as a product feature</w:t>
      </w:r>
      <w:r>
        <w:t xml:space="preserve">: design audit/provenance objects from the start; don’t bolt on logs later.</w:t>
      </w:r>
      <w:r>
        <w:t xml:space="preserve"> </w:t>
      </w:r>
      <w:hyperlink r:id="rId22">
        <w:r>
          <w:rPr>
            <w:rStyle w:val="Hyperlink"/>
          </w:rPr>
          <w:t xml:space="preserve">[122]</w:t>
        </w:r>
      </w:hyperlink>
    </w:p>
    <w:p>
      <w:pPr>
        <w:pStyle w:val="Compact"/>
        <w:numPr>
          <w:ilvl w:val="0"/>
          <w:numId w:val="1018"/>
        </w:numPr>
      </w:pPr>
      <w:r>
        <w:rPr>
          <w:b/>
          <w:bCs/>
        </w:rPr>
        <w:t xml:space="preserve">Safety boundaries are explicit</w:t>
      </w:r>
      <w:r>
        <w:t xml:space="preserve">: label untrusted content; enforce policy before tool execution.</w:t>
      </w:r>
      <w:r>
        <w:t xml:space="preserve"> </w:t>
      </w:r>
      <w:hyperlink r:id="rId74">
        <w:r>
          <w:rPr>
            <w:rStyle w:val="Hyperlink"/>
          </w:rPr>
          <w:t xml:space="preserve">[113]</w:t>
        </w:r>
      </w:hyperlink>
    </w:p>
    <w:p>
      <w:pPr>
        <w:pStyle w:val="Compact"/>
        <w:numPr>
          <w:ilvl w:val="0"/>
          <w:numId w:val="1018"/>
        </w:numPr>
      </w:pPr>
      <w:r>
        <w:rPr>
          <w:b/>
          <w:bCs/>
        </w:rPr>
        <w:t xml:space="preserve">Conformance is mandatory</w:t>
      </w:r>
      <w:r>
        <w:t xml:space="preserve">: define fixtures for replay, approvals, idempotency, and adversarial inputs.</w:t>
      </w:r>
      <w:r>
        <w:t xml:space="preserve"> </w:t>
      </w:r>
      <w:hyperlink r:id="rId96">
        <w:r>
          <w:rPr>
            <w:rStyle w:val="Hyperlink"/>
          </w:rPr>
          <w:t xml:space="preserve">[123]</w:t>
        </w:r>
      </w:hyperlink>
    </w:p>
    <w:bookmarkEnd w:id="97"/>
    <w:bookmarkStart w:id="98" w:name="X01eb7866d6dce491d7d1cecd6f6564cf208f33c"/>
    <w:p>
      <w:pPr>
        <w:pStyle w:val="Heading3"/>
      </w:pPr>
      <w:r>
        <w:t xml:space="preserve">Underserved capabilities in current ecosystems</w:t>
      </w:r>
    </w:p>
    <w:p>
      <w:pPr>
        <w:pStyle w:val="Compact"/>
        <w:numPr>
          <w:ilvl w:val="0"/>
          <w:numId w:val="1019"/>
        </w:numPr>
      </w:pPr>
      <w:r>
        <w:rPr>
          <w:b/>
          <w:bCs/>
        </w:rPr>
        <w:t xml:space="preserve">Standard authority modes and transfer-of-control semantics</w:t>
      </w:r>
      <w:r>
        <w:t xml:space="preserve"> </w:t>
      </w:r>
      <w:r>
        <w:t xml:space="preserve">across agent systems.</w:t>
      </w:r>
      <w:r>
        <w:t xml:space="preserve"> </w:t>
      </w:r>
      <w:hyperlink r:id="rId35">
        <w:r>
          <w:rPr>
            <w:rStyle w:val="Hyperlink"/>
          </w:rPr>
          <w:t xml:space="preserve">[124]</w:t>
        </w:r>
      </w:hyperlink>
    </w:p>
    <w:p>
      <w:pPr>
        <w:pStyle w:val="Compact"/>
        <w:numPr>
          <w:ilvl w:val="0"/>
          <w:numId w:val="1019"/>
        </w:numPr>
      </w:pPr>
      <w:r>
        <w:rPr>
          <w:b/>
          <w:bCs/>
        </w:rPr>
        <w:t xml:space="preserve">Replay-safe agent steps with explicit “reuse vs re-run” semantics</w:t>
      </w:r>
      <w:r>
        <w:t xml:space="preserve">.</w:t>
      </w:r>
      <w:r>
        <w:t xml:space="preserve"> </w:t>
      </w:r>
      <w:hyperlink r:id="rId68">
        <w:r>
          <w:rPr>
            <w:rStyle w:val="Hyperlink"/>
          </w:rPr>
          <w:t xml:space="preserve">[76]</w:t>
        </w:r>
      </w:hyperlink>
    </w:p>
    <w:p>
      <w:pPr>
        <w:pStyle w:val="Compact"/>
        <w:numPr>
          <w:ilvl w:val="0"/>
          <w:numId w:val="1019"/>
        </w:numPr>
      </w:pPr>
      <w:r>
        <w:rPr>
          <w:b/>
          <w:bCs/>
        </w:rPr>
        <w:t xml:space="preserve">Portable, schema-first tool contracts beyond HTTP APIs</w:t>
      </w:r>
      <w:r>
        <w:t xml:space="preserve"> </w:t>
      </w:r>
      <w:r>
        <w:t xml:space="preserve">(affordance-style descriptors).</w:t>
      </w:r>
      <w:r>
        <w:t xml:space="preserve"> </w:t>
      </w:r>
      <w:hyperlink r:id="rId42">
        <w:r>
          <w:rPr>
            <w:rStyle w:val="Hyperlink"/>
          </w:rPr>
          <w:t xml:space="preserve">[108]</w:t>
        </w:r>
      </w:hyperlink>
    </w:p>
    <w:p>
      <w:pPr>
        <w:pStyle w:val="Compact"/>
        <w:numPr>
          <w:ilvl w:val="0"/>
          <w:numId w:val="1019"/>
        </w:numPr>
      </w:pPr>
      <w:r>
        <w:rPr>
          <w:b/>
          <w:bCs/>
        </w:rPr>
        <w:t xml:space="preserve">Evidence trust labeling and anti-injection boundaries</w:t>
      </w:r>
      <w:r>
        <w:t xml:space="preserve"> </w:t>
      </w:r>
      <w:r>
        <w:t xml:space="preserve">fit for casework intake.</w:t>
      </w:r>
      <w:r>
        <w:t xml:space="preserve"> </w:t>
      </w:r>
      <w:hyperlink r:id="rId74">
        <w:r>
          <w:rPr>
            <w:rStyle w:val="Hyperlink"/>
          </w:rPr>
          <w:t xml:space="preserve">[95]</w:t>
        </w:r>
      </w:hyperlink>
    </w:p>
    <w:p>
      <w:pPr>
        <w:pStyle w:val="Compact"/>
        <w:numPr>
          <w:ilvl w:val="0"/>
          <w:numId w:val="1019"/>
        </w:numPr>
      </w:pPr>
      <w:r>
        <w:rPr>
          <w:b/>
          <w:bCs/>
        </w:rPr>
        <w:t xml:space="preserve">Override semantics with durable rationale and accountability</w:t>
      </w:r>
      <w:r>
        <w:t xml:space="preserve">.</w:t>
      </w:r>
      <w:r>
        <w:t xml:space="preserve"> </w:t>
      </w:r>
      <w:hyperlink r:id="rId33">
        <w:r>
          <w:rPr>
            <w:rStyle w:val="Hyperlink"/>
          </w:rPr>
          <w:t xml:space="preserve">[93]</w:t>
        </w:r>
      </w:hyperlink>
    </w:p>
    <w:p>
      <w:pPr>
        <w:pStyle w:val="Compact"/>
        <w:numPr>
          <w:ilvl w:val="0"/>
          <w:numId w:val="1019"/>
        </w:numPr>
      </w:pPr>
      <w:r>
        <w:rPr>
          <w:b/>
          <w:bCs/>
        </w:rPr>
        <w:t xml:space="preserve">Cross-agent accountability chains</w:t>
      </w:r>
      <w:r>
        <w:t xml:space="preserve"> </w:t>
      </w:r>
      <w:r>
        <w:t xml:space="preserve">(delegation + responsibility) that survive vendor boundaries.</w:t>
      </w:r>
      <w:r>
        <w:t xml:space="preserve"> </w:t>
      </w:r>
      <w:hyperlink r:id="rId30">
        <w:r>
          <w:rPr>
            <w:rStyle w:val="Hyperlink"/>
          </w:rPr>
          <w:t xml:space="preserve">[125]</w:t>
        </w:r>
      </w:hyperlink>
    </w:p>
    <w:p>
      <w:pPr>
        <w:pStyle w:val="Compact"/>
        <w:numPr>
          <w:ilvl w:val="0"/>
          <w:numId w:val="1019"/>
        </w:numPr>
      </w:pPr>
      <w:r>
        <w:rPr>
          <w:b/>
          <w:bCs/>
        </w:rPr>
        <w:t xml:space="preserve">Agent conformance suites</w:t>
      </w:r>
      <w:r>
        <w:t xml:space="preserve"> </w:t>
      </w:r>
      <w:r>
        <w:t xml:space="preserve">that test governance behavior, not just task completion.</w:t>
      </w:r>
      <w:r>
        <w:t xml:space="preserve"> </w:t>
      </w:r>
      <w:hyperlink r:id="rId82">
        <w:r>
          <w:rPr>
            <w:rStyle w:val="Hyperlink"/>
          </w:rPr>
          <w:t xml:space="preserve">[126]</w:t>
        </w:r>
      </w:hyperlink>
    </w:p>
    <w:p>
      <w:pPr>
        <w:pStyle w:val="Compact"/>
        <w:numPr>
          <w:ilvl w:val="0"/>
          <w:numId w:val="1019"/>
        </w:numPr>
      </w:pPr>
      <w:r>
        <w:rPr>
          <w:b/>
          <w:bCs/>
        </w:rPr>
        <w:t xml:space="preserve">Cryptographically verifiable audit profiles</w:t>
      </w:r>
      <w:r>
        <w:t xml:space="preserve"> </w:t>
      </w:r>
      <w:r>
        <w:t xml:space="preserve">that are practical to deploy selectively.</w:t>
      </w:r>
      <w:r>
        <w:t xml:space="preserve"> </w:t>
      </w:r>
      <w:hyperlink r:id="rId36">
        <w:r>
          <w:rPr>
            <w:rStyle w:val="Hyperlink"/>
          </w:rPr>
          <w:t xml:space="preserve">[105]</w:t>
        </w:r>
      </w:hyperlink>
    </w:p>
    <w:p>
      <w:pPr>
        <w:pStyle w:val="Compact"/>
        <w:numPr>
          <w:ilvl w:val="0"/>
          <w:numId w:val="1019"/>
        </w:numPr>
      </w:pPr>
      <w:r>
        <w:rPr>
          <w:b/>
          <w:bCs/>
        </w:rPr>
        <w:t xml:space="preserve">Stable telemetry semantics for agentic systems</w:t>
      </w:r>
      <w:r>
        <w:t xml:space="preserve"> </w:t>
      </w:r>
      <w:r>
        <w:t xml:space="preserve">(OTel GenAI is promising but immature).</w:t>
      </w:r>
      <w:r>
        <w:t xml:space="preserve"> </w:t>
      </w:r>
      <w:hyperlink r:id="rId25">
        <w:r>
          <w:rPr>
            <w:rStyle w:val="Hyperlink"/>
          </w:rPr>
          <w:t xml:space="preserve">[16]</w:t>
        </w:r>
      </w:hyperlink>
    </w:p>
    <w:p>
      <w:pPr>
        <w:pStyle w:val="Compact"/>
        <w:numPr>
          <w:ilvl w:val="0"/>
          <w:numId w:val="1019"/>
        </w:numPr>
      </w:pPr>
      <w:r>
        <w:rPr>
          <w:b/>
          <w:bCs/>
        </w:rPr>
        <w:t xml:space="preserve">Policy/process separation for agent actions</w:t>
      </w:r>
      <w:r>
        <w:t xml:space="preserve"> </w:t>
      </w:r>
      <w:r>
        <w:t xml:space="preserve">that remains explainable and testable under change.</w:t>
      </w:r>
      <w:r>
        <w:t xml:space="preserve"> </w:t>
      </w:r>
      <w:hyperlink r:id="rId27">
        <w:r>
          <w:rPr>
            <w:rStyle w:val="Hyperlink"/>
          </w:rPr>
          <w:t xml:space="preserve">[127]</w:t>
        </w:r>
      </w:hyperlink>
    </w:p>
    <w:bookmarkEnd w:id="98"/>
    <w:bookmarkStart w:id="100" w:name="traps-to-avoid-in-standard-design"/>
    <w:p>
      <w:pPr>
        <w:pStyle w:val="Heading3"/>
      </w:pPr>
      <w:r>
        <w:t xml:space="preserve">Traps to avoid in standard design</w:t>
      </w:r>
    </w:p>
    <w:p>
      <w:pPr>
        <w:pStyle w:val="Compact"/>
        <w:numPr>
          <w:ilvl w:val="0"/>
          <w:numId w:val="1020"/>
        </w:numPr>
      </w:pPr>
      <w:r>
        <w:rPr>
          <w:b/>
          <w:bCs/>
        </w:rPr>
        <w:t xml:space="preserve">Treating agents as “just another service call”</w:t>
      </w:r>
      <w:r>
        <w:t xml:space="preserve"> </w:t>
      </w:r>
      <w:r>
        <w:t xml:space="preserve">without authority, provenance, and replay semantics.</w:t>
      </w:r>
      <w:r>
        <w:t xml:space="preserve"> </w:t>
      </w:r>
      <w:hyperlink r:id="rId68">
        <w:r>
          <w:rPr>
            <w:rStyle w:val="Hyperlink"/>
          </w:rPr>
          <w:t xml:space="preserve">[76]</w:t>
        </w:r>
      </w:hyperlink>
    </w:p>
    <w:p>
      <w:pPr>
        <w:pStyle w:val="Compact"/>
        <w:numPr>
          <w:ilvl w:val="0"/>
          <w:numId w:val="1020"/>
        </w:numPr>
      </w:pPr>
      <w:r>
        <w:rPr>
          <w:b/>
          <w:bCs/>
        </w:rPr>
        <w:t xml:space="preserve">Baking a specific vendor’s API wire format into the core standard</w:t>
      </w:r>
      <w:r>
        <w:t xml:space="preserve">.</w:t>
      </w:r>
      <w:r>
        <w:t xml:space="preserve"> </w:t>
      </w:r>
      <w:hyperlink r:id="rId99">
        <w:r>
          <w:rPr>
            <w:rStyle w:val="Hyperlink"/>
          </w:rPr>
          <w:t xml:space="preserve">[128]</w:t>
        </w:r>
      </w:hyperlink>
    </w:p>
    <w:p>
      <w:pPr>
        <w:pStyle w:val="Compact"/>
        <w:numPr>
          <w:ilvl w:val="0"/>
          <w:numId w:val="1020"/>
        </w:numPr>
      </w:pPr>
      <w:r>
        <w:rPr>
          <w:b/>
          <w:bCs/>
        </w:rPr>
        <w:t xml:space="preserve">Implicit approvals</w:t>
      </w:r>
      <w:r>
        <w:t xml:space="preserve"> </w:t>
      </w:r>
      <w:r>
        <w:t xml:space="preserve">(“user said OK somewhere”) instead of explicit approval artifacts and events.</w:t>
      </w:r>
      <w:r>
        <w:t xml:space="preserve"> </w:t>
      </w:r>
      <w:hyperlink r:id="rId39">
        <w:r>
          <w:rPr>
            <w:rStyle w:val="Hyperlink"/>
          </w:rPr>
          <w:t xml:space="preserve">[129]</w:t>
        </w:r>
      </w:hyperlink>
    </w:p>
    <w:p>
      <w:pPr>
        <w:pStyle w:val="Compact"/>
        <w:numPr>
          <w:ilvl w:val="0"/>
          <w:numId w:val="1020"/>
        </w:numPr>
      </w:pPr>
      <w:r>
        <w:rPr>
          <w:b/>
          <w:bCs/>
        </w:rPr>
        <w:t xml:space="preserve">No idempotency model</w:t>
      </w:r>
      <w:r>
        <w:t xml:space="preserve"> </w:t>
      </w:r>
      <w:r>
        <w:t xml:space="preserve">for tool calls and external side effects.</w:t>
      </w:r>
      <w:r>
        <w:t xml:space="preserve"> </w:t>
      </w:r>
      <w:hyperlink r:id="rId69">
        <w:r>
          <w:rPr>
            <w:rStyle w:val="Hyperlink"/>
          </w:rPr>
          <w:t xml:space="preserve">[130]</w:t>
        </w:r>
      </w:hyperlink>
    </w:p>
    <w:p>
      <w:pPr>
        <w:pStyle w:val="Compact"/>
        <w:numPr>
          <w:ilvl w:val="0"/>
          <w:numId w:val="1020"/>
        </w:numPr>
      </w:pPr>
      <w:r>
        <w:rPr>
          <w:b/>
          <w:bCs/>
        </w:rPr>
        <w:t xml:space="preserve">Ignoring indirect prompt injection</w:t>
      </w:r>
      <w:r>
        <w:t xml:space="preserve"> </w:t>
      </w:r>
      <w:r>
        <w:t xml:space="preserve">because “we’ll sanitize later.” You won’t.</w:t>
      </w:r>
      <w:r>
        <w:t xml:space="preserve"> </w:t>
      </w:r>
      <w:hyperlink r:id="rId74">
        <w:r>
          <w:rPr>
            <w:rStyle w:val="Hyperlink"/>
          </w:rPr>
          <w:t xml:space="preserve">[113]</w:t>
        </w:r>
      </w:hyperlink>
    </w:p>
    <w:p>
      <w:pPr>
        <w:pStyle w:val="Compact"/>
        <w:numPr>
          <w:ilvl w:val="0"/>
          <w:numId w:val="1020"/>
        </w:numPr>
      </w:pPr>
      <w:r>
        <w:rPr>
          <w:b/>
          <w:bCs/>
        </w:rPr>
        <w:t xml:space="preserve">Letting agent memory become an ungoverned evidence store</w:t>
      </w:r>
      <w:r>
        <w:t xml:space="preserve"> </w:t>
      </w:r>
      <w:r>
        <w:t xml:space="preserve">(privacy + poisoning + drift).</w:t>
      </w:r>
      <w:r>
        <w:t xml:space="preserve"> </w:t>
      </w:r>
      <w:hyperlink r:id="rId74">
        <w:r>
          <w:rPr>
            <w:rStyle w:val="Hyperlink"/>
          </w:rPr>
          <w:t xml:space="preserve">[131]</w:t>
        </w:r>
      </w:hyperlink>
    </w:p>
    <w:p>
      <w:pPr>
        <w:pStyle w:val="Compact"/>
        <w:numPr>
          <w:ilvl w:val="0"/>
          <w:numId w:val="1020"/>
        </w:numPr>
      </w:pPr>
      <w:r>
        <w:rPr>
          <w:b/>
          <w:bCs/>
        </w:rPr>
        <w:t xml:space="preserve">Conflating observability with audit</w:t>
      </w:r>
      <w:r>
        <w:t xml:space="preserve"> </w:t>
      </w:r>
      <w:r>
        <w:t xml:space="preserve">(traces are not sufficient for regulated audit trails).</w:t>
      </w:r>
      <w:r>
        <w:t xml:space="preserve"> </w:t>
      </w:r>
      <w:hyperlink r:id="rId25">
        <w:r>
          <w:rPr>
            <w:rStyle w:val="Hyperlink"/>
          </w:rPr>
          <w:t xml:space="preserve">[132]</w:t>
        </w:r>
      </w:hyperlink>
    </w:p>
    <w:p>
      <w:pPr>
        <w:pStyle w:val="Compact"/>
        <w:numPr>
          <w:ilvl w:val="0"/>
          <w:numId w:val="1020"/>
        </w:numPr>
      </w:pPr>
      <w:r>
        <w:rPr>
          <w:b/>
          <w:bCs/>
        </w:rPr>
        <w:t xml:space="preserve">Over-standardizing cognition</w:t>
      </w:r>
      <w:r>
        <w:t xml:space="preserve"> </w:t>
      </w:r>
      <w:r>
        <w:t xml:space="preserve">(prompt formats, internal reasoning) instead of standardizing interfaces and artifacts.</w:t>
      </w:r>
      <w:r>
        <w:t xml:space="preserve"> </w:t>
      </w:r>
      <w:hyperlink r:id="rId99">
        <w:r>
          <w:rPr>
            <w:rStyle w:val="Hyperlink"/>
          </w:rPr>
          <w:t xml:space="preserve">[133]</w:t>
        </w:r>
      </w:hyperlink>
    </w:p>
    <w:p>
      <w:pPr>
        <w:pStyle w:val="Compact"/>
        <w:numPr>
          <w:ilvl w:val="0"/>
          <w:numId w:val="1020"/>
        </w:numPr>
      </w:pPr>
      <w:r>
        <w:rPr>
          <w:b/>
          <w:bCs/>
        </w:rPr>
        <w:t xml:space="preserve">Assuming benchmarks imply safety</w:t>
      </w:r>
      <w:r>
        <w:t xml:space="preserve">; task success ≠ governed behavior.</w:t>
      </w:r>
      <w:r>
        <w:t xml:space="preserve"> </w:t>
      </w:r>
      <w:hyperlink r:id="rId82">
        <w:r>
          <w:rPr>
            <w:rStyle w:val="Hyperlink"/>
          </w:rPr>
          <w:t xml:space="preserve">[134]</w:t>
        </w:r>
      </w:hyperlink>
    </w:p>
    <w:p>
      <w:pPr>
        <w:pStyle w:val="Compact"/>
        <w:numPr>
          <w:ilvl w:val="0"/>
          <w:numId w:val="1020"/>
        </w:numPr>
      </w:pPr>
      <w:r>
        <w:rPr>
          <w:b/>
          <w:bCs/>
        </w:rPr>
        <w:t xml:space="preserve">No story for versioning</w:t>
      </w:r>
      <w:r>
        <w:t xml:space="preserve"> </w:t>
      </w:r>
      <w:r>
        <w:t xml:space="preserve">(models, policies, workflows) over multi-year cases.</w:t>
      </w:r>
      <w:r>
        <w:t xml:space="preserve"> </w:t>
      </w:r>
      <w:hyperlink r:id="rId87">
        <w:r>
          <w:rPr>
            <w:rStyle w:val="Hyperlink"/>
          </w:rPr>
          <w:t xml:space="preserve">[135]</w:t>
        </w:r>
      </w:hyperlink>
    </w:p>
    <w:bookmarkEnd w:id="100"/>
    <w:bookmarkStart w:id="102" w:name="key-papersspecs-to-study"/>
    <w:p>
      <w:pPr>
        <w:pStyle w:val="Heading3"/>
      </w:pPr>
      <w:r>
        <w:t xml:space="preserve">Key papers/specs to study</w:t>
      </w:r>
    </w:p>
    <w:p>
      <w:pPr>
        <w:pStyle w:val="Compact"/>
        <w:numPr>
          <w:ilvl w:val="0"/>
          <w:numId w:val="1021"/>
        </w:numPr>
      </w:pPr>
      <w:r>
        <w:t xml:space="preserve">MCP lifecycle + capability negotiation (spec)</w:t>
      </w:r>
      <w:r>
        <w:t xml:space="preserve"> </w:t>
      </w:r>
      <w:hyperlink r:id="rId28">
        <w:r>
          <w:rPr>
            <w:rStyle w:val="Hyperlink"/>
          </w:rPr>
          <w:t xml:space="preserve">[103]</w:t>
        </w:r>
      </w:hyperlink>
    </w:p>
    <w:p>
      <w:pPr>
        <w:pStyle w:val="Compact"/>
        <w:numPr>
          <w:ilvl w:val="0"/>
          <w:numId w:val="1021"/>
        </w:numPr>
      </w:pPr>
      <w:r>
        <w:t xml:space="preserve">A2A AgentCard + Task/Message model + task immutability</w:t>
      </w:r>
      <w:r>
        <w:t xml:space="preserve"> </w:t>
      </w:r>
      <w:hyperlink r:id="rId30">
        <w:r>
          <w:rPr>
            <w:rStyle w:val="Hyperlink"/>
          </w:rPr>
          <w:t xml:space="preserve">[12]</w:t>
        </w:r>
      </w:hyperlink>
    </w:p>
    <w:p>
      <w:pPr>
        <w:pStyle w:val="Compact"/>
        <w:numPr>
          <w:ilvl w:val="0"/>
          <w:numId w:val="1021"/>
        </w:numPr>
      </w:pPr>
      <w:r>
        <w:t xml:space="preserve">OpenAI tool/function calling + structured outputs (for pragmatic contracts)</w:t>
      </w:r>
      <w:r>
        <w:t xml:space="preserve"> </w:t>
      </w:r>
      <w:hyperlink r:id="rId24">
        <w:r>
          <w:rPr>
            <w:rStyle w:val="Hyperlink"/>
          </w:rPr>
          <w:t xml:space="preserve">[136]</w:t>
        </w:r>
      </w:hyperlink>
    </w:p>
    <w:p>
      <w:pPr>
        <w:pStyle w:val="Compact"/>
        <w:numPr>
          <w:ilvl w:val="0"/>
          <w:numId w:val="1021"/>
        </w:numPr>
      </w:pPr>
      <w:r>
        <w:t xml:space="preserve">OpenTelemetry GenAI semantic conventions (agent spans)</w:t>
      </w:r>
      <w:r>
        <w:t xml:space="preserve"> </w:t>
      </w:r>
      <w:hyperlink r:id="rId25">
        <w:r>
          <w:rPr>
            <w:rStyle w:val="Hyperlink"/>
          </w:rPr>
          <w:t xml:space="preserve">[92]</w:t>
        </w:r>
      </w:hyperlink>
    </w:p>
    <w:p>
      <w:pPr>
        <w:pStyle w:val="Compact"/>
        <w:numPr>
          <w:ilvl w:val="0"/>
          <w:numId w:val="1021"/>
        </w:numPr>
      </w:pPr>
      <w:r>
        <w:t xml:space="preserve">Temporal event history / durable execution model</w:t>
      </w:r>
      <w:r>
        <w:t xml:space="preserve"> </w:t>
      </w:r>
      <w:hyperlink r:id="rId22">
        <w:r>
          <w:rPr>
            <w:rStyle w:val="Hyperlink"/>
          </w:rPr>
          <w:t xml:space="preserve">[73]</w:t>
        </w:r>
      </w:hyperlink>
    </w:p>
    <w:p>
      <w:pPr>
        <w:pStyle w:val="Compact"/>
        <w:numPr>
          <w:ilvl w:val="0"/>
          <w:numId w:val="1021"/>
        </w:numPr>
      </w:pPr>
      <w:r>
        <w:t xml:space="preserve">Durable Functions “Semantics for Stateful Serverless” + determinism constraints</w:t>
      </w:r>
      <w:r>
        <w:t xml:space="preserve"> </w:t>
      </w:r>
      <w:hyperlink r:id="rId101">
        <w:r>
          <w:rPr>
            <w:rStyle w:val="Hyperlink"/>
          </w:rPr>
          <w:t xml:space="preserve">[137]</w:t>
        </w:r>
      </w:hyperlink>
    </w:p>
    <w:p>
      <w:pPr>
        <w:pStyle w:val="Compact"/>
        <w:numPr>
          <w:ilvl w:val="0"/>
          <w:numId w:val="1021"/>
        </w:numPr>
      </w:pPr>
      <w:r>
        <w:t xml:space="preserve">PROV-DM (W3C provenance model)</w:t>
      </w:r>
      <w:r>
        <w:t xml:space="preserve"> </w:t>
      </w:r>
      <w:hyperlink r:id="rId33">
        <w:r>
          <w:rPr>
            <w:rStyle w:val="Hyperlink"/>
          </w:rPr>
          <w:t xml:space="preserve">[18]</w:t>
        </w:r>
      </w:hyperlink>
    </w:p>
    <w:p>
      <w:pPr>
        <w:pStyle w:val="Compact"/>
        <w:numPr>
          <w:ilvl w:val="0"/>
          <w:numId w:val="1021"/>
        </w:numPr>
      </w:pPr>
      <w:r>
        <w:t xml:space="preserve">OWASP Top 10 for LLM Applications (security failure modes)</w:t>
      </w:r>
      <w:r>
        <w:t xml:space="preserve"> </w:t>
      </w:r>
      <w:hyperlink r:id="rId26">
        <w:r>
          <w:rPr>
            <w:rStyle w:val="Hyperlink"/>
          </w:rPr>
          <w:t xml:space="preserve">[25]</w:t>
        </w:r>
      </w:hyperlink>
    </w:p>
    <w:p>
      <w:pPr>
        <w:pStyle w:val="Compact"/>
        <w:numPr>
          <w:ilvl w:val="0"/>
          <w:numId w:val="1021"/>
        </w:numPr>
      </w:pPr>
      <w:r>
        <w:t xml:space="preserve">Indirect prompt injection attack taxonomy paper</w:t>
      </w:r>
      <w:r>
        <w:t xml:space="preserve"> </w:t>
      </w:r>
      <w:hyperlink r:id="rId74">
        <w:r>
          <w:rPr>
            <w:rStyle w:val="Hyperlink"/>
          </w:rPr>
          <w:t xml:space="preserve">[138]</w:t>
        </w:r>
      </w:hyperlink>
    </w:p>
    <w:p>
      <w:pPr>
        <w:pStyle w:val="Compact"/>
        <w:numPr>
          <w:ilvl w:val="0"/>
          <w:numId w:val="1021"/>
        </w:numPr>
      </w:pPr>
      <w:r>
        <w:t xml:space="preserve">ReAct (Reason+Act) as a blueprint for action trace legibility</w:t>
      </w:r>
      <w:r>
        <w:t xml:space="preserve"> </w:t>
      </w:r>
      <w:hyperlink r:id="rId50">
        <w:r>
          <w:rPr>
            <w:rStyle w:val="Hyperlink"/>
          </w:rPr>
          <w:t xml:space="preserve">[53]</w:t>
        </w:r>
      </w:hyperlink>
    </w:p>
    <w:bookmarkEnd w:id="102"/>
    <w:bookmarkEnd w:id="103"/>
    <w:bookmarkEnd w:id="104"/>
    <w:bookmarkEnd w:id="105"/>
    <w:p>
      <w:r>
        <w:pict>
          <v:rect style="width:0;height:1.5pt" o:hralign="center" o:hrstd="t" o:hr="t"/>
        </w:pict>
      </w:r>
    </w:p>
    <w:bookmarkStart w:id="106"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[10]</w:t>
        </w:r>
      </w:hyperlink>
      <w:r>
        <w:t xml:space="preserve"> </w:t>
      </w:r>
      <w:hyperlink r:id="rId21">
        <w:r>
          <w:rPr>
            <w:rStyle w:val="Hyperlink"/>
          </w:rPr>
          <w:t xml:space="preserve">[42]</w:t>
        </w:r>
      </w:hyperlink>
      <w:r>
        <w:t xml:space="preserve"> </w:t>
      </w:r>
      <w:r>
        <w:t xml:space="preserve">https://modelcontextprotocol.io/specification/2025-06-18/basic</w:t>
      </w:r>
    </w:p>
    <w:p>
      <w:pPr>
        <w:pStyle w:val="BodyText"/>
      </w:pPr>
      <w:hyperlink r:id="rId21">
        <w:r>
          <w:rPr>
            <w:rStyle w:val="Hyperlink"/>
          </w:rPr>
          <w:t xml:space="preserve">https://modelcontextprotocol.io/specification/2025-06-18/basic</w:t>
        </w:r>
      </w:hyperlink>
    </w:p>
    <w:p>
      <w:pPr>
        <w:pStyle w:val="BodyText"/>
      </w:pPr>
      <w:hyperlink r:id="rId22">
        <w:r>
          <w:rPr>
            <w:rStyle w:val="Hyperlink"/>
          </w:rPr>
          <w:t xml:space="preserve">[2]</w:t>
        </w:r>
      </w:hyperlink>
      <w:r>
        <w:t xml:space="preserve"> </w:t>
      </w:r>
      <w:hyperlink r:id="rId22">
        <w:r>
          <w:rPr>
            <w:rStyle w:val="Hyperlink"/>
          </w:rPr>
          <w:t xml:space="preserve">[73]</w:t>
        </w:r>
      </w:hyperlink>
      <w:r>
        <w:t xml:space="preserve"> </w:t>
      </w:r>
      <w:hyperlink r:id="rId22">
        <w:r>
          <w:rPr>
            <w:rStyle w:val="Hyperlink"/>
          </w:rPr>
          <w:t xml:space="preserve">[77]</w:t>
        </w:r>
      </w:hyperlink>
      <w:r>
        <w:t xml:space="preserve"> </w:t>
      </w:r>
      <w:hyperlink r:id="rId22">
        <w:r>
          <w:rPr>
            <w:rStyle w:val="Hyperlink"/>
          </w:rPr>
          <w:t xml:space="preserve">[78]</w:t>
        </w:r>
      </w:hyperlink>
      <w:r>
        <w:t xml:space="preserve"> </w:t>
      </w:r>
      <w:hyperlink r:id="rId22">
        <w:r>
          <w:rPr>
            <w:rStyle w:val="Hyperlink"/>
          </w:rPr>
          <w:t xml:space="preserve">[122]</w:t>
        </w:r>
      </w:hyperlink>
      <w:r>
        <w:t xml:space="preserve"> </w:t>
      </w:r>
      <w:r>
        <w:t xml:space="preserve">https://docs.temporal.io/workflow-execution/event</w:t>
      </w:r>
    </w:p>
    <w:p>
      <w:pPr>
        <w:pStyle w:val="BodyText"/>
      </w:pPr>
      <w:hyperlink r:id="rId22">
        <w:r>
          <w:rPr>
            <w:rStyle w:val="Hyperlink"/>
          </w:rPr>
          <w:t xml:space="preserve">https://docs.temporal.io/workflow-execution/event</w:t>
        </w:r>
      </w:hyperlink>
    </w:p>
    <w:p>
      <w:pPr>
        <w:pStyle w:val="BodyText"/>
      </w:pPr>
      <w:hyperlink r:id="rId23">
        <w:r>
          <w:rPr>
            <w:rStyle w:val="Hyperlink"/>
          </w:rPr>
          <w:t xml:space="preserve">[4]</w:t>
        </w:r>
      </w:hyperlink>
      <w:r>
        <w:t xml:space="preserve"> </w:t>
      </w:r>
      <w:hyperlink r:id="rId23">
        <w:r>
          <w:rPr>
            <w:rStyle w:val="Hyperlink"/>
          </w:rPr>
          <w:t xml:space="preserve">[11]</w:t>
        </w:r>
      </w:hyperlink>
      <w:r>
        <w:t xml:space="preserve"> </w:t>
      </w:r>
      <w:hyperlink r:id="rId23">
        <w:r>
          <w:rPr>
            <w:rStyle w:val="Hyperlink"/>
          </w:rPr>
          <w:t xml:space="preserve">[49]</w:t>
        </w:r>
      </w:hyperlink>
      <w:r>
        <w:t xml:space="preserve"> </w:t>
      </w:r>
      <w:hyperlink r:id="rId23">
        <w:r>
          <w:rPr>
            <w:rStyle w:val="Hyperlink"/>
          </w:rPr>
          <w:t xml:space="preserve">[51]</w:t>
        </w:r>
      </w:hyperlink>
      <w:r>
        <w:t xml:space="preserve"> </w:t>
      </w:r>
      <w:r>
        <w:t xml:space="preserve">https://github.com/a2aproject/A2A</w:t>
      </w:r>
    </w:p>
    <w:p>
      <w:pPr>
        <w:pStyle w:val="BodyText"/>
      </w:pPr>
      <w:hyperlink r:id="rId23">
        <w:r>
          <w:rPr>
            <w:rStyle w:val="Hyperlink"/>
          </w:rPr>
          <w:t xml:space="preserve">https://github.com/a2aproject/A2A</w:t>
        </w:r>
      </w:hyperlink>
    </w:p>
    <w:p>
      <w:pPr>
        <w:pStyle w:val="BodyText"/>
      </w:pPr>
      <w:hyperlink r:id="rId24">
        <w:r>
          <w:rPr>
            <w:rStyle w:val="Hyperlink"/>
          </w:rPr>
          <w:t xml:space="preserve">[5]</w:t>
        </w:r>
      </w:hyperlink>
      <w:r>
        <w:t xml:space="preserve"> </w:t>
      </w:r>
      <w:hyperlink r:id="rId24">
        <w:r>
          <w:rPr>
            <w:rStyle w:val="Hyperlink"/>
          </w:rPr>
          <w:t xml:space="preserve">[13]</w:t>
        </w:r>
      </w:hyperlink>
      <w:r>
        <w:t xml:space="preserve"> </w:t>
      </w:r>
      <w:hyperlink r:id="rId24">
        <w:r>
          <w:rPr>
            <w:rStyle w:val="Hyperlink"/>
          </w:rPr>
          <w:t xml:space="preserve">[14]</w:t>
        </w:r>
      </w:hyperlink>
      <w:r>
        <w:t xml:space="preserve"> </w:t>
      </w:r>
      <w:hyperlink r:id="rId24">
        <w:r>
          <w:rPr>
            <w:rStyle w:val="Hyperlink"/>
          </w:rPr>
          <w:t xml:space="preserve">[37]</w:t>
        </w:r>
      </w:hyperlink>
      <w:r>
        <w:t xml:space="preserve"> </w:t>
      </w:r>
      <w:hyperlink r:id="rId24">
        <w:r>
          <w:rPr>
            <w:rStyle w:val="Hyperlink"/>
          </w:rPr>
          <w:t xml:space="preserve">[47]</w:t>
        </w:r>
      </w:hyperlink>
      <w:r>
        <w:t xml:space="preserve"> </w:t>
      </w:r>
      <w:hyperlink r:id="rId24">
        <w:r>
          <w:rPr>
            <w:rStyle w:val="Hyperlink"/>
          </w:rPr>
          <w:t xml:space="preserve">[104]</w:t>
        </w:r>
      </w:hyperlink>
      <w:r>
        <w:t xml:space="preserve"> </w:t>
      </w:r>
      <w:hyperlink r:id="rId24">
        <w:r>
          <w:rPr>
            <w:rStyle w:val="Hyperlink"/>
          </w:rPr>
          <w:t xml:space="preserve">[119]</w:t>
        </w:r>
      </w:hyperlink>
      <w:r>
        <w:t xml:space="preserve"> </w:t>
      </w:r>
      <w:hyperlink r:id="rId24">
        <w:r>
          <w:rPr>
            <w:rStyle w:val="Hyperlink"/>
          </w:rPr>
          <w:t xml:space="preserve">[136]</w:t>
        </w:r>
      </w:hyperlink>
      <w:r>
        <w:t xml:space="preserve"> </w:t>
      </w:r>
      <w:r>
        <w:t xml:space="preserve">https://developers.openai.com/api/docs/guides/function-calling</w:t>
      </w:r>
    </w:p>
    <w:p>
      <w:pPr>
        <w:pStyle w:val="BodyText"/>
      </w:pPr>
      <w:hyperlink r:id="rId24">
        <w:r>
          <w:rPr>
            <w:rStyle w:val="Hyperlink"/>
          </w:rPr>
          <w:t xml:space="preserve">https://developers.openai.com/api/docs/guides/function-calling</w:t>
        </w:r>
      </w:hyperlink>
    </w:p>
    <w:p>
      <w:pPr>
        <w:pStyle w:val="BodyText"/>
      </w:pPr>
      <w:hyperlink r:id="rId25">
        <w:r>
          <w:rPr>
            <w:rStyle w:val="Hyperlink"/>
          </w:rPr>
          <w:t xml:space="preserve">[6]</w:t>
        </w:r>
      </w:hyperlink>
      <w:r>
        <w:t xml:space="preserve"> </w:t>
      </w:r>
      <w:hyperlink r:id="rId25">
        <w:r>
          <w:rPr>
            <w:rStyle w:val="Hyperlink"/>
          </w:rPr>
          <w:t xml:space="preserve">[16]</w:t>
        </w:r>
      </w:hyperlink>
      <w:r>
        <w:t xml:space="preserve"> </w:t>
      </w:r>
      <w:hyperlink r:id="rId25">
        <w:r>
          <w:rPr>
            <w:rStyle w:val="Hyperlink"/>
          </w:rPr>
          <w:t xml:space="preserve">[26]</w:t>
        </w:r>
      </w:hyperlink>
      <w:r>
        <w:t xml:space="preserve"> </w:t>
      </w:r>
      <w:hyperlink r:id="rId25">
        <w:r>
          <w:rPr>
            <w:rStyle w:val="Hyperlink"/>
          </w:rPr>
          <w:t xml:space="preserve">[92]</w:t>
        </w:r>
      </w:hyperlink>
      <w:r>
        <w:t xml:space="preserve"> </w:t>
      </w:r>
      <w:hyperlink r:id="rId25">
        <w:r>
          <w:rPr>
            <w:rStyle w:val="Hyperlink"/>
          </w:rPr>
          <w:t xml:space="preserve">[132]</w:t>
        </w:r>
      </w:hyperlink>
      <w:r>
        <w:t xml:space="preserve"> </w:t>
      </w:r>
      <w:r>
        <w:t xml:space="preserve">https://opentelemetry.io/docs/specs/semconv/gen-ai/gen-ai-agent-spans/</w:t>
      </w:r>
    </w:p>
    <w:p>
      <w:pPr>
        <w:pStyle w:val="BodyText"/>
      </w:pPr>
      <w:hyperlink r:id="rId25">
        <w:r>
          <w:rPr>
            <w:rStyle w:val="Hyperlink"/>
          </w:rPr>
          <w:t xml:space="preserve">https://opentelemetry.io/docs/specs/semconv/gen-ai/gen-ai-agent-spans/</w:t>
        </w:r>
      </w:hyperlink>
    </w:p>
    <w:p>
      <w:pPr>
        <w:pStyle w:val="BodyText"/>
      </w:pPr>
      <w:hyperlink r:id="rId26">
        <w:r>
          <w:rPr>
            <w:rStyle w:val="Hyperlink"/>
          </w:rPr>
          <w:t xml:space="preserve">[7]</w:t>
        </w:r>
      </w:hyperlink>
      <w:r>
        <w:t xml:space="preserve"> </w:t>
      </w:r>
      <w:hyperlink r:id="rId26">
        <w:r>
          <w:rPr>
            <w:rStyle w:val="Hyperlink"/>
          </w:rPr>
          <w:t xml:space="preserve">[25]</w:t>
        </w:r>
      </w:hyperlink>
      <w:r>
        <w:t xml:space="preserve"> </w:t>
      </w:r>
      <w:hyperlink r:id="rId26">
        <w:r>
          <w:rPr>
            <w:rStyle w:val="Hyperlink"/>
          </w:rPr>
          <w:t xml:space="preserve">[52]</w:t>
        </w:r>
      </w:hyperlink>
      <w:r>
        <w:t xml:space="preserve"> </w:t>
      </w:r>
      <w:hyperlink r:id="rId26">
        <w:r>
          <w:rPr>
            <w:rStyle w:val="Hyperlink"/>
          </w:rPr>
          <w:t xml:space="preserve">[80]</w:t>
        </w:r>
      </w:hyperlink>
      <w:r>
        <w:t xml:space="preserve"> </w:t>
      </w:r>
      <w:hyperlink r:id="rId26">
        <w:r>
          <w:rPr>
            <w:rStyle w:val="Hyperlink"/>
          </w:rPr>
          <w:t xml:space="preserve">[106]</w:t>
        </w:r>
      </w:hyperlink>
      <w:r>
        <w:t xml:space="preserve"> </w:t>
      </w:r>
      <w:hyperlink r:id="rId26">
        <w:r>
          <w:rPr>
            <w:rStyle w:val="Hyperlink"/>
          </w:rPr>
          <w:t xml:space="preserve">[111]</w:t>
        </w:r>
      </w:hyperlink>
      <w:r>
        <w:t xml:space="preserve"> </w:t>
      </w:r>
      <w:r>
        <w:t xml:space="preserve">https://owasp.org/www-project-top-10-for-large-language-model-applications/</w:t>
      </w:r>
    </w:p>
    <w:p>
      <w:pPr>
        <w:pStyle w:val="BodyText"/>
      </w:pPr>
      <w:hyperlink r:id="rId26">
        <w:r>
          <w:rPr>
            <w:rStyle w:val="Hyperlink"/>
          </w:rPr>
          <w:t xml:space="preserve">https://owasp.org/www-project-top-10-for-large-language-model-applications/</w:t>
        </w:r>
      </w:hyperlink>
    </w:p>
    <w:p>
      <w:pPr>
        <w:pStyle w:val="BodyText"/>
      </w:pPr>
      <w:hyperlink r:id="rId27">
        <w:r>
          <w:rPr>
            <w:rStyle w:val="Hyperlink"/>
          </w:rPr>
          <w:t xml:space="preserve">[8]</w:t>
        </w:r>
      </w:hyperlink>
      <w:r>
        <w:t xml:space="preserve"> </w:t>
      </w:r>
      <w:hyperlink r:id="rId27">
        <w:r>
          <w:rPr>
            <w:rStyle w:val="Hyperlink"/>
          </w:rPr>
          <w:t xml:space="preserve">[27]</w:t>
        </w:r>
      </w:hyperlink>
      <w:r>
        <w:t xml:space="preserve"> </w:t>
      </w:r>
      <w:hyperlink r:id="rId27">
        <w:r>
          <w:rPr>
            <w:rStyle w:val="Hyperlink"/>
          </w:rPr>
          <w:t xml:space="preserve">[81]</w:t>
        </w:r>
      </w:hyperlink>
      <w:r>
        <w:t xml:space="preserve"> </w:t>
      </w:r>
      <w:hyperlink r:id="rId27">
        <w:r>
          <w:rPr>
            <w:rStyle w:val="Hyperlink"/>
          </w:rPr>
          <w:t xml:space="preserve">[94]</w:t>
        </w:r>
      </w:hyperlink>
      <w:r>
        <w:t xml:space="preserve"> </w:t>
      </w:r>
      <w:hyperlink r:id="rId27">
        <w:r>
          <w:rPr>
            <w:rStyle w:val="Hyperlink"/>
          </w:rPr>
          <w:t xml:space="preserve">[127]</w:t>
        </w:r>
      </w:hyperlink>
      <w:r>
        <w:t xml:space="preserve"> </w:t>
      </w:r>
      <w:r>
        <w:t xml:space="preserve">https://nvlpubs.nist.gov/nistpubs/ai/nist.ai.100-1.pdf</w:t>
      </w:r>
    </w:p>
    <w:p>
      <w:pPr>
        <w:pStyle w:val="BodyText"/>
      </w:pPr>
      <w:hyperlink r:id="rId27">
        <w:r>
          <w:rPr>
            <w:rStyle w:val="Hyperlink"/>
          </w:rPr>
          <w:t xml:space="preserve">https://nvlpubs.nist.gov/nistpubs/ai/nist.ai.100-1.pdf</w:t>
        </w:r>
      </w:hyperlink>
    </w:p>
    <w:p>
      <w:pPr>
        <w:pStyle w:val="BodyText"/>
      </w:pPr>
      <w:hyperlink r:id="rId28">
        <w:r>
          <w:rPr>
            <w:rStyle w:val="Hyperlink"/>
          </w:rPr>
          <w:t xml:space="preserve">[9]</w:t>
        </w:r>
      </w:hyperlink>
      <w:r>
        <w:t xml:space="preserve"> </w:t>
      </w:r>
      <w:hyperlink r:id="rId28">
        <w:r>
          <w:rPr>
            <w:rStyle w:val="Hyperlink"/>
          </w:rPr>
          <w:t xml:space="preserve">[35]</w:t>
        </w:r>
      </w:hyperlink>
      <w:r>
        <w:t xml:space="preserve"> </w:t>
      </w:r>
      <w:hyperlink r:id="rId28">
        <w:r>
          <w:rPr>
            <w:rStyle w:val="Hyperlink"/>
          </w:rPr>
          <w:t xml:space="preserve">[103]</w:t>
        </w:r>
      </w:hyperlink>
      <w:r>
        <w:t xml:space="preserve"> </w:t>
      </w:r>
      <w:hyperlink r:id="rId28">
        <w:r>
          <w:rPr>
            <w:rStyle w:val="Hyperlink"/>
          </w:rPr>
          <w:t xml:space="preserve">[107]</w:t>
        </w:r>
      </w:hyperlink>
      <w:r>
        <w:t xml:space="preserve"> </w:t>
      </w:r>
      <w:hyperlink r:id="rId28">
        <w:r>
          <w:rPr>
            <w:rStyle w:val="Hyperlink"/>
          </w:rPr>
          <w:t xml:space="preserve">[121]</w:t>
        </w:r>
      </w:hyperlink>
      <w:r>
        <w:t xml:space="preserve"> </w:t>
      </w:r>
      <w:r>
        <w:t xml:space="preserve">https://modelcontextprotocol.io/specification/2025-06-18/basic/lifecycle</w:t>
      </w:r>
    </w:p>
    <w:p>
      <w:pPr>
        <w:pStyle w:val="BodyText"/>
      </w:pPr>
      <w:hyperlink r:id="rId28">
        <w:r>
          <w:rPr>
            <w:rStyle w:val="Hyperlink"/>
          </w:rPr>
          <w:t xml:space="preserve">https://modelcontextprotocol.io/specification/2025-06-18/basic/lifecycle</w:t>
        </w:r>
      </w:hyperlink>
    </w:p>
    <w:p>
      <w:pPr>
        <w:pStyle w:val="BodyText"/>
      </w:pPr>
      <w:hyperlink r:id="rId30">
        <w:r>
          <w:rPr>
            <w:rStyle w:val="Hyperlink"/>
          </w:rPr>
          <w:t xml:space="preserve">[12]</w:t>
        </w:r>
      </w:hyperlink>
      <w:r>
        <w:t xml:space="preserve"> </w:t>
      </w:r>
      <w:hyperlink r:id="rId30">
        <w:r>
          <w:rPr>
            <w:rStyle w:val="Hyperlink"/>
          </w:rPr>
          <w:t xml:space="preserve">[24]</w:t>
        </w:r>
      </w:hyperlink>
      <w:r>
        <w:t xml:space="preserve"> </w:t>
      </w:r>
      <w:hyperlink r:id="rId30">
        <w:r>
          <w:rPr>
            <w:rStyle w:val="Hyperlink"/>
          </w:rPr>
          <w:t xml:space="preserve">[36]</w:t>
        </w:r>
      </w:hyperlink>
      <w:r>
        <w:t xml:space="preserve"> </w:t>
      </w:r>
      <w:hyperlink r:id="rId30">
        <w:r>
          <w:rPr>
            <w:rStyle w:val="Hyperlink"/>
          </w:rPr>
          <w:t xml:space="preserve">[38]</w:t>
        </w:r>
      </w:hyperlink>
      <w:r>
        <w:t xml:space="preserve"> </w:t>
      </w:r>
      <w:hyperlink r:id="rId30">
        <w:r>
          <w:rPr>
            <w:rStyle w:val="Hyperlink"/>
          </w:rPr>
          <w:t xml:space="preserve">[45]</w:t>
        </w:r>
      </w:hyperlink>
      <w:r>
        <w:t xml:space="preserve"> </w:t>
      </w:r>
      <w:hyperlink r:id="rId30">
        <w:r>
          <w:rPr>
            <w:rStyle w:val="Hyperlink"/>
          </w:rPr>
          <w:t xml:space="preserve">[116]</w:t>
        </w:r>
      </w:hyperlink>
      <w:r>
        <w:t xml:space="preserve"> </w:t>
      </w:r>
      <w:hyperlink r:id="rId30">
        <w:r>
          <w:rPr>
            <w:rStyle w:val="Hyperlink"/>
          </w:rPr>
          <w:t xml:space="preserve">[125]</w:t>
        </w:r>
      </w:hyperlink>
      <w:r>
        <w:t xml:space="preserve"> </w:t>
      </w:r>
      <w:r>
        <w:t xml:space="preserve">https://agent2agent.info/docs/concepts/agentcard/</w:t>
      </w:r>
    </w:p>
    <w:p>
      <w:pPr>
        <w:pStyle w:val="BodyText"/>
      </w:pPr>
      <w:hyperlink r:id="rId30">
        <w:r>
          <w:rPr>
            <w:rStyle w:val="Hyperlink"/>
          </w:rPr>
          <w:t xml:space="preserve">https://agent2agent.info/docs/concepts/agentcard/</w:t>
        </w:r>
      </w:hyperlink>
    </w:p>
    <w:p>
      <w:pPr>
        <w:pStyle w:val="BodyText"/>
      </w:pPr>
      <w:hyperlink r:id="rId31">
        <w:r>
          <w:rPr>
            <w:rStyle w:val="Hyperlink"/>
          </w:rPr>
          <w:t xml:space="preserve">[15]</w:t>
        </w:r>
      </w:hyperlink>
      <w:r>
        <w:t xml:space="preserve"> </w:t>
      </w:r>
      <w:hyperlink r:id="rId31">
        <w:r>
          <w:rPr>
            <w:rStyle w:val="Hyperlink"/>
          </w:rPr>
          <w:t xml:space="preserve">[44]</w:t>
        </w:r>
      </w:hyperlink>
      <w:r>
        <w:t xml:space="preserve"> </w:t>
      </w:r>
      <w:r>
        <w:t xml:space="preserve">https://opentelemetry.io/docs/specs/semconv/gen-ai/</w:t>
      </w:r>
    </w:p>
    <w:p>
      <w:pPr>
        <w:pStyle w:val="BodyText"/>
      </w:pPr>
      <w:hyperlink r:id="rId31">
        <w:r>
          <w:rPr>
            <w:rStyle w:val="Hyperlink"/>
          </w:rPr>
          <w:t xml:space="preserve">https://opentelemetry.io/docs/specs/semconv/gen-ai/</w:t>
        </w:r>
      </w:hyperlink>
    </w:p>
    <w:p>
      <w:pPr>
        <w:pStyle w:val="BodyText"/>
      </w:pPr>
      <w:hyperlink r:id="rId32">
        <w:r>
          <w:rPr>
            <w:rStyle w:val="Hyperlink"/>
          </w:rPr>
          <w:t xml:space="preserve">[17]</w:t>
        </w:r>
      </w:hyperlink>
      <w:r>
        <w:t xml:space="preserve"> </w:t>
      </w:r>
      <w:hyperlink r:id="rId32">
        <w:r>
          <w:rPr>
            <w:rStyle w:val="Hyperlink"/>
          </w:rPr>
          <w:t xml:space="preserve">[29]</w:t>
        </w:r>
      </w:hyperlink>
      <w:r>
        <w:t xml:space="preserve"> </w:t>
      </w:r>
      <w:hyperlink r:id="rId32">
        <w:r>
          <w:rPr>
            <w:rStyle w:val="Hyperlink"/>
          </w:rPr>
          <w:t xml:space="preserve">[82]</w:t>
        </w:r>
      </w:hyperlink>
      <w:r>
        <w:t xml:space="preserve"> </w:t>
      </w:r>
      <w:r>
        <w:t xml:space="preserve">https://eur-lex.europa.eu/eli/reg/2024/1689/oj/eng</w:t>
      </w:r>
    </w:p>
    <w:p>
      <w:pPr>
        <w:pStyle w:val="BodyText"/>
      </w:pPr>
      <w:hyperlink r:id="rId32">
        <w:r>
          <w:rPr>
            <w:rStyle w:val="Hyperlink"/>
          </w:rPr>
          <w:t xml:space="preserve">https://eur-lex.europa.eu/eli/reg/2024/1689/oj/eng</w:t>
        </w:r>
      </w:hyperlink>
    </w:p>
    <w:p>
      <w:pPr>
        <w:pStyle w:val="BodyText"/>
      </w:pPr>
      <w:hyperlink r:id="rId33">
        <w:r>
          <w:rPr>
            <w:rStyle w:val="Hyperlink"/>
          </w:rPr>
          <w:t xml:space="preserve">[18]</w:t>
        </w:r>
      </w:hyperlink>
      <w:r>
        <w:t xml:space="preserve"> </w:t>
      </w:r>
      <w:hyperlink r:id="rId33">
        <w:r>
          <w:rPr>
            <w:rStyle w:val="Hyperlink"/>
          </w:rPr>
          <w:t xml:space="preserve">[93]</w:t>
        </w:r>
      </w:hyperlink>
      <w:r>
        <w:t xml:space="preserve"> </w:t>
      </w:r>
      <w:hyperlink r:id="rId33">
        <w:r>
          <w:rPr>
            <w:rStyle w:val="Hyperlink"/>
          </w:rPr>
          <w:t xml:space="preserve">[97]</w:t>
        </w:r>
      </w:hyperlink>
      <w:r>
        <w:t xml:space="preserve"> </w:t>
      </w:r>
      <w:hyperlink r:id="rId33">
        <w:r>
          <w:rPr>
            <w:rStyle w:val="Hyperlink"/>
          </w:rPr>
          <w:t xml:space="preserve">[98]</w:t>
        </w:r>
      </w:hyperlink>
      <w:r>
        <w:t xml:space="preserve"> </w:t>
      </w:r>
      <w:hyperlink r:id="rId33">
        <w:r>
          <w:rPr>
            <w:rStyle w:val="Hyperlink"/>
          </w:rPr>
          <w:t xml:space="preserve">[102]</w:t>
        </w:r>
      </w:hyperlink>
      <w:r>
        <w:t xml:space="preserve"> </w:t>
      </w:r>
      <w:hyperlink r:id="rId33">
        <w:r>
          <w:rPr>
            <w:rStyle w:val="Hyperlink"/>
          </w:rPr>
          <w:t xml:space="preserve">[120]</w:t>
        </w:r>
      </w:hyperlink>
      <w:r>
        <w:t xml:space="preserve"> </w:t>
      </w:r>
      <w:r>
        <w:t xml:space="preserve">https://www.w3.org/TR/prov-dm/</w:t>
      </w:r>
    </w:p>
    <w:p>
      <w:pPr>
        <w:pStyle w:val="BodyText"/>
      </w:pPr>
      <w:hyperlink r:id="rId33">
        <w:r>
          <w:rPr>
            <w:rStyle w:val="Hyperlink"/>
          </w:rPr>
          <w:t xml:space="preserve">https://www.w3.org/TR/prov-dm/</w:t>
        </w:r>
      </w:hyperlink>
    </w:p>
    <w:p>
      <w:pPr>
        <w:pStyle w:val="BodyText"/>
      </w:pPr>
      <w:hyperlink r:id="rId34">
        <w:r>
          <w:rPr>
            <w:rStyle w:val="Hyperlink"/>
          </w:rPr>
          <w:t xml:space="preserve">[19]</w:t>
        </w:r>
      </w:hyperlink>
      <w:r>
        <w:t xml:space="preserve"> </w:t>
      </w:r>
      <w:r>
        <w:t xml:space="preserve">https://www.w3.org/TR/vc-data-integrity/</w:t>
      </w:r>
    </w:p>
    <w:p>
      <w:pPr>
        <w:pStyle w:val="BodyText"/>
      </w:pPr>
      <w:hyperlink r:id="rId34">
        <w:r>
          <w:rPr>
            <w:rStyle w:val="Hyperlink"/>
          </w:rPr>
          <w:t xml:space="preserve">https://www.w3.org/TR/vc-data-integrity/</w:t>
        </w:r>
      </w:hyperlink>
    </w:p>
    <w:p>
      <w:pPr>
        <w:pStyle w:val="BodyText"/>
      </w:pPr>
      <w:hyperlink r:id="rId35">
        <w:r>
          <w:rPr>
            <w:rStyle w:val="Hyperlink"/>
          </w:rPr>
          <w:t xml:space="preserve">[20]</w:t>
        </w:r>
      </w:hyperlink>
      <w:r>
        <w:t xml:space="preserve"> </w:t>
      </w:r>
      <w:hyperlink r:id="rId35">
        <w:r>
          <w:rPr>
            <w:rStyle w:val="Hyperlink"/>
          </w:rPr>
          <w:t xml:space="preserve">[30]</w:t>
        </w:r>
      </w:hyperlink>
      <w:r>
        <w:t xml:space="preserve"> </w:t>
      </w:r>
      <w:hyperlink r:id="rId35">
        <w:r>
          <w:rPr>
            <w:rStyle w:val="Hyperlink"/>
          </w:rPr>
          <w:t xml:space="preserve">[63]</w:t>
        </w:r>
      </w:hyperlink>
      <w:r>
        <w:t xml:space="preserve"> </w:t>
      </w:r>
      <w:hyperlink r:id="rId35">
        <w:r>
          <w:rPr>
            <w:rStyle w:val="Hyperlink"/>
          </w:rPr>
          <w:t xml:space="preserve">[118]</w:t>
        </w:r>
      </w:hyperlink>
      <w:r>
        <w:t xml:space="preserve"> </w:t>
      </w:r>
      <w:hyperlink r:id="rId35">
        <w:r>
          <w:rPr>
            <w:rStyle w:val="Hyperlink"/>
          </w:rPr>
          <w:t xml:space="preserve">[124]</w:t>
        </w:r>
      </w:hyperlink>
      <w:r>
        <w:t xml:space="preserve"> </w:t>
      </w:r>
      <w:r>
        <w:t xml:space="preserve">https://link.springer.com/chapter/10.1007/978-1-4419-9198-0_10</w:t>
      </w:r>
    </w:p>
    <w:p>
      <w:pPr>
        <w:pStyle w:val="BodyText"/>
      </w:pPr>
      <w:hyperlink r:id="rId35">
        <w:r>
          <w:rPr>
            <w:rStyle w:val="Hyperlink"/>
          </w:rPr>
          <w:t xml:space="preserve">https://link.springer.com/chapter/10.1007/978-1-4419-9198-0_10</w:t>
        </w:r>
      </w:hyperlink>
    </w:p>
    <w:p>
      <w:pPr>
        <w:pStyle w:val="BodyText"/>
      </w:pPr>
      <w:hyperlink r:id="rId36">
        <w:r>
          <w:rPr>
            <w:rStyle w:val="Hyperlink"/>
          </w:rPr>
          <w:t xml:space="preserve">[21]</w:t>
        </w:r>
      </w:hyperlink>
      <w:r>
        <w:t xml:space="preserve"> </w:t>
      </w:r>
      <w:hyperlink r:id="rId36">
        <w:r>
          <w:rPr>
            <w:rStyle w:val="Hyperlink"/>
          </w:rPr>
          <w:t xml:space="preserve">[105]</w:t>
        </w:r>
      </w:hyperlink>
      <w:r>
        <w:t xml:space="preserve"> </w:t>
      </w:r>
      <w:r>
        <w:t xml:space="preserve">https://datatracker.ietf.org/doc/draft-ietf-scitt-architecture/</w:t>
      </w:r>
    </w:p>
    <w:p>
      <w:pPr>
        <w:pStyle w:val="BodyText"/>
      </w:pPr>
      <w:hyperlink r:id="rId36">
        <w:r>
          <w:rPr>
            <w:rStyle w:val="Hyperlink"/>
          </w:rPr>
          <w:t xml:space="preserve">https://datatracker.ietf.org/doc/draft-ietf-scitt-architecture/</w:t>
        </w:r>
      </w:hyperlink>
    </w:p>
    <w:p>
      <w:pPr>
        <w:pStyle w:val="BodyText"/>
      </w:pPr>
      <w:hyperlink r:id="rId37">
        <w:r>
          <w:rPr>
            <w:rStyle w:val="Hyperlink"/>
          </w:rPr>
          <w:t xml:space="preserve">[22]</w:t>
        </w:r>
      </w:hyperlink>
      <w:r>
        <w:t xml:space="preserve"> </w:t>
      </w:r>
      <w:r>
        <w:t xml:space="preserve">https://slsa.dev/provenance</w:t>
      </w:r>
    </w:p>
    <w:p>
      <w:pPr>
        <w:pStyle w:val="BodyText"/>
      </w:pPr>
      <w:hyperlink r:id="rId37">
        <w:r>
          <w:rPr>
            <w:rStyle w:val="Hyperlink"/>
          </w:rPr>
          <w:t xml:space="preserve">https://slsa.dev/provenance</w:t>
        </w:r>
      </w:hyperlink>
    </w:p>
    <w:p>
      <w:pPr>
        <w:pStyle w:val="BodyText"/>
      </w:pPr>
      <w:hyperlink r:id="rId38">
        <w:r>
          <w:rPr>
            <w:rStyle w:val="Hyperlink"/>
          </w:rPr>
          <w:t xml:space="preserve">[23]</w:t>
        </w:r>
      </w:hyperlink>
      <w:r>
        <w:t xml:space="preserve"> </w:t>
      </w:r>
      <w:r>
        <w:t xml:space="preserve">https://slsa.dev/blog/2023/05/in-toto-and-slsa</w:t>
      </w:r>
    </w:p>
    <w:p>
      <w:pPr>
        <w:pStyle w:val="BodyText"/>
      </w:pPr>
      <w:hyperlink r:id="rId38">
        <w:r>
          <w:rPr>
            <w:rStyle w:val="Hyperlink"/>
          </w:rPr>
          <w:t xml:space="preserve">https://slsa.dev/blog/2023/05/in-toto-and-slsa</w:t>
        </w:r>
      </w:hyperlink>
    </w:p>
    <w:p>
      <w:pPr>
        <w:pStyle w:val="BodyText"/>
      </w:pPr>
      <w:hyperlink r:id="rId39">
        <w:r>
          <w:rPr>
            <w:rStyle w:val="Hyperlink"/>
          </w:rPr>
          <w:t xml:space="preserve">[28]</w:t>
        </w:r>
      </w:hyperlink>
      <w:r>
        <w:t xml:space="preserve"> </w:t>
      </w:r>
      <w:hyperlink r:id="rId39">
        <w:r>
          <w:rPr>
            <w:rStyle w:val="Hyperlink"/>
          </w:rPr>
          <w:t xml:space="preserve">[62]</w:t>
        </w:r>
      </w:hyperlink>
      <w:r>
        <w:t xml:space="preserve"> </w:t>
      </w:r>
      <w:hyperlink r:id="rId39">
        <w:r>
          <w:rPr>
            <w:rStyle w:val="Hyperlink"/>
          </w:rPr>
          <w:t xml:space="preserve">[84]</w:t>
        </w:r>
      </w:hyperlink>
      <w:r>
        <w:t xml:space="preserve"> </w:t>
      </w:r>
      <w:hyperlink r:id="rId39">
        <w:r>
          <w:rPr>
            <w:rStyle w:val="Hyperlink"/>
          </w:rPr>
          <w:t xml:space="preserve">[85]</w:t>
        </w:r>
      </w:hyperlink>
      <w:r>
        <w:t xml:space="preserve"> </w:t>
      </w:r>
      <w:hyperlink r:id="rId39">
        <w:r>
          <w:rPr>
            <w:rStyle w:val="Hyperlink"/>
          </w:rPr>
          <w:t xml:space="preserve">[99]</w:t>
        </w:r>
      </w:hyperlink>
      <w:r>
        <w:t xml:space="preserve"> </w:t>
      </w:r>
      <w:hyperlink r:id="rId39">
        <w:r>
          <w:rPr>
            <w:rStyle w:val="Hyperlink"/>
          </w:rPr>
          <w:t xml:space="preserve">[110]</w:t>
        </w:r>
      </w:hyperlink>
      <w:r>
        <w:t xml:space="preserve"> </w:t>
      </w:r>
      <w:hyperlink r:id="rId39">
        <w:r>
          <w:rPr>
            <w:rStyle w:val="Hyperlink"/>
          </w:rPr>
          <w:t xml:space="preserve">[129]</w:t>
        </w:r>
      </w:hyperlink>
      <w:r>
        <w:t xml:space="preserve"> </w:t>
      </w:r>
      <w:r>
        <w:t xml:space="preserve">https://erichorvitz.com/chi99horvitz.pdf</w:t>
      </w:r>
    </w:p>
    <w:p>
      <w:pPr>
        <w:pStyle w:val="BodyText"/>
      </w:pPr>
      <w:hyperlink r:id="rId39">
        <w:r>
          <w:rPr>
            <w:rStyle w:val="Hyperlink"/>
          </w:rPr>
          <w:t xml:space="preserve">https://erichorvitz.com/chi99horvitz.pdf</w:t>
        </w:r>
      </w:hyperlink>
    </w:p>
    <w:p>
      <w:pPr>
        <w:pStyle w:val="BodyText"/>
      </w:pPr>
      <w:hyperlink r:id="rId40">
        <w:r>
          <w:rPr>
            <w:rStyle w:val="Hyperlink"/>
          </w:rPr>
          <w:t xml:space="preserve">[31]</w:t>
        </w:r>
      </w:hyperlink>
      <w:r>
        <w:t xml:space="preserve"> </w:t>
      </w:r>
      <w:hyperlink r:id="rId40">
        <w:r>
          <w:rPr>
            <w:rStyle w:val="Hyperlink"/>
          </w:rPr>
          <w:t xml:space="preserve">[39]</w:t>
        </w:r>
      </w:hyperlink>
      <w:r>
        <w:t xml:space="preserve"> </w:t>
      </w:r>
      <w:hyperlink r:id="rId40">
        <w:r>
          <w:rPr>
            <w:rStyle w:val="Hyperlink"/>
          </w:rPr>
          <w:t xml:space="preserve">[89]</w:t>
        </w:r>
      </w:hyperlink>
      <w:r>
        <w:t xml:space="preserve"> </w:t>
      </w:r>
      <w:r>
        <w:t xml:space="preserve">https://swagger.io/specification/</w:t>
      </w:r>
    </w:p>
    <w:p>
      <w:pPr>
        <w:pStyle w:val="BodyText"/>
      </w:pPr>
      <w:hyperlink r:id="rId40">
        <w:r>
          <w:rPr>
            <w:rStyle w:val="Hyperlink"/>
          </w:rPr>
          <w:t xml:space="preserve">https://swagger.io/specification/</w:t>
        </w:r>
      </w:hyperlink>
    </w:p>
    <w:p>
      <w:pPr>
        <w:pStyle w:val="BodyText"/>
      </w:pPr>
      <w:hyperlink r:id="rId41">
        <w:r>
          <w:rPr>
            <w:rStyle w:val="Hyperlink"/>
          </w:rPr>
          <w:t xml:space="preserve">[32]</w:t>
        </w:r>
      </w:hyperlink>
      <w:r>
        <w:t xml:space="preserve"> </w:t>
      </w:r>
      <w:r>
        <w:t xml:space="preserve">https://learn.openapis.org/upgrading/v3.0-to-v3.1.html</w:t>
      </w:r>
    </w:p>
    <w:p>
      <w:pPr>
        <w:pStyle w:val="BodyText"/>
      </w:pPr>
      <w:hyperlink r:id="rId41">
        <w:r>
          <w:rPr>
            <w:rStyle w:val="Hyperlink"/>
          </w:rPr>
          <w:t xml:space="preserve">https://learn.openapis.org/upgrading/v3.0-to-v3.1.html</w:t>
        </w:r>
      </w:hyperlink>
    </w:p>
    <w:p>
      <w:pPr>
        <w:pStyle w:val="BodyText"/>
      </w:pPr>
      <w:hyperlink r:id="rId42">
        <w:r>
          <w:rPr>
            <w:rStyle w:val="Hyperlink"/>
          </w:rPr>
          <w:t xml:space="preserve">[33]</w:t>
        </w:r>
      </w:hyperlink>
      <w:r>
        <w:t xml:space="preserve"> </w:t>
      </w:r>
      <w:hyperlink r:id="rId42">
        <w:r>
          <w:rPr>
            <w:rStyle w:val="Hyperlink"/>
          </w:rPr>
          <w:t xml:space="preserve">[34]</w:t>
        </w:r>
      </w:hyperlink>
      <w:r>
        <w:t xml:space="preserve"> </w:t>
      </w:r>
      <w:hyperlink r:id="rId42">
        <w:r>
          <w:rPr>
            <w:rStyle w:val="Hyperlink"/>
          </w:rPr>
          <w:t xml:space="preserve">[108]</w:t>
        </w:r>
      </w:hyperlink>
      <w:r>
        <w:t xml:space="preserve"> </w:t>
      </w:r>
      <w:r>
        <w:t xml:space="preserve">https://www.w3.org/TR/wot-thing-description11/</w:t>
      </w:r>
    </w:p>
    <w:p>
      <w:pPr>
        <w:pStyle w:val="BodyText"/>
      </w:pPr>
      <w:hyperlink r:id="rId42">
        <w:r>
          <w:rPr>
            <w:rStyle w:val="Hyperlink"/>
          </w:rPr>
          <w:t xml:space="preserve">https://www.w3.org/TR/wot-thing-description11/</w:t>
        </w:r>
      </w:hyperlink>
    </w:p>
    <w:p>
      <w:pPr>
        <w:pStyle w:val="BodyText"/>
      </w:pPr>
      <w:hyperlink r:id="rId44">
        <w:r>
          <w:rPr>
            <w:rStyle w:val="Hyperlink"/>
          </w:rPr>
          <w:t xml:space="preserve">[40]</w:t>
        </w:r>
      </w:hyperlink>
      <w:r>
        <w:t xml:space="preserve"> </w:t>
      </w:r>
      <w:hyperlink r:id="rId44">
        <w:r>
          <w:rPr>
            <w:rStyle w:val="Hyperlink"/>
          </w:rPr>
          <w:t xml:space="preserve">[48]</w:t>
        </w:r>
      </w:hyperlink>
      <w:r>
        <w:t xml:space="preserve"> </w:t>
      </w:r>
      <w:hyperlink r:id="rId44">
        <w:r>
          <w:rPr>
            <w:rStyle w:val="Hyperlink"/>
          </w:rPr>
          <w:t xml:space="preserve">[68]</w:t>
        </w:r>
      </w:hyperlink>
      <w:r>
        <w:t xml:space="preserve"> </w:t>
      </w:r>
      <w:hyperlink r:id="rId44">
        <w:r>
          <w:rPr>
            <w:rStyle w:val="Hyperlink"/>
          </w:rPr>
          <w:t xml:space="preserve">[114]</w:t>
        </w:r>
      </w:hyperlink>
      <w:r>
        <w:t xml:space="preserve"> </w:t>
      </w:r>
      <w:hyperlink r:id="rId44">
        <w:r>
          <w:rPr>
            <w:rStyle w:val="Hyperlink"/>
          </w:rPr>
          <w:t xml:space="preserve">[117]</w:t>
        </w:r>
      </w:hyperlink>
      <w:r>
        <w:t xml:space="preserve"> </w:t>
      </w:r>
      <w:r>
        <w:t xml:space="preserve">https://agent2agent.info/docs/topics/life-of-a-task/</w:t>
      </w:r>
    </w:p>
    <w:p>
      <w:pPr>
        <w:pStyle w:val="BodyText"/>
      </w:pPr>
      <w:hyperlink r:id="rId44">
        <w:r>
          <w:rPr>
            <w:rStyle w:val="Hyperlink"/>
          </w:rPr>
          <w:t xml:space="preserve">https://agent2agent.info/docs/topics/life-of-a-task/</w:t>
        </w:r>
      </w:hyperlink>
    </w:p>
    <w:p>
      <w:pPr>
        <w:pStyle w:val="BodyText"/>
      </w:pPr>
      <w:hyperlink r:id="rId45">
        <w:r>
          <w:rPr>
            <w:rStyle w:val="Hyperlink"/>
          </w:rPr>
          <w:t xml:space="preserve">[41]</w:t>
        </w:r>
      </w:hyperlink>
      <w:r>
        <w:t xml:space="preserve"> </w:t>
      </w:r>
      <w:hyperlink r:id="rId45">
        <w:r>
          <w:rPr>
            <w:rStyle w:val="Hyperlink"/>
          </w:rPr>
          <w:t xml:space="preserve">[46]</w:t>
        </w:r>
      </w:hyperlink>
      <w:r>
        <w:t xml:space="preserve"> </w:t>
      </w:r>
      <w:r>
        <w:t xml:space="preserve">https://developers.openai.com/api/reference/resources/responses/methods/create/</w:t>
      </w:r>
    </w:p>
    <w:p>
      <w:pPr>
        <w:pStyle w:val="BodyText"/>
      </w:pPr>
      <w:hyperlink r:id="rId45">
        <w:r>
          <w:rPr>
            <w:rStyle w:val="Hyperlink"/>
          </w:rPr>
          <w:t xml:space="preserve">https://developers.openai.com/api/reference/resources/responses/methods/create/</w:t>
        </w:r>
      </w:hyperlink>
    </w:p>
    <w:p>
      <w:pPr>
        <w:pStyle w:val="BodyText"/>
      </w:pPr>
      <w:hyperlink r:id="rId46">
        <w:r>
          <w:rPr>
            <w:rStyle w:val="Hyperlink"/>
          </w:rPr>
          <w:t xml:space="preserve">[43]</w:t>
        </w:r>
      </w:hyperlink>
      <w:r>
        <w:t xml:space="preserve"> </w:t>
      </w:r>
      <w:hyperlink r:id="rId46">
        <w:r>
          <w:rPr>
            <w:rStyle w:val="Hyperlink"/>
          </w:rPr>
          <w:t xml:space="preserve">[70]</w:t>
        </w:r>
      </w:hyperlink>
      <w:r>
        <w:t xml:space="preserve"> </w:t>
      </w:r>
      <w:r>
        <w:t xml:space="preserve">https://agent2agent.info/docs/concepts/task/</w:t>
      </w:r>
    </w:p>
    <w:p>
      <w:pPr>
        <w:pStyle w:val="BodyText"/>
      </w:pPr>
      <w:hyperlink r:id="rId46">
        <w:r>
          <w:rPr>
            <w:rStyle w:val="Hyperlink"/>
          </w:rPr>
          <w:t xml:space="preserve">https://agent2agent.info/docs/concepts/task/</w:t>
        </w:r>
      </w:hyperlink>
    </w:p>
    <w:p>
      <w:pPr>
        <w:pStyle w:val="BodyText"/>
      </w:pPr>
      <w:hyperlink r:id="rId47">
        <w:r>
          <w:rPr>
            <w:rStyle w:val="Hyperlink"/>
          </w:rPr>
          <w:t xml:space="preserve">[50]</w:t>
        </w:r>
      </w:hyperlink>
      <w:r>
        <w:t xml:space="preserve"> </w:t>
      </w:r>
      <w:r>
        <w:t xml:space="preserve">https://modelcontextprotocol.io/specification/2025-11-25</w:t>
      </w:r>
    </w:p>
    <w:p>
      <w:pPr>
        <w:pStyle w:val="BodyText"/>
      </w:pPr>
      <w:hyperlink r:id="rId47">
        <w:r>
          <w:rPr>
            <w:rStyle w:val="Hyperlink"/>
          </w:rPr>
          <w:t xml:space="preserve">https://modelcontextprotocol.io/specification/2025-11-25</w:t>
        </w:r>
      </w:hyperlink>
    </w:p>
    <w:p>
      <w:pPr>
        <w:pStyle w:val="BodyText"/>
      </w:pPr>
      <w:hyperlink r:id="rId50">
        <w:r>
          <w:rPr>
            <w:rStyle w:val="Hyperlink"/>
          </w:rPr>
          <w:t xml:space="preserve">[53]</w:t>
        </w:r>
      </w:hyperlink>
      <w:r>
        <w:t xml:space="preserve"> </w:t>
      </w:r>
      <w:hyperlink r:id="rId50">
        <w:r>
          <w:rPr>
            <w:rStyle w:val="Hyperlink"/>
          </w:rPr>
          <w:t xml:space="preserve">[65]</w:t>
        </w:r>
      </w:hyperlink>
      <w:r>
        <w:t xml:space="preserve"> </w:t>
      </w:r>
      <w:r>
        <w:t xml:space="preserve">https://arxiv.org/abs/2210.03629</w:t>
      </w:r>
    </w:p>
    <w:p>
      <w:pPr>
        <w:pStyle w:val="BodyText"/>
      </w:pPr>
      <w:hyperlink r:id="rId50">
        <w:r>
          <w:rPr>
            <w:rStyle w:val="Hyperlink"/>
          </w:rPr>
          <w:t xml:space="preserve">https://arxiv.org/abs/2210.03629</w:t>
        </w:r>
      </w:hyperlink>
    </w:p>
    <w:p>
      <w:pPr>
        <w:pStyle w:val="BodyText"/>
      </w:pPr>
      <w:hyperlink r:id="rId51">
        <w:r>
          <w:rPr>
            <w:rStyle w:val="Hyperlink"/>
          </w:rPr>
          <w:t xml:space="preserve">[54]</w:t>
        </w:r>
      </w:hyperlink>
      <w:r>
        <w:t xml:space="preserve"> </w:t>
      </w:r>
      <w:hyperlink r:id="rId51">
        <w:r>
          <w:rPr>
            <w:rStyle w:val="Hyperlink"/>
          </w:rPr>
          <w:t xml:space="preserve">[66]</w:t>
        </w:r>
      </w:hyperlink>
      <w:r>
        <w:t xml:space="preserve"> </w:t>
      </w:r>
      <w:r>
        <w:t xml:space="preserve">https://arxiv.org/abs/2302.04761</w:t>
      </w:r>
    </w:p>
    <w:p>
      <w:pPr>
        <w:pStyle w:val="BodyText"/>
      </w:pPr>
      <w:hyperlink r:id="rId51">
        <w:r>
          <w:rPr>
            <w:rStyle w:val="Hyperlink"/>
          </w:rPr>
          <w:t xml:space="preserve">https://arxiv.org/abs/2302.04761</w:t>
        </w:r>
      </w:hyperlink>
    </w:p>
    <w:p>
      <w:pPr>
        <w:pStyle w:val="BodyText"/>
      </w:pPr>
      <w:hyperlink r:id="rId52">
        <w:r>
          <w:rPr>
            <w:rStyle w:val="Hyperlink"/>
          </w:rPr>
          <w:t xml:space="preserve">[55]</w:t>
        </w:r>
      </w:hyperlink>
      <w:r>
        <w:t xml:space="preserve"> </w:t>
      </w:r>
      <w:r>
        <w:t xml:space="preserve">https://arxiv.org/abs/2305.16504</w:t>
      </w:r>
    </w:p>
    <w:p>
      <w:pPr>
        <w:pStyle w:val="BodyText"/>
      </w:pPr>
      <w:hyperlink r:id="rId52">
        <w:r>
          <w:rPr>
            <w:rStyle w:val="Hyperlink"/>
          </w:rPr>
          <w:t xml:space="preserve">https://arxiv.org/abs/2305.16504</w:t>
        </w:r>
      </w:hyperlink>
    </w:p>
    <w:p>
      <w:pPr>
        <w:pStyle w:val="BodyText"/>
      </w:pPr>
      <w:hyperlink r:id="rId54">
        <w:r>
          <w:rPr>
            <w:rStyle w:val="Hyperlink"/>
          </w:rPr>
          <w:t xml:space="preserve">[56]</w:t>
        </w:r>
      </w:hyperlink>
      <w:r>
        <w:t xml:space="preserve"> </w:t>
      </w:r>
      <w:hyperlink r:id="rId54">
        <w:r>
          <w:rPr>
            <w:rStyle w:val="Hyperlink"/>
          </w:rPr>
          <w:t xml:space="preserve">[67]</w:t>
        </w:r>
      </w:hyperlink>
      <w:r>
        <w:t xml:space="preserve"> </w:t>
      </w:r>
      <w:r>
        <w:t xml:space="preserve">https://arxiv.org/abs/2308.08155</w:t>
      </w:r>
    </w:p>
    <w:p>
      <w:pPr>
        <w:pStyle w:val="BodyText"/>
      </w:pPr>
      <w:hyperlink r:id="rId54">
        <w:r>
          <w:rPr>
            <w:rStyle w:val="Hyperlink"/>
          </w:rPr>
          <w:t xml:space="preserve">https://arxiv.org/abs/2308.08155</w:t>
        </w:r>
      </w:hyperlink>
    </w:p>
    <w:p>
      <w:pPr>
        <w:pStyle w:val="BodyText"/>
      </w:pPr>
      <w:hyperlink r:id="rId55">
        <w:r>
          <w:rPr>
            <w:rStyle w:val="Hyperlink"/>
          </w:rPr>
          <w:t xml:space="preserve">[57]</w:t>
        </w:r>
      </w:hyperlink>
      <w:r>
        <w:t xml:space="preserve"> </w:t>
      </w:r>
      <w:r>
        <w:t xml:space="preserve">https://arxiv.org/abs/2308.00352</w:t>
      </w:r>
    </w:p>
    <w:p>
      <w:pPr>
        <w:pStyle w:val="BodyText"/>
      </w:pPr>
      <w:hyperlink r:id="rId55">
        <w:r>
          <w:rPr>
            <w:rStyle w:val="Hyperlink"/>
          </w:rPr>
          <w:t xml:space="preserve">https://arxiv.org/abs/2308.00352</w:t>
        </w:r>
      </w:hyperlink>
    </w:p>
    <w:p>
      <w:pPr>
        <w:pStyle w:val="BodyText"/>
      </w:pPr>
      <w:hyperlink r:id="rId56">
        <w:r>
          <w:rPr>
            <w:rStyle w:val="Hyperlink"/>
          </w:rPr>
          <w:t xml:space="preserve">[58]</w:t>
        </w:r>
      </w:hyperlink>
      <w:r>
        <w:t xml:space="preserve"> </w:t>
      </w:r>
      <w:r>
        <w:t xml:space="preserve">https://cdn.aaai.org/ICMAS/1995/ICMAS95-042.pdf</w:t>
      </w:r>
    </w:p>
    <w:p>
      <w:pPr>
        <w:pStyle w:val="BodyText"/>
      </w:pPr>
      <w:hyperlink r:id="rId56">
        <w:r>
          <w:rPr>
            <w:rStyle w:val="Hyperlink"/>
          </w:rPr>
          <w:t xml:space="preserve">https://cdn.aaai.org/ICMAS/1995/ICMAS95-042.pdf</w:t>
        </w:r>
      </w:hyperlink>
    </w:p>
    <w:p>
      <w:pPr>
        <w:pStyle w:val="BodyText"/>
      </w:pPr>
      <w:hyperlink r:id="rId57">
        <w:r>
          <w:rPr>
            <w:rStyle w:val="Hyperlink"/>
          </w:rPr>
          <w:t xml:space="preserve">[59]</w:t>
        </w:r>
      </w:hyperlink>
      <w:r>
        <w:t xml:space="preserve"> </w:t>
      </w:r>
      <w:r>
        <w:t xml:space="preserve">https://www.ijcai.org/Proceedings/91-2/Papers/051A.pdf</w:t>
      </w:r>
    </w:p>
    <w:p>
      <w:pPr>
        <w:pStyle w:val="BodyText"/>
      </w:pPr>
      <w:hyperlink r:id="rId57">
        <w:r>
          <w:rPr>
            <w:rStyle w:val="Hyperlink"/>
          </w:rPr>
          <w:t xml:space="preserve">https://www.ijcai.org/Proceedings/91-2/Papers/051A.pdf</w:t>
        </w:r>
      </w:hyperlink>
    </w:p>
    <w:p>
      <w:pPr>
        <w:pStyle w:val="BodyText"/>
      </w:pPr>
      <w:hyperlink r:id="rId58">
        <w:r>
          <w:rPr>
            <w:rStyle w:val="Hyperlink"/>
          </w:rPr>
          <w:t xml:space="preserve">[60]</w:t>
        </w:r>
      </w:hyperlink>
      <w:r>
        <w:t xml:space="preserve"> </w:t>
      </w:r>
      <w:r>
        <w:t xml:space="preserve">https://www.sciencedirect.com/science/article/pii/0004370295001034</w:t>
      </w:r>
    </w:p>
    <w:p>
      <w:pPr>
        <w:pStyle w:val="BodyText"/>
      </w:pPr>
      <w:hyperlink r:id="rId58">
        <w:r>
          <w:rPr>
            <w:rStyle w:val="Hyperlink"/>
          </w:rPr>
          <w:t xml:space="preserve">https://www.sciencedirect.com/science/article/pii/0004370295001034</w:t>
        </w:r>
      </w:hyperlink>
    </w:p>
    <w:p>
      <w:pPr>
        <w:pStyle w:val="BodyText"/>
      </w:pPr>
      <w:hyperlink r:id="rId59">
        <w:r>
          <w:rPr>
            <w:rStyle w:val="Hyperlink"/>
          </w:rPr>
          <w:t xml:space="preserve">[61]</w:t>
        </w:r>
      </w:hyperlink>
      <w:r>
        <w:t xml:space="preserve"> </w:t>
      </w:r>
      <w:r>
        <w:t xml:space="preserve">https://www.reidgsmith.com/The_Contract_Net_Protocol_Dec-1980.pdf</w:t>
      </w:r>
    </w:p>
    <w:p>
      <w:pPr>
        <w:pStyle w:val="BodyText"/>
      </w:pPr>
      <w:hyperlink r:id="rId59">
        <w:r>
          <w:rPr>
            <w:rStyle w:val="Hyperlink"/>
          </w:rPr>
          <w:t xml:space="preserve">https://www.reidgsmith.com/The_Contract_Net_Protocol_Dec-1980.pdf</w:t>
        </w:r>
      </w:hyperlink>
    </w:p>
    <w:p>
      <w:pPr>
        <w:pStyle w:val="BodyText"/>
      </w:pPr>
      <w:hyperlink r:id="rId61">
        <w:r>
          <w:rPr>
            <w:rStyle w:val="Hyperlink"/>
          </w:rPr>
          <w:t xml:space="preserve">[64]</w:t>
        </w:r>
      </w:hyperlink>
      <w:r>
        <w:t xml:space="preserve"> </w:t>
      </w:r>
      <w:r>
        <w:t xml:space="preserve">https://pmc.ncbi.nlm.nih.gov/articles/PMC6369770/</w:t>
      </w:r>
    </w:p>
    <w:p>
      <w:pPr>
        <w:pStyle w:val="BodyText"/>
      </w:pPr>
      <w:hyperlink r:id="rId61">
        <w:r>
          <w:rPr>
            <w:rStyle w:val="Hyperlink"/>
          </w:rPr>
          <w:t xml:space="preserve">https://pmc.ncbi.nlm.nih.gov/articles/PMC6369770/</w:t>
        </w:r>
      </w:hyperlink>
    </w:p>
    <w:p>
      <w:pPr>
        <w:pStyle w:val="BodyText"/>
      </w:pPr>
      <w:hyperlink r:id="rId63">
        <w:r>
          <w:rPr>
            <w:rStyle w:val="Hyperlink"/>
          </w:rPr>
          <w:t xml:space="preserve">[69]</w:t>
        </w:r>
      </w:hyperlink>
      <w:r>
        <w:t xml:space="preserve"> </w:t>
      </w:r>
      <w:r>
        <w:t xml:space="preserve">https://arxiv.org/html/2503.23037v3</w:t>
      </w:r>
    </w:p>
    <w:p>
      <w:pPr>
        <w:pStyle w:val="BodyText"/>
      </w:pPr>
      <w:hyperlink r:id="rId63">
        <w:r>
          <w:rPr>
            <w:rStyle w:val="Hyperlink"/>
          </w:rPr>
          <w:t xml:space="preserve">https://arxiv.org/html/2503.23037v3</w:t>
        </w:r>
      </w:hyperlink>
    </w:p>
    <w:p>
      <w:pPr>
        <w:pStyle w:val="BodyText"/>
      </w:pPr>
      <w:hyperlink r:id="rId64">
        <w:r>
          <w:rPr>
            <w:rStyle w:val="Hyperlink"/>
          </w:rPr>
          <w:t xml:space="preserve">[71]</w:t>
        </w:r>
      </w:hyperlink>
      <w:r>
        <w:t xml:space="preserve"> </w:t>
      </w:r>
      <w:r>
        <w:t xml:space="preserve">https://arxiv.org/abs/2305.16291</w:t>
      </w:r>
    </w:p>
    <w:p>
      <w:pPr>
        <w:pStyle w:val="BodyText"/>
      </w:pPr>
      <w:hyperlink r:id="rId64">
        <w:r>
          <w:rPr>
            <w:rStyle w:val="Hyperlink"/>
          </w:rPr>
          <w:t xml:space="preserve">https://arxiv.org/abs/2305.16291</w:t>
        </w:r>
      </w:hyperlink>
    </w:p>
    <w:p>
      <w:pPr>
        <w:pStyle w:val="BodyText"/>
      </w:pPr>
      <w:hyperlink r:id="rId65">
        <w:r>
          <w:rPr>
            <w:rStyle w:val="Hyperlink"/>
          </w:rPr>
          <w:t xml:space="preserve">[72]</w:t>
        </w:r>
      </w:hyperlink>
      <w:r>
        <w:t xml:space="preserve"> </w:t>
      </w:r>
      <w:r>
        <w:t xml:space="preserve">https://arxiv.org/abs/2405.15793</w:t>
      </w:r>
    </w:p>
    <w:p>
      <w:pPr>
        <w:pStyle w:val="BodyText"/>
      </w:pPr>
      <w:hyperlink r:id="rId65">
        <w:r>
          <w:rPr>
            <w:rStyle w:val="Hyperlink"/>
          </w:rPr>
          <w:t xml:space="preserve">https://arxiv.org/abs/2405.15793</w:t>
        </w:r>
      </w:hyperlink>
    </w:p>
    <w:p>
      <w:pPr>
        <w:pStyle w:val="BodyText"/>
      </w:pPr>
      <w:hyperlink r:id="rId68">
        <w:r>
          <w:rPr>
            <w:rStyle w:val="Hyperlink"/>
          </w:rPr>
          <w:t xml:space="preserve">[74]</w:t>
        </w:r>
      </w:hyperlink>
      <w:r>
        <w:t xml:space="preserve"> </w:t>
      </w:r>
      <w:hyperlink r:id="rId68">
        <w:r>
          <w:rPr>
            <w:rStyle w:val="Hyperlink"/>
          </w:rPr>
          <w:t xml:space="preserve">[76]</w:t>
        </w:r>
      </w:hyperlink>
      <w:r>
        <w:t xml:space="preserve"> </w:t>
      </w:r>
      <w:hyperlink r:id="rId68">
        <w:r>
          <w:rPr>
            <w:rStyle w:val="Hyperlink"/>
          </w:rPr>
          <w:t xml:space="preserve">[90]</w:t>
        </w:r>
      </w:hyperlink>
      <w:r>
        <w:t xml:space="preserve"> </w:t>
      </w:r>
      <w:hyperlink r:id="rId68">
        <w:r>
          <w:rPr>
            <w:rStyle w:val="Hyperlink"/>
          </w:rPr>
          <w:t xml:space="preserve">[100]</w:t>
        </w:r>
      </w:hyperlink>
      <w:r>
        <w:t xml:space="preserve"> </w:t>
      </w:r>
      <w:hyperlink r:id="rId68">
        <w:r>
          <w:rPr>
            <w:rStyle w:val="Hyperlink"/>
          </w:rPr>
          <w:t xml:space="preserve">[112]</w:t>
        </w:r>
      </w:hyperlink>
      <w:r>
        <w:t xml:space="preserve"> </w:t>
      </w:r>
      <w:r>
        <w:t xml:space="preserve">https://learn.microsoft.com/en-us/azure/durable-task/common/durable-task-code-constraints</w:t>
      </w:r>
    </w:p>
    <w:p>
      <w:pPr>
        <w:pStyle w:val="BodyText"/>
      </w:pPr>
      <w:hyperlink r:id="rId68">
        <w:r>
          <w:rPr>
            <w:rStyle w:val="Hyperlink"/>
          </w:rPr>
          <w:t xml:space="preserve">https://learn.microsoft.com/en-us/azure/durable-task/common/durable-task-code-constraints</w:t>
        </w:r>
      </w:hyperlink>
    </w:p>
    <w:p>
      <w:pPr>
        <w:pStyle w:val="BodyText"/>
      </w:pPr>
      <w:hyperlink r:id="rId69">
        <w:r>
          <w:rPr>
            <w:rStyle w:val="Hyperlink"/>
          </w:rPr>
          <w:t xml:space="preserve">[75]</w:t>
        </w:r>
      </w:hyperlink>
      <w:r>
        <w:t xml:space="preserve"> </w:t>
      </w:r>
      <w:hyperlink r:id="rId69">
        <w:r>
          <w:rPr>
            <w:rStyle w:val="Hyperlink"/>
          </w:rPr>
          <w:t xml:space="preserve">[101]</w:t>
        </w:r>
      </w:hyperlink>
      <w:r>
        <w:t xml:space="preserve"> </w:t>
      </w:r>
      <w:hyperlink r:id="rId69">
        <w:r>
          <w:rPr>
            <w:rStyle w:val="Hyperlink"/>
          </w:rPr>
          <w:t xml:space="preserve">[130]</w:t>
        </w:r>
      </w:hyperlink>
      <w:r>
        <w:t xml:space="preserve"> </w:t>
      </w:r>
      <w:r>
        <w:t xml:space="preserve">https://martinfowler.com/eaaDev/EventSourcing.html</w:t>
      </w:r>
    </w:p>
    <w:p>
      <w:pPr>
        <w:pStyle w:val="BodyText"/>
      </w:pPr>
      <w:hyperlink r:id="rId69">
        <w:r>
          <w:rPr>
            <w:rStyle w:val="Hyperlink"/>
          </w:rPr>
          <w:t xml:space="preserve">https://martinfowler.com/eaaDev/EventSourcing.html</w:t>
        </w:r>
      </w:hyperlink>
    </w:p>
    <w:p>
      <w:pPr>
        <w:pStyle w:val="BodyText"/>
      </w:pPr>
      <w:hyperlink r:id="rId74">
        <w:r>
          <w:rPr>
            <w:rStyle w:val="Hyperlink"/>
          </w:rPr>
          <w:t xml:space="preserve">[79]</w:t>
        </w:r>
      </w:hyperlink>
      <w:r>
        <w:t xml:space="preserve"> </w:t>
      </w:r>
      <w:hyperlink r:id="rId74">
        <w:r>
          <w:rPr>
            <w:rStyle w:val="Hyperlink"/>
          </w:rPr>
          <w:t xml:space="preserve">[91]</w:t>
        </w:r>
      </w:hyperlink>
      <w:r>
        <w:t xml:space="preserve"> </w:t>
      </w:r>
      <w:hyperlink r:id="rId74">
        <w:r>
          <w:rPr>
            <w:rStyle w:val="Hyperlink"/>
          </w:rPr>
          <w:t xml:space="preserve">[95]</w:t>
        </w:r>
      </w:hyperlink>
      <w:r>
        <w:t xml:space="preserve"> </w:t>
      </w:r>
      <w:hyperlink r:id="rId74">
        <w:r>
          <w:rPr>
            <w:rStyle w:val="Hyperlink"/>
          </w:rPr>
          <w:t xml:space="preserve">[109]</w:t>
        </w:r>
      </w:hyperlink>
      <w:r>
        <w:t xml:space="preserve"> </w:t>
      </w:r>
      <w:hyperlink r:id="rId74">
        <w:r>
          <w:rPr>
            <w:rStyle w:val="Hyperlink"/>
          </w:rPr>
          <w:t xml:space="preserve">[113]</w:t>
        </w:r>
      </w:hyperlink>
      <w:r>
        <w:t xml:space="preserve"> </w:t>
      </w:r>
      <w:hyperlink r:id="rId74">
        <w:r>
          <w:rPr>
            <w:rStyle w:val="Hyperlink"/>
          </w:rPr>
          <w:t xml:space="preserve">[131]</w:t>
        </w:r>
      </w:hyperlink>
      <w:r>
        <w:t xml:space="preserve"> </w:t>
      </w:r>
      <w:hyperlink r:id="rId74">
        <w:r>
          <w:rPr>
            <w:rStyle w:val="Hyperlink"/>
          </w:rPr>
          <w:t xml:space="preserve">[138]</w:t>
        </w:r>
      </w:hyperlink>
      <w:r>
        <w:t xml:space="preserve"> </w:t>
      </w:r>
      <w:r>
        <w:t xml:space="preserve">https://arxiv.org/abs/2302.12173</w:t>
      </w:r>
    </w:p>
    <w:p>
      <w:pPr>
        <w:pStyle w:val="BodyText"/>
      </w:pPr>
      <w:hyperlink r:id="rId74">
        <w:r>
          <w:rPr>
            <w:rStyle w:val="Hyperlink"/>
          </w:rPr>
          <w:t xml:space="preserve">https://arxiv.org/abs/2302.12173</w:t>
        </w:r>
      </w:hyperlink>
    </w:p>
    <w:p>
      <w:pPr>
        <w:pStyle w:val="BodyText"/>
      </w:pPr>
      <w:hyperlink r:id="rId76">
        <w:r>
          <w:rPr>
            <w:rStyle w:val="Hyperlink"/>
          </w:rPr>
          <w:t xml:space="preserve">[83]</w:t>
        </w:r>
      </w:hyperlink>
      <w:r>
        <w:t xml:space="preserve"> </w:t>
      </w:r>
      <w:r>
        <w:t xml:space="preserve">https://www.iso.org/standard/42001</w:t>
      </w:r>
    </w:p>
    <w:p>
      <w:pPr>
        <w:pStyle w:val="BodyText"/>
      </w:pPr>
      <w:hyperlink r:id="rId76">
        <w:r>
          <w:rPr>
            <w:rStyle w:val="Hyperlink"/>
          </w:rPr>
          <w:t xml:space="preserve">https://www.iso.org/standard/42001</w:t>
        </w:r>
      </w:hyperlink>
    </w:p>
    <w:p>
      <w:pPr>
        <w:pStyle w:val="BodyText"/>
      </w:pPr>
      <w:hyperlink r:id="rId82">
        <w:r>
          <w:rPr>
            <w:rStyle w:val="Hyperlink"/>
          </w:rPr>
          <w:t xml:space="preserve">[86]</w:t>
        </w:r>
      </w:hyperlink>
      <w:r>
        <w:t xml:space="preserve"> </w:t>
      </w:r>
      <w:hyperlink r:id="rId82">
        <w:r>
          <w:rPr>
            <w:rStyle w:val="Hyperlink"/>
          </w:rPr>
          <w:t xml:space="preserve">[115]</w:t>
        </w:r>
      </w:hyperlink>
      <w:r>
        <w:t xml:space="preserve"> </w:t>
      </w:r>
      <w:hyperlink r:id="rId82">
        <w:r>
          <w:rPr>
            <w:rStyle w:val="Hyperlink"/>
          </w:rPr>
          <w:t xml:space="preserve">[126]</w:t>
        </w:r>
      </w:hyperlink>
      <w:r>
        <w:t xml:space="preserve"> </w:t>
      </w:r>
      <w:hyperlink r:id="rId82">
        <w:r>
          <w:rPr>
            <w:rStyle w:val="Hyperlink"/>
          </w:rPr>
          <w:t xml:space="preserve">[134]</w:t>
        </w:r>
      </w:hyperlink>
      <w:r>
        <w:t xml:space="preserve"> </w:t>
      </w:r>
      <w:r>
        <w:t xml:space="preserve">https://arxiv.org/abs/2308.03688</w:t>
      </w:r>
    </w:p>
    <w:p>
      <w:pPr>
        <w:pStyle w:val="BodyText"/>
      </w:pPr>
      <w:hyperlink r:id="rId82">
        <w:r>
          <w:rPr>
            <w:rStyle w:val="Hyperlink"/>
          </w:rPr>
          <w:t xml:space="preserve">https://arxiv.org/abs/2308.03688</w:t>
        </w:r>
      </w:hyperlink>
    </w:p>
    <w:p>
      <w:pPr>
        <w:pStyle w:val="BodyText"/>
      </w:pPr>
      <w:hyperlink r:id="rId83">
        <w:r>
          <w:rPr>
            <w:rStyle w:val="Hyperlink"/>
          </w:rPr>
          <w:t xml:space="preserve">[87]</w:t>
        </w:r>
      </w:hyperlink>
      <w:r>
        <w:t xml:space="preserve"> </w:t>
      </w:r>
      <w:r>
        <w:t xml:space="preserve">https://arxiv.org/abs/2307.13854</w:t>
      </w:r>
    </w:p>
    <w:p>
      <w:pPr>
        <w:pStyle w:val="BodyText"/>
      </w:pPr>
      <w:hyperlink r:id="rId83">
        <w:r>
          <w:rPr>
            <w:rStyle w:val="Hyperlink"/>
          </w:rPr>
          <w:t xml:space="preserve">https://arxiv.org/abs/2307.13854</w:t>
        </w:r>
      </w:hyperlink>
    </w:p>
    <w:p>
      <w:pPr>
        <w:pStyle w:val="BodyText"/>
      </w:pPr>
      <w:hyperlink r:id="rId84">
        <w:r>
          <w:rPr>
            <w:rStyle w:val="Hyperlink"/>
          </w:rPr>
          <w:t xml:space="preserve">[88]</w:t>
        </w:r>
      </w:hyperlink>
      <w:r>
        <w:t xml:space="preserve"> </w:t>
      </w:r>
      <w:r>
        <w:t xml:space="preserve">https://arxiv.org/abs/2310.06770</w:t>
      </w:r>
    </w:p>
    <w:p>
      <w:pPr>
        <w:pStyle w:val="BodyText"/>
      </w:pPr>
      <w:hyperlink r:id="rId84">
        <w:r>
          <w:rPr>
            <w:rStyle w:val="Hyperlink"/>
          </w:rPr>
          <w:t xml:space="preserve">https://arxiv.org/abs/2310.06770</w:t>
        </w:r>
      </w:hyperlink>
    </w:p>
    <w:p>
      <w:pPr>
        <w:pStyle w:val="BodyText"/>
      </w:pPr>
      <w:hyperlink r:id="rId87">
        <w:r>
          <w:rPr>
            <w:rStyle w:val="Hyperlink"/>
          </w:rPr>
          <w:t xml:space="preserve">[96]</w:t>
        </w:r>
      </w:hyperlink>
      <w:r>
        <w:t xml:space="preserve"> </w:t>
      </w:r>
      <w:hyperlink r:id="rId87">
        <w:r>
          <w:rPr>
            <w:rStyle w:val="Hyperlink"/>
          </w:rPr>
          <w:t xml:space="preserve">[135]</w:t>
        </w:r>
      </w:hyperlink>
      <w:r>
        <w:t xml:space="preserve"> </w:t>
      </w:r>
      <w:r>
        <w:t xml:space="preserve">https://docs.azure.cn/en-us/azure-functions/durable/durable-functions-orchestration-versioning</w:t>
      </w:r>
    </w:p>
    <w:p>
      <w:pPr>
        <w:pStyle w:val="BodyText"/>
      </w:pPr>
      <w:hyperlink r:id="rId87">
        <w:r>
          <w:rPr>
            <w:rStyle w:val="Hyperlink"/>
          </w:rPr>
          <w:t xml:space="preserve">https://docs.azure.cn/en-us/azure-functions/durable/durable-functions-orchestration-versioning</w:t>
        </w:r>
      </w:hyperlink>
    </w:p>
    <w:p>
      <w:pPr>
        <w:pStyle w:val="BodyText"/>
      </w:pPr>
      <w:hyperlink r:id="rId96">
        <w:r>
          <w:rPr>
            <w:rStyle w:val="Hyperlink"/>
          </w:rPr>
          <w:t xml:space="preserve">[123]</w:t>
        </w:r>
      </w:hyperlink>
      <w:r>
        <w:t xml:space="preserve"> </w:t>
      </w:r>
      <w:r>
        <w:t xml:space="preserve">https://arxiv.org/abs/2505.23419</w:t>
      </w:r>
    </w:p>
    <w:p>
      <w:pPr>
        <w:pStyle w:val="BodyText"/>
      </w:pPr>
      <w:hyperlink r:id="rId96">
        <w:r>
          <w:rPr>
            <w:rStyle w:val="Hyperlink"/>
          </w:rPr>
          <w:t xml:space="preserve">https://arxiv.org/abs/2505.23419</w:t>
        </w:r>
      </w:hyperlink>
    </w:p>
    <w:p>
      <w:pPr>
        <w:pStyle w:val="BodyText"/>
      </w:pPr>
      <w:hyperlink r:id="rId99">
        <w:r>
          <w:rPr>
            <w:rStyle w:val="Hyperlink"/>
          </w:rPr>
          <w:t xml:space="preserve">[128]</w:t>
        </w:r>
      </w:hyperlink>
      <w:r>
        <w:t xml:space="preserve"> </w:t>
      </w:r>
      <w:hyperlink r:id="rId99">
        <w:r>
          <w:rPr>
            <w:rStyle w:val="Hyperlink"/>
          </w:rPr>
          <w:t xml:space="preserve">[133]</w:t>
        </w:r>
      </w:hyperlink>
      <w:r>
        <w:t xml:space="preserve"> </w:t>
      </w:r>
      <w:r>
        <w:t xml:space="preserve">https://developers.openai.com/api/docs/guides/migrate-to-responses</w:t>
      </w:r>
    </w:p>
    <w:p>
      <w:pPr>
        <w:pStyle w:val="BodyText"/>
      </w:pPr>
      <w:hyperlink r:id="rId99">
        <w:r>
          <w:rPr>
            <w:rStyle w:val="Hyperlink"/>
          </w:rPr>
          <w:t xml:space="preserve">https://developers.openai.com/api/docs/guides/migrate-to-responses</w:t>
        </w:r>
      </w:hyperlink>
    </w:p>
    <w:p>
      <w:pPr>
        <w:pStyle w:val="BodyText"/>
      </w:pPr>
      <w:hyperlink r:id="rId101">
        <w:r>
          <w:rPr>
            <w:rStyle w:val="Hyperlink"/>
          </w:rPr>
          <w:t xml:space="preserve">[137]</w:t>
        </w:r>
      </w:hyperlink>
      <w:r>
        <w:t xml:space="preserve"> </w:t>
      </w:r>
      <w:r>
        <w:t xml:space="preserve">https://www.microsoft.com/en-us/research/wp-content/uploads/2021/10/DF-Semantics-Final.pdf</w:t>
      </w:r>
    </w:p>
    <w:p>
      <w:pPr>
        <w:pStyle w:val="BodyText"/>
      </w:pPr>
      <w:hyperlink r:id="rId101">
        <w:r>
          <w:rPr>
            <w:rStyle w:val="Hyperlink"/>
          </w:rPr>
          <w:t xml:space="preserve">https://www.microsoft.com/en-us/research/wp-content/uploads/2021/10/DF-Semantics-Final.pdf</w:t>
        </w:r>
      </w:hyperlink>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agent2agent.info/docs/concepts/agentcard/" TargetMode="External" /><Relationship Type="http://schemas.openxmlformats.org/officeDocument/2006/relationships/hyperlink" Id="rId46" Target="https://agent2agent.info/docs/concepts/task/" TargetMode="External" /><Relationship Type="http://schemas.openxmlformats.org/officeDocument/2006/relationships/hyperlink" Id="rId44" Target="https://agent2agent.info/docs/topics/life-of-a-task/" TargetMode="External" /><Relationship Type="http://schemas.openxmlformats.org/officeDocument/2006/relationships/hyperlink" Id="rId50" Target="https://arxiv.org/abs/2210.03629" TargetMode="External" /><Relationship Type="http://schemas.openxmlformats.org/officeDocument/2006/relationships/hyperlink" Id="rId51" Target="https://arxiv.org/abs/2302.04761" TargetMode="External" /><Relationship Type="http://schemas.openxmlformats.org/officeDocument/2006/relationships/hyperlink" Id="rId74" Target="https://arxiv.org/abs/2302.12173" TargetMode="External" /><Relationship Type="http://schemas.openxmlformats.org/officeDocument/2006/relationships/hyperlink" Id="rId64" Target="https://arxiv.org/abs/2305.16291" TargetMode="External" /><Relationship Type="http://schemas.openxmlformats.org/officeDocument/2006/relationships/hyperlink" Id="rId52" Target="https://arxiv.org/abs/2305.16504" TargetMode="External" /><Relationship Type="http://schemas.openxmlformats.org/officeDocument/2006/relationships/hyperlink" Id="rId83" Target="https://arxiv.org/abs/2307.13854" TargetMode="External" /><Relationship Type="http://schemas.openxmlformats.org/officeDocument/2006/relationships/hyperlink" Id="rId55" Target="https://arxiv.org/abs/2308.00352" TargetMode="External" /><Relationship Type="http://schemas.openxmlformats.org/officeDocument/2006/relationships/hyperlink" Id="rId82" Target="https://arxiv.org/abs/2308.03688" TargetMode="External" /><Relationship Type="http://schemas.openxmlformats.org/officeDocument/2006/relationships/hyperlink" Id="rId54" Target="https://arxiv.org/abs/2308.08155" TargetMode="External" /><Relationship Type="http://schemas.openxmlformats.org/officeDocument/2006/relationships/hyperlink" Id="rId84" Target="https://arxiv.org/abs/2310.06770" TargetMode="External" /><Relationship Type="http://schemas.openxmlformats.org/officeDocument/2006/relationships/hyperlink" Id="rId65" Target="https://arxiv.org/abs/2405.15793" TargetMode="External" /><Relationship Type="http://schemas.openxmlformats.org/officeDocument/2006/relationships/hyperlink" Id="rId96" Target="https://arxiv.org/abs/2505.23419" TargetMode="External" /><Relationship Type="http://schemas.openxmlformats.org/officeDocument/2006/relationships/hyperlink" Id="rId63" Target="https://arxiv.org/html/2503.23037v3" TargetMode="External" /><Relationship Type="http://schemas.openxmlformats.org/officeDocument/2006/relationships/hyperlink" Id="rId56" Target="https://cdn.aaai.org/ICMAS/1995/ICMAS95-042.pdf" TargetMode="External" /><Relationship Type="http://schemas.openxmlformats.org/officeDocument/2006/relationships/hyperlink" Id="rId36" Target="https://datatracker.ietf.org/doc/draft-ietf-scitt-architecture/" TargetMode="External" /><Relationship Type="http://schemas.openxmlformats.org/officeDocument/2006/relationships/hyperlink" Id="rId24" Target="https://developers.openai.com/api/docs/guides/function-calling" TargetMode="External" /><Relationship Type="http://schemas.openxmlformats.org/officeDocument/2006/relationships/hyperlink" Id="rId99" Target="https://developers.openai.com/api/docs/guides/migrate-to-responses" TargetMode="External" /><Relationship Type="http://schemas.openxmlformats.org/officeDocument/2006/relationships/hyperlink" Id="rId45" Target="https://developers.openai.com/api/reference/resources/responses/methods/create/" TargetMode="External" /><Relationship Type="http://schemas.openxmlformats.org/officeDocument/2006/relationships/hyperlink" Id="rId87" Target="https://docs.azure.cn/en-us/azure-functions/durable/durable-functions-orchestration-versioning" TargetMode="External" /><Relationship Type="http://schemas.openxmlformats.org/officeDocument/2006/relationships/hyperlink" Id="rId22" Target="https://docs.temporal.io/workflow-execution/event" TargetMode="External" /><Relationship Type="http://schemas.openxmlformats.org/officeDocument/2006/relationships/hyperlink" Id="rId39" Target="https://erichorvitz.com/chi99horvitz.pdf" TargetMode="External" /><Relationship Type="http://schemas.openxmlformats.org/officeDocument/2006/relationships/hyperlink" Id="rId32" Target="https://eur-lex.europa.eu/eli/reg/2024/1689/oj/eng" TargetMode="External" /><Relationship Type="http://schemas.openxmlformats.org/officeDocument/2006/relationships/hyperlink" Id="rId23" Target="https://github.com/a2aproject/A2A" TargetMode="External" /><Relationship Type="http://schemas.openxmlformats.org/officeDocument/2006/relationships/hyperlink" Id="rId68" Target="https://learn.microsoft.com/en-us/azure/durable-task/common/durable-task-code-constraints" TargetMode="External" /><Relationship Type="http://schemas.openxmlformats.org/officeDocument/2006/relationships/hyperlink" Id="rId41" Target="https://learn.openapis.org/upgrading/v3.0-to-v3.1.html" TargetMode="External" /><Relationship Type="http://schemas.openxmlformats.org/officeDocument/2006/relationships/hyperlink" Id="rId35" Target="https://link.springer.com/chapter/10.1007/978-1-4419-9198-0_10" TargetMode="External" /><Relationship Type="http://schemas.openxmlformats.org/officeDocument/2006/relationships/hyperlink" Id="rId69" Target="https://martinfowler.com/eaaDev/EventSourcing.html" TargetMode="External" /><Relationship Type="http://schemas.openxmlformats.org/officeDocument/2006/relationships/hyperlink" Id="rId21" Target="https://modelcontextprotocol.io/specification/2025-06-18/basic" TargetMode="External" /><Relationship Type="http://schemas.openxmlformats.org/officeDocument/2006/relationships/hyperlink" Id="rId28" Target="https://modelcontextprotocol.io/specification/2025-06-18/basic/lifecycle" TargetMode="External" /><Relationship Type="http://schemas.openxmlformats.org/officeDocument/2006/relationships/hyperlink" Id="rId47" Target="https://modelcontextprotocol.io/specification/2025-11-25" TargetMode="External" /><Relationship Type="http://schemas.openxmlformats.org/officeDocument/2006/relationships/hyperlink" Id="rId27" Target="https://nvlpubs.nist.gov/nistpubs/ai/nist.ai.100-1.pdf" TargetMode="External" /><Relationship Type="http://schemas.openxmlformats.org/officeDocument/2006/relationships/hyperlink" Id="rId31" Target="https://opentelemetry.io/docs/specs/semconv/gen-ai/" TargetMode="External" /><Relationship Type="http://schemas.openxmlformats.org/officeDocument/2006/relationships/hyperlink" Id="rId25" Target="https://opentelemetry.io/docs/specs/semconv/gen-ai/gen-ai-agent-spans/" TargetMode="External" /><Relationship Type="http://schemas.openxmlformats.org/officeDocument/2006/relationships/hyperlink" Id="rId26" Target="https://owasp.org/www-project-top-10-for-large-language-model-applications/" TargetMode="External" /><Relationship Type="http://schemas.openxmlformats.org/officeDocument/2006/relationships/hyperlink" Id="rId61" Target="https://pmc.ncbi.nlm.nih.gov/articles/PMC6369770/" TargetMode="External" /><Relationship Type="http://schemas.openxmlformats.org/officeDocument/2006/relationships/hyperlink" Id="rId38" Target="https://slsa.dev/blog/2023/05/in-toto-and-slsa" TargetMode="External" /><Relationship Type="http://schemas.openxmlformats.org/officeDocument/2006/relationships/hyperlink" Id="rId37" Target="https://slsa.dev/provenance" TargetMode="External" /><Relationship Type="http://schemas.openxmlformats.org/officeDocument/2006/relationships/hyperlink" Id="rId40" Target="https://swagger.io/specification/" TargetMode="External" /><Relationship Type="http://schemas.openxmlformats.org/officeDocument/2006/relationships/hyperlink" Id="rId57" Target="https://www.ijcai.org/Proceedings/91-2/Papers/051A.pdf" TargetMode="External" /><Relationship Type="http://schemas.openxmlformats.org/officeDocument/2006/relationships/hyperlink" Id="rId76" Target="https://www.iso.org/standard/42001" TargetMode="External" /><Relationship Type="http://schemas.openxmlformats.org/officeDocument/2006/relationships/hyperlink" Id="rId101" Target="https://www.microsoft.com/en-us/research/wp-content/uploads/2021/10/DF-Semantics-Final.pdf" TargetMode="External" /><Relationship Type="http://schemas.openxmlformats.org/officeDocument/2006/relationships/hyperlink" Id="rId59" Target="https://www.reidgsmith.com/The_Contract_Net_Protocol_Dec-1980.pdf" TargetMode="External" /><Relationship Type="http://schemas.openxmlformats.org/officeDocument/2006/relationships/hyperlink" Id="rId58" Target="https://www.sciencedirect.com/science/article/pii/0004370295001034" TargetMode="External" /><Relationship Type="http://schemas.openxmlformats.org/officeDocument/2006/relationships/hyperlink" Id="rId33" Target="https://www.w3.org/TR/prov-dm/" TargetMode="External" /><Relationship Type="http://schemas.openxmlformats.org/officeDocument/2006/relationships/hyperlink" Id="rId34" Target="https://www.w3.org/TR/vc-data-integrity/" TargetMode="External" /><Relationship Type="http://schemas.openxmlformats.org/officeDocument/2006/relationships/hyperlink" Id="rId42" Target="https://www.w3.org/TR/wot-thing-description11/" TargetMode="External" /></Relationships>
</file>

<file path=word/_rels/footnotes.xml.rels><?xml version="1.0" encoding="UTF-8"?><Relationships xmlns="http://schemas.openxmlformats.org/package/2006/relationships"><Relationship Type="http://schemas.openxmlformats.org/officeDocument/2006/relationships/hyperlink" Id="rId30" Target="https://agent2agent.info/docs/concepts/agentcard/" TargetMode="External" /><Relationship Type="http://schemas.openxmlformats.org/officeDocument/2006/relationships/hyperlink" Id="rId46" Target="https://agent2agent.info/docs/concepts/task/" TargetMode="External" /><Relationship Type="http://schemas.openxmlformats.org/officeDocument/2006/relationships/hyperlink" Id="rId44" Target="https://agent2agent.info/docs/topics/life-of-a-task/" TargetMode="External" /><Relationship Type="http://schemas.openxmlformats.org/officeDocument/2006/relationships/hyperlink" Id="rId50" Target="https://arxiv.org/abs/2210.03629" TargetMode="External" /><Relationship Type="http://schemas.openxmlformats.org/officeDocument/2006/relationships/hyperlink" Id="rId51" Target="https://arxiv.org/abs/2302.04761" TargetMode="External" /><Relationship Type="http://schemas.openxmlformats.org/officeDocument/2006/relationships/hyperlink" Id="rId74" Target="https://arxiv.org/abs/2302.12173" TargetMode="External" /><Relationship Type="http://schemas.openxmlformats.org/officeDocument/2006/relationships/hyperlink" Id="rId64" Target="https://arxiv.org/abs/2305.16291" TargetMode="External" /><Relationship Type="http://schemas.openxmlformats.org/officeDocument/2006/relationships/hyperlink" Id="rId52" Target="https://arxiv.org/abs/2305.16504" TargetMode="External" /><Relationship Type="http://schemas.openxmlformats.org/officeDocument/2006/relationships/hyperlink" Id="rId83" Target="https://arxiv.org/abs/2307.13854" TargetMode="External" /><Relationship Type="http://schemas.openxmlformats.org/officeDocument/2006/relationships/hyperlink" Id="rId55" Target="https://arxiv.org/abs/2308.00352" TargetMode="External" /><Relationship Type="http://schemas.openxmlformats.org/officeDocument/2006/relationships/hyperlink" Id="rId82" Target="https://arxiv.org/abs/2308.03688" TargetMode="External" /><Relationship Type="http://schemas.openxmlformats.org/officeDocument/2006/relationships/hyperlink" Id="rId54" Target="https://arxiv.org/abs/2308.08155" TargetMode="External" /><Relationship Type="http://schemas.openxmlformats.org/officeDocument/2006/relationships/hyperlink" Id="rId84" Target="https://arxiv.org/abs/2310.06770" TargetMode="External" /><Relationship Type="http://schemas.openxmlformats.org/officeDocument/2006/relationships/hyperlink" Id="rId65" Target="https://arxiv.org/abs/2405.15793" TargetMode="External" /><Relationship Type="http://schemas.openxmlformats.org/officeDocument/2006/relationships/hyperlink" Id="rId96" Target="https://arxiv.org/abs/2505.23419" TargetMode="External" /><Relationship Type="http://schemas.openxmlformats.org/officeDocument/2006/relationships/hyperlink" Id="rId63" Target="https://arxiv.org/html/2503.23037v3" TargetMode="External" /><Relationship Type="http://schemas.openxmlformats.org/officeDocument/2006/relationships/hyperlink" Id="rId56" Target="https://cdn.aaai.org/ICMAS/1995/ICMAS95-042.pdf" TargetMode="External" /><Relationship Type="http://schemas.openxmlformats.org/officeDocument/2006/relationships/hyperlink" Id="rId36" Target="https://datatracker.ietf.org/doc/draft-ietf-scitt-architecture/" TargetMode="External" /><Relationship Type="http://schemas.openxmlformats.org/officeDocument/2006/relationships/hyperlink" Id="rId24" Target="https://developers.openai.com/api/docs/guides/function-calling" TargetMode="External" /><Relationship Type="http://schemas.openxmlformats.org/officeDocument/2006/relationships/hyperlink" Id="rId99" Target="https://developers.openai.com/api/docs/guides/migrate-to-responses" TargetMode="External" /><Relationship Type="http://schemas.openxmlformats.org/officeDocument/2006/relationships/hyperlink" Id="rId45" Target="https://developers.openai.com/api/reference/resources/responses/methods/create/" TargetMode="External" /><Relationship Type="http://schemas.openxmlformats.org/officeDocument/2006/relationships/hyperlink" Id="rId87" Target="https://docs.azure.cn/en-us/azure-functions/durable/durable-functions-orchestration-versioning" TargetMode="External" /><Relationship Type="http://schemas.openxmlformats.org/officeDocument/2006/relationships/hyperlink" Id="rId22" Target="https://docs.temporal.io/workflow-execution/event" TargetMode="External" /><Relationship Type="http://schemas.openxmlformats.org/officeDocument/2006/relationships/hyperlink" Id="rId39" Target="https://erichorvitz.com/chi99horvitz.pdf" TargetMode="External" /><Relationship Type="http://schemas.openxmlformats.org/officeDocument/2006/relationships/hyperlink" Id="rId32" Target="https://eur-lex.europa.eu/eli/reg/2024/1689/oj/eng" TargetMode="External" /><Relationship Type="http://schemas.openxmlformats.org/officeDocument/2006/relationships/hyperlink" Id="rId23" Target="https://github.com/a2aproject/A2A" TargetMode="External" /><Relationship Type="http://schemas.openxmlformats.org/officeDocument/2006/relationships/hyperlink" Id="rId68" Target="https://learn.microsoft.com/en-us/azure/durable-task/common/durable-task-code-constraints" TargetMode="External" /><Relationship Type="http://schemas.openxmlformats.org/officeDocument/2006/relationships/hyperlink" Id="rId41" Target="https://learn.openapis.org/upgrading/v3.0-to-v3.1.html" TargetMode="External" /><Relationship Type="http://schemas.openxmlformats.org/officeDocument/2006/relationships/hyperlink" Id="rId35" Target="https://link.springer.com/chapter/10.1007/978-1-4419-9198-0_10" TargetMode="External" /><Relationship Type="http://schemas.openxmlformats.org/officeDocument/2006/relationships/hyperlink" Id="rId69" Target="https://martinfowler.com/eaaDev/EventSourcing.html" TargetMode="External" /><Relationship Type="http://schemas.openxmlformats.org/officeDocument/2006/relationships/hyperlink" Id="rId21" Target="https://modelcontextprotocol.io/specification/2025-06-18/basic" TargetMode="External" /><Relationship Type="http://schemas.openxmlformats.org/officeDocument/2006/relationships/hyperlink" Id="rId28" Target="https://modelcontextprotocol.io/specification/2025-06-18/basic/lifecycle" TargetMode="External" /><Relationship Type="http://schemas.openxmlformats.org/officeDocument/2006/relationships/hyperlink" Id="rId47" Target="https://modelcontextprotocol.io/specification/2025-11-25" TargetMode="External" /><Relationship Type="http://schemas.openxmlformats.org/officeDocument/2006/relationships/hyperlink" Id="rId27" Target="https://nvlpubs.nist.gov/nistpubs/ai/nist.ai.100-1.pdf" TargetMode="External" /><Relationship Type="http://schemas.openxmlformats.org/officeDocument/2006/relationships/hyperlink" Id="rId31" Target="https://opentelemetry.io/docs/specs/semconv/gen-ai/" TargetMode="External" /><Relationship Type="http://schemas.openxmlformats.org/officeDocument/2006/relationships/hyperlink" Id="rId25" Target="https://opentelemetry.io/docs/specs/semconv/gen-ai/gen-ai-agent-spans/" TargetMode="External" /><Relationship Type="http://schemas.openxmlformats.org/officeDocument/2006/relationships/hyperlink" Id="rId26" Target="https://owasp.org/www-project-top-10-for-large-language-model-applications/" TargetMode="External" /><Relationship Type="http://schemas.openxmlformats.org/officeDocument/2006/relationships/hyperlink" Id="rId61" Target="https://pmc.ncbi.nlm.nih.gov/articles/PMC6369770/" TargetMode="External" /><Relationship Type="http://schemas.openxmlformats.org/officeDocument/2006/relationships/hyperlink" Id="rId38" Target="https://slsa.dev/blog/2023/05/in-toto-and-slsa" TargetMode="External" /><Relationship Type="http://schemas.openxmlformats.org/officeDocument/2006/relationships/hyperlink" Id="rId37" Target="https://slsa.dev/provenance" TargetMode="External" /><Relationship Type="http://schemas.openxmlformats.org/officeDocument/2006/relationships/hyperlink" Id="rId40" Target="https://swagger.io/specification/" TargetMode="External" /><Relationship Type="http://schemas.openxmlformats.org/officeDocument/2006/relationships/hyperlink" Id="rId57" Target="https://www.ijcai.org/Proceedings/91-2/Papers/051A.pdf" TargetMode="External" /><Relationship Type="http://schemas.openxmlformats.org/officeDocument/2006/relationships/hyperlink" Id="rId76" Target="https://www.iso.org/standard/42001" TargetMode="External" /><Relationship Type="http://schemas.openxmlformats.org/officeDocument/2006/relationships/hyperlink" Id="rId101" Target="https://www.microsoft.com/en-us/research/wp-content/uploads/2021/10/DF-Semantics-Final.pdf" TargetMode="External" /><Relationship Type="http://schemas.openxmlformats.org/officeDocument/2006/relationships/hyperlink" Id="rId59" Target="https://www.reidgsmith.com/The_Contract_Net_Protocol_Dec-1980.pdf" TargetMode="External" /><Relationship Type="http://schemas.openxmlformats.org/officeDocument/2006/relationships/hyperlink" Id="rId58" Target="https://www.sciencedirect.com/science/article/pii/0004370295001034" TargetMode="External" /><Relationship Type="http://schemas.openxmlformats.org/officeDocument/2006/relationships/hyperlink" Id="rId33" Target="https://www.w3.org/TR/prov-dm/" TargetMode="External" /><Relationship Type="http://schemas.openxmlformats.org/officeDocument/2006/relationships/hyperlink" Id="rId34" Target="https://www.w3.org/TR/vc-data-integrity/" TargetMode="External" /><Relationship Type="http://schemas.openxmlformats.org/officeDocument/2006/relationships/hyperlink" Id="rId42" Target="https://www.w3.org/TR/wot-thing-description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2026-04-09T18:23:40Z</dcterms:created>
  <dcterms:modified xsi:type="dcterms:W3CDTF">2026-04-09T18:23:40Z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