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b110683f493998d2ba1f26e34d88e4d0f0b7bc0"/>
    <w:p>
      <w:pPr>
        <w:pStyle w:val="Heading1"/>
      </w:pPr>
      <w:r>
        <w:t xml:space="preserve">Toward an open, AI-native standard for high-stakes workflow and case orchestration</w:t>
      </w:r>
    </w:p>
    <w:bookmarkStart w:id="29" w:name="executive-synthesis"/>
    <w:p>
      <w:pPr>
        <w:pStyle w:val="Heading2"/>
      </w:pPr>
      <w:r>
        <w:t xml:space="preserve">Executive synthesis</w:t>
      </w:r>
    </w:p>
    <w:p>
      <w:pPr>
        <w:pStyle w:val="FirstParagraph"/>
      </w:pPr>
      <w:r>
        <w:t xml:space="preserve">High-stakes workflows (grants, licensing, benefits, inspections, investigations, compliance, approvals) share a recurring shape: long-running execution; unpredictable exceptions; heavy human judgment; evidence and documentation that must be preserved; and audit obligations that require more than “the system did X.” The existing landscape is rich—but fragmented across (a) process-flow notations, (b) case/collaboration models, (c) human-task protocols, (d) decision/policy languages, and (e) runtime engines whose real semantics are “durability and replay,” not diagrams. The key design opportunity for a new standard is to</w:t>
      </w:r>
      <w:r>
        <w:t xml:space="preserve"> </w:t>
      </w:r>
      <w:r>
        <w:rPr>
          <w:b/>
          <w:bCs/>
        </w:rPr>
        <w:t xml:space="preserve">separate concerns cleanly</w:t>
      </w:r>
      <w:r>
        <w:t xml:space="preserve"> </w:t>
      </w:r>
      <w:r>
        <w:t xml:space="preserve">while still producing a</w:t>
      </w:r>
      <w:r>
        <w:t xml:space="preserve"> </w:t>
      </w:r>
      <w:r>
        <w:rPr>
          <w:b/>
          <w:bCs/>
        </w:rPr>
        <w:t xml:space="preserve">single interoperable artifact</w:t>
      </w:r>
      <w:r>
        <w:t xml:space="preserve"> </w:t>
      </w:r>
      <w:r>
        <w:t xml:space="preserve">that can be validated, simulated, explained, and conformance-tested end-to-end.</w:t>
      </w:r>
      <w:r>
        <w:t xml:space="preserve"> </w:t>
      </w:r>
      <w:hyperlink r:id="rId21">
        <w:r>
          <w:rPr>
            <w:rStyle w:val="Hyperlink"/>
          </w:rPr>
          <w:t xml:space="preserve">[1]</w:t>
        </w:r>
      </w:hyperlink>
    </w:p>
    <w:p>
      <w:pPr>
        <w:pStyle w:val="BodyText"/>
      </w:pPr>
      <w:r>
        <w:t xml:space="preserve">Several abstractions have proven durable across generations:</w:t>
      </w:r>
    </w:p>
    <w:p>
      <w:pPr>
        <w:pStyle w:val="Compact"/>
        <w:numPr>
          <w:ilvl w:val="0"/>
          <w:numId w:val="1001"/>
        </w:numPr>
      </w:pPr>
      <w:r>
        <w:rPr>
          <w:b/>
          <w:bCs/>
        </w:rPr>
        <w:t xml:space="preserve">Explicit state + transitions</w:t>
      </w:r>
      <w:r>
        <w:t xml:space="preserve"> </w:t>
      </w:r>
      <w:r>
        <w:t xml:space="preserve">(often hierarchical) is the most stable foundation for correctness, liveness reasoning, and runtime portability (e.g., SCXML’s statecharts-inspired model with a normative interpretation algorithm and a test suite; modern durable-orchestration systems’ replay-driven execution).</w:t>
      </w:r>
      <w:r>
        <w:t xml:space="preserve"> </w:t>
      </w:r>
      <w:hyperlink r:id="rId22">
        <w:r>
          <w:rPr>
            <w:rStyle w:val="Hyperlink"/>
          </w:rPr>
          <w:t xml:space="preserve">[2]</w:t>
        </w:r>
      </w:hyperlink>
    </w:p>
    <w:p>
      <w:pPr>
        <w:pStyle w:val="Compact"/>
        <w:numPr>
          <w:ilvl w:val="0"/>
          <w:numId w:val="1001"/>
        </w:numPr>
      </w:pPr>
      <w:r>
        <w:rPr>
          <w:b/>
          <w:bCs/>
        </w:rPr>
        <w:t xml:space="preserve">Human task lifecycle and resource semantics</w:t>
      </w:r>
      <w:r>
        <w:t xml:space="preserve"> </w:t>
      </w:r>
      <w:r>
        <w:t xml:space="preserve">(claim/reserve/start/stop/suspend/delegate; deadlines; escalations; task history) are consistently under-modeled in “process” standards, but they are modeled explicitly in WS-HumanTask, and independently cataloged in the academic workflow resource patterns literature.</w:t>
      </w:r>
      <w:r>
        <w:t xml:space="preserve"> </w:t>
      </w:r>
      <w:hyperlink r:id="rId23">
        <w:r>
          <w:rPr>
            <w:rStyle w:val="Hyperlink"/>
          </w:rPr>
          <w:t xml:space="preserve">[3]</w:t>
        </w:r>
      </w:hyperlink>
    </w:p>
    <w:p>
      <w:pPr>
        <w:pStyle w:val="Compact"/>
        <w:numPr>
          <w:ilvl w:val="0"/>
          <w:numId w:val="1001"/>
        </w:numPr>
      </w:pPr>
      <w:r>
        <w:rPr>
          <w:b/>
          <w:bCs/>
        </w:rPr>
        <w:t xml:space="preserve">Separation of decision logic from process flow</w:t>
      </w:r>
      <w:r>
        <w:t xml:space="preserve"> </w:t>
      </w:r>
      <w:r>
        <w:t xml:space="preserve">is a major advancement when done well. DMN explicitly distinguishes decision requirements (DRG/DRD) from decision logic (boxed expressions and FEEL/S-FEEL), and even acknowledges that “authority requirements” (sources of guidance) have deliberately vague execution semantics—an important signal about what must be made explicit for high-stakes explainability.</w:t>
      </w:r>
      <w:r>
        <w:t xml:space="preserve"> </w:t>
      </w:r>
      <w:hyperlink r:id="rId24">
        <w:r>
          <w:rPr>
            <w:rStyle w:val="Hyperlink"/>
          </w:rPr>
          <w:t xml:space="preserve">[4]</w:t>
        </w:r>
      </w:hyperlink>
    </w:p>
    <w:p>
      <w:pPr>
        <w:pStyle w:val="Compact"/>
        <w:numPr>
          <w:ilvl w:val="0"/>
          <w:numId w:val="1001"/>
        </w:numPr>
      </w:pPr>
      <w:r>
        <w:rPr>
          <w:b/>
          <w:bCs/>
        </w:rPr>
        <w:t xml:space="preserve">Event envelopes + correlation + causality</w:t>
      </w:r>
      <w:r>
        <w:t xml:space="preserve"> </w:t>
      </w:r>
      <w:r>
        <w:t xml:space="preserve">are essential for integrations and audit. BPMN has detailed correlation constructs; CloudEvents standardizes cross-platform event metadata; W3C Trace Context + OpenTelemetry define propagation of trace identifiers and observability semantics across distributed systems.</w:t>
      </w:r>
      <w:r>
        <w:t xml:space="preserve"> </w:t>
      </w:r>
      <w:hyperlink r:id="rId21">
        <w:r>
          <w:rPr>
            <w:rStyle w:val="Hyperlink"/>
          </w:rPr>
          <w:t xml:space="preserve">[5]</w:t>
        </w:r>
      </w:hyperlink>
    </w:p>
    <w:p>
      <w:pPr>
        <w:pStyle w:val="Compact"/>
        <w:numPr>
          <w:ilvl w:val="0"/>
          <w:numId w:val="1001"/>
        </w:numPr>
      </w:pPr>
      <w:r>
        <w:rPr>
          <w:b/>
          <w:bCs/>
        </w:rPr>
        <w:t xml:space="preserve">Conformance points and machine-readable artifacts</w:t>
      </w:r>
      <w:r>
        <w:t xml:space="preserve"> </w:t>
      </w:r>
      <w:r>
        <w:t xml:space="preserve">matter. BPMN explicitly defines conformance types and requires support for operational semantics for execution conformance; SCXML ships a test suite and implementation report; OpenTelemetry defines compliance in terms of “MUST/REQUIRED” requirements. A credible new workflow standard must treat conformance as a first-class deliverable, not an afterthought.</w:t>
      </w:r>
      <w:r>
        <w:t xml:space="preserve"> </w:t>
      </w:r>
      <w:hyperlink r:id="rId21">
        <w:r>
          <w:rPr>
            <w:rStyle w:val="Hyperlink"/>
          </w:rPr>
          <w:t xml:space="preserve">[6]</w:t>
        </w:r>
      </w:hyperlink>
    </w:p>
    <w:p>
      <w:pPr>
        <w:pStyle w:val="FirstParagraph"/>
      </w:pPr>
      <w:r>
        <w:t xml:space="preserve">Where systems have repeatedly struggled in real-world high-stakes use (despite elegant theory):</w:t>
      </w:r>
    </w:p>
    <w:p>
      <w:pPr>
        <w:pStyle w:val="Compact"/>
        <w:numPr>
          <w:ilvl w:val="0"/>
          <w:numId w:val="1002"/>
        </w:numPr>
      </w:pPr>
      <w:r>
        <w:rPr>
          <w:b/>
          <w:bCs/>
        </w:rPr>
        <w:t xml:space="preserve">“Everything in one diagram”</w:t>
      </w:r>
      <w:r>
        <w:t xml:space="preserve"> </w:t>
      </w:r>
      <w:r>
        <w:t xml:space="preserve">(or one monolithic DSL) tends to collapse under exception-heavy, discretionary work: you either get unreadable diagrams or you push the true logic into opaque “scripts,” destroying validation and explainability. This failure mode is visible both in large diagram-centric standards (BPMN’s breadth) and in DSLs that lean on embedded expressions without strong semantic types.</w:t>
      </w:r>
      <w:r>
        <w:t xml:space="preserve"> </w:t>
      </w:r>
      <w:hyperlink r:id="rId21">
        <w:r>
          <w:rPr>
            <w:rStyle w:val="Hyperlink"/>
          </w:rPr>
          <w:t xml:space="preserve">[7]</w:t>
        </w:r>
      </w:hyperlink>
    </w:p>
    <w:p>
      <w:pPr>
        <w:pStyle w:val="Compact"/>
        <w:numPr>
          <w:ilvl w:val="0"/>
          <w:numId w:val="1002"/>
        </w:numPr>
      </w:pPr>
      <w:r>
        <w:rPr>
          <w:b/>
          <w:bCs/>
        </w:rPr>
        <w:t xml:space="preserve">Weak provenance models</w:t>
      </w:r>
      <w:r>
        <w:t xml:space="preserve">: many workflow systems can say “what happened,” but cannot reliably say “why,” “based on what evidence/state,” “which policy version,” and “who overrode what.” W3C PROV is a rare counterexample with an explicit data model and consistency constraints—yet it is not commonly integrated into workflow interchange.</w:t>
      </w:r>
      <w:r>
        <w:t xml:space="preserve"> </w:t>
      </w:r>
      <w:hyperlink r:id="rId25">
        <w:r>
          <w:rPr>
            <w:rStyle w:val="Hyperlink"/>
          </w:rPr>
          <w:t xml:space="preserve">[8]</w:t>
        </w:r>
      </w:hyperlink>
    </w:p>
    <w:p>
      <w:pPr>
        <w:pStyle w:val="Compact"/>
        <w:numPr>
          <w:ilvl w:val="0"/>
          <w:numId w:val="1002"/>
        </w:numPr>
      </w:pPr>
      <w:r>
        <w:rPr>
          <w:b/>
          <w:bCs/>
        </w:rPr>
        <w:t xml:space="preserve">Runtime reality ≠ modeling semantics</w:t>
      </w:r>
      <w:r>
        <w:t xml:space="preserve">: durability, replay, idempotency, timers, and compensation dominate real execution semantics. Durable Functions and Temporal document event-history–based recovery and deterministic replay constraints; these semantics are not peripheral—they are the nucleus of “long-running correctness.”</w:t>
      </w:r>
      <w:r>
        <w:t xml:space="preserve"> </w:t>
      </w:r>
      <w:hyperlink r:id="rId26">
        <w:r>
          <w:rPr>
            <w:rStyle w:val="Hyperlink"/>
          </w:rPr>
          <w:t xml:space="preserve">[9]</w:t>
        </w:r>
      </w:hyperlink>
    </w:p>
    <w:p>
      <w:pPr>
        <w:pStyle w:val="FirstParagraph"/>
      </w:pPr>
      <w:r>
        <w:t xml:space="preserve">Main design implications for a modern open standard:</w:t>
      </w:r>
    </w:p>
    <w:p>
      <w:pPr>
        <w:pStyle w:val="Compact"/>
        <w:numPr>
          <w:ilvl w:val="0"/>
          <w:numId w:val="1003"/>
        </w:numPr>
      </w:pPr>
      <w:r>
        <w:t xml:space="preserve">Use a</w:t>
      </w:r>
      <w:r>
        <w:t xml:space="preserve"> </w:t>
      </w:r>
      <w:r>
        <w:rPr>
          <w:b/>
          <w:bCs/>
        </w:rPr>
        <w:t xml:space="preserve">state/event kernel</w:t>
      </w:r>
      <w:r>
        <w:t xml:space="preserve"> </w:t>
      </w:r>
      <w:r>
        <w:t xml:space="preserve">(good for static analysis, simulation, and audit) with</w:t>
      </w:r>
      <w:r>
        <w:t xml:space="preserve"> </w:t>
      </w:r>
      <w:r>
        <w:rPr>
          <w:b/>
          <w:bCs/>
        </w:rPr>
        <w:t xml:space="preserve">separable layers</w:t>
      </w:r>
      <w:r>
        <w:t xml:space="preserve"> </w:t>
      </w:r>
      <w:r>
        <w:t xml:space="preserve">for tasks, decisions/policy, and case/evidence.</w:t>
      </w:r>
      <w:r>
        <w:t xml:space="preserve"> </w:t>
      </w:r>
      <w:hyperlink r:id="rId22">
        <w:r>
          <w:rPr>
            <w:rStyle w:val="Hyperlink"/>
          </w:rPr>
          <w:t xml:space="preserve">[10]</w:t>
        </w:r>
      </w:hyperlink>
    </w:p>
    <w:p>
      <w:pPr>
        <w:pStyle w:val="Compact"/>
        <w:numPr>
          <w:ilvl w:val="0"/>
          <w:numId w:val="1003"/>
        </w:numPr>
      </w:pPr>
      <w:r>
        <w:t xml:space="preserve">Standardize an</w:t>
      </w:r>
      <w:r>
        <w:t xml:space="preserve"> </w:t>
      </w:r>
      <w:r>
        <w:rPr>
          <w:b/>
          <w:bCs/>
        </w:rPr>
        <w:t xml:space="preserve">append-only, portable execution history</w:t>
      </w:r>
      <w:r>
        <w:t xml:space="preserve"> </w:t>
      </w:r>
      <w:r>
        <w:t xml:space="preserve">with explicit causal links and policy/evidence references; borrow heavily from CloudEvents, Trace Context/OpenTelemetry, and provenance standards (PROV), and learn from event-log interchange standards (XES, OCEL).</w:t>
      </w:r>
      <w:r>
        <w:t xml:space="preserve"> </w:t>
      </w:r>
      <w:hyperlink r:id="rId27">
        <w:r>
          <w:rPr>
            <w:rStyle w:val="Hyperlink"/>
          </w:rPr>
          <w:t xml:space="preserve">[11]</w:t>
        </w:r>
      </w:hyperlink>
    </w:p>
    <w:p>
      <w:pPr>
        <w:pStyle w:val="Compact"/>
        <w:numPr>
          <w:ilvl w:val="0"/>
          <w:numId w:val="1003"/>
        </w:numPr>
      </w:pPr>
      <w:r>
        <w:t xml:space="preserve">Treat</w:t>
      </w:r>
      <w:r>
        <w:t xml:space="preserve"> </w:t>
      </w:r>
      <w:r>
        <w:rPr>
          <w:b/>
          <w:bCs/>
        </w:rPr>
        <w:t xml:space="preserve">human judgment and overrides</w:t>
      </w:r>
      <w:r>
        <w:t xml:space="preserve"> </w:t>
      </w:r>
      <w:r>
        <w:t xml:space="preserve">as structured, first-class operations (not comments), aligning with human-task lifecycle operations and history retrieval semantics.</w:t>
      </w:r>
      <w:r>
        <w:t xml:space="preserve"> </w:t>
      </w:r>
      <w:hyperlink r:id="rId23">
        <w:r>
          <w:rPr>
            <w:rStyle w:val="Hyperlink"/>
          </w:rPr>
          <w:t xml:space="preserve">[12]</w:t>
        </w:r>
      </w:hyperlink>
    </w:p>
    <w:p>
      <w:pPr>
        <w:pStyle w:val="Compact"/>
        <w:numPr>
          <w:ilvl w:val="0"/>
          <w:numId w:val="1003"/>
        </w:numPr>
      </w:pPr>
      <w:r>
        <w:t xml:space="preserve">Make the format</w:t>
      </w:r>
      <w:r>
        <w:t xml:space="preserve"> </w:t>
      </w:r>
      <w:r>
        <w:rPr>
          <w:b/>
          <w:bCs/>
        </w:rPr>
        <w:t xml:space="preserve">AI-native by construction</w:t>
      </w:r>
      <w:r>
        <w:t xml:space="preserve">: canonical JSON for hashing/signing, typed patch operations for editing, and language-server–style diagnostics to support structured authoring and refactoring—not “prompt blobs.”</w:t>
      </w:r>
      <w:r>
        <w:t xml:space="preserve"> </w:t>
      </w:r>
      <w:hyperlink r:id="rId28">
        <w:r>
          <w:rPr>
            <w:rStyle w:val="Hyperlink"/>
          </w:rPr>
          <w:t xml:space="preserve">[13]</w:t>
        </w:r>
      </w:hyperlink>
    </w:p>
    <w:bookmarkEnd w:id="29"/>
    <w:bookmarkStart w:id="50" w:name="expanded-research-corpus"/>
    <w:p>
      <w:pPr>
        <w:pStyle w:val="Heading2"/>
      </w:pPr>
      <w:r>
        <w:t xml:space="preserve">Expanded research corpus</w:t>
      </w:r>
    </w:p>
    <w:p>
      <w:pPr>
        <w:pStyle w:val="FirstParagraph"/>
      </w:pPr>
      <w:r>
        <w:t xml:space="preserve">The table below lists key artifacts reviewed. “Seed” means explicitly named in the prompt; “Discovered” means found during independent landscape expansion.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Artifact</w:t>
            </w:r>
          </w:p>
        </w:tc>
        <w:tc>
          <w:tcPr/>
          <w:p>
            <w:pPr>
              <w:pStyle w:val="Compact"/>
            </w:pPr>
            <w:r>
              <w:t xml:space="preserve">Domain</w:t>
            </w:r>
          </w:p>
        </w:tc>
        <w:tc>
          <w:tcPr/>
          <w:p>
            <w:pPr>
              <w:pStyle w:val="Compact"/>
            </w:pPr>
            <w:r>
              <w:t xml:space="preserve">Why it matters for a new standard</w:t>
            </w:r>
          </w:p>
        </w:tc>
        <w:tc>
          <w:tcPr/>
          <w:p>
            <w:pPr>
              <w:pStyle w:val="Compact"/>
            </w:pPr>
            <w:r>
              <w:t xml:space="preserve">Strengths to reuse</w:t>
            </w:r>
          </w:p>
        </w:tc>
        <w:tc>
          <w:tcPr/>
          <w:p>
            <w:pPr>
              <w:pStyle w:val="Compact"/>
            </w:pPr>
            <w:r>
              <w:t xml:space="preserve">Shortfalls to address</w:t>
            </w:r>
          </w:p>
        </w:tc>
        <w:tc>
          <w:tcPr/>
          <w:p>
            <w:pPr>
              <w:pStyle w:val="Compact"/>
            </w:pPr>
            <w:r>
              <w:t xml:space="preserve">Seed/Discovered</w:t>
            </w:r>
          </w:p>
        </w:tc>
      </w:tr>
      <w:tr>
        <w:tc>
          <w:tcPr/>
          <w:p>
            <w:pPr>
              <w:pStyle w:val="Compact"/>
            </w:pPr>
            <w:r>
              <w:t xml:space="preserve">BPMN 2.0 (also ISO/IEC 19510:2013)</w:t>
            </w:r>
          </w:p>
        </w:tc>
        <w:tc>
          <w:tcPr/>
          <w:p>
            <w:pPr>
              <w:pStyle w:val="Compact"/>
            </w:pPr>
            <w:r>
              <w:t xml:space="preserve">Process modeling/execution</w:t>
            </w:r>
          </w:p>
        </w:tc>
        <w:tc>
          <w:tcPr/>
          <w:p>
            <w:pPr>
              <w:pStyle w:val="Compact"/>
            </w:pPr>
            <w:r>
              <w:t xml:space="preserve">Dominant process notation; defines conformance types and operational execution semantics (token-based) and rich correlation/error constructs</w:t>
            </w:r>
          </w:p>
        </w:tc>
        <w:tc>
          <w:tcPr/>
          <w:p>
            <w:pPr>
              <w:pStyle w:val="Compact"/>
            </w:pPr>
            <w:r>
              <w:t xml:space="preserve">Conformance framing; explicit execution semantics for gateways/events; correlation and error/escalation modeling</w:t>
            </w:r>
          </w:p>
        </w:tc>
        <w:tc>
          <w:tcPr/>
          <w:p>
            <w:pPr>
              <w:pStyle w:val="Compact"/>
            </w:pPr>
            <w:r>
              <w:t xml:space="preserve">Too broad/diagram-heavy; human work and evidence are secondary; portability often undermined by vendor extensions</w:t>
            </w:r>
          </w:p>
        </w:tc>
        <w:tc>
          <w:tcPr/>
          <w:p>
            <w:pPr>
              <w:pStyle w:val="Compact"/>
            </w:pPr>
            <w:r>
              <w:t xml:space="preserve">Seed</w:t>
            </w:r>
            <w:r>
              <w:t xml:space="preserve"> </w:t>
            </w:r>
            <w:hyperlink r:id="rId21">
              <w:r>
                <w:rPr>
                  <w:rStyle w:val="Hyperlink"/>
                </w:rPr>
                <w:t xml:space="preserve">[14]</w:t>
              </w:r>
            </w:hyperlink>
          </w:p>
        </w:tc>
      </w:tr>
      <w:tr>
        <w:tc>
          <w:tcPr/>
          <w:p>
            <w:pPr>
              <w:pStyle w:val="Compact"/>
            </w:pPr>
            <w:r>
              <w:t xml:space="preserve">CMMN 1.1</w:t>
            </w:r>
          </w:p>
        </w:tc>
        <w:tc>
          <w:tcPr/>
          <w:p>
            <w:pPr>
              <w:pStyle w:val="Compact"/>
            </w:pPr>
            <w:r>
              <w:t xml:space="preserve">Case management</w:t>
            </w:r>
          </w:p>
        </w:tc>
        <w:tc>
          <w:tcPr/>
          <w:p>
            <w:pPr>
              <w:pStyle w:val="Compact"/>
            </w:pPr>
            <w:r>
              <w:t xml:space="preserve">Models cases with discretionary planning (planning tables/discretionary items) and sentries (event+condition triggers), plus case file items</w:t>
            </w:r>
          </w:p>
        </w:tc>
        <w:tc>
          <w:tcPr/>
          <w:p>
            <w:pPr>
              <w:pStyle w:val="Compact"/>
            </w:pPr>
            <w:r>
              <w:t xml:space="preserve">Discretionary planning as first-class; case file/evolving context; sentry trigger semantics</w:t>
            </w:r>
          </w:p>
        </w:tc>
        <w:tc>
          <w:tcPr/>
          <w:p>
            <w:pPr>
              <w:pStyle w:val="Compact"/>
            </w:pPr>
            <w:r>
              <w:t xml:space="preserve">Interchange doesn’t ensure operational consistency across engines; “discretion” still underspecified for governance/authorization and audit</w:t>
            </w:r>
          </w:p>
        </w:tc>
        <w:tc>
          <w:tcPr/>
          <w:p>
            <w:pPr>
              <w:pStyle w:val="Compact"/>
            </w:pPr>
            <w:r>
              <w:t xml:space="preserve">Seed</w:t>
            </w:r>
            <w:r>
              <w:t xml:space="preserve"> </w:t>
            </w:r>
            <w:hyperlink r:id="rId30">
              <w:r>
                <w:rPr>
                  <w:rStyle w:val="Hyperlink"/>
                </w:rPr>
                <w:t xml:space="preserve">[15]</w:t>
              </w:r>
            </w:hyperlink>
          </w:p>
        </w:tc>
      </w:tr>
      <w:tr>
        <w:tc>
          <w:tcPr/>
          <w:p>
            <w:pPr>
              <w:pStyle w:val="Compact"/>
            </w:pPr>
            <w:r>
              <w:t xml:space="preserve">DMN (reviewed via v1.2 PDF; latest listed as 1.4)</w:t>
            </w:r>
          </w:p>
        </w:tc>
        <w:tc>
          <w:tcPr/>
          <w:p>
            <w:pPr>
              <w:pStyle w:val="Compact"/>
            </w:pPr>
            <w:r>
              <w:t xml:space="preserve">Decisions</w:t>
            </w:r>
          </w:p>
        </w:tc>
        <w:tc>
          <w:tcPr/>
          <w:p>
            <w:pPr>
              <w:pStyle w:val="Compact"/>
            </w:pPr>
            <w:r>
              <w:t xml:space="preserve">Separates decision requirements from decision logic; defines FEEL/S-FEEL; defines conformance levels</w:t>
            </w:r>
          </w:p>
        </w:tc>
        <w:tc>
          <w:tcPr/>
          <w:p>
            <w:pPr>
              <w:pStyle w:val="Compact"/>
            </w:pPr>
            <w:r>
              <w:t xml:space="preserve">Decision/process separation; decision requirements graph; decision tables + formal expression semantics</w:t>
            </w:r>
          </w:p>
        </w:tc>
        <w:tc>
          <w:tcPr/>
          <w:p>
            <w:pPr>
              <w:pStyle w:val="Compact"/>
            </w:pPr>
            <w:r>
              <w:t xml:space="preserve">“Authority requirement” semantics are intentionally vague; explainability/audit hooks not normatively standardized</w:t>
            </w:r>
          </w:p>
        </w:tc>
        <w:tc>
          <w:tcPr/>
          <w:p>
            <w:pPr>
              <w:pStyle w:val="Compact"/>
            </w:pPr>
            <w:r>
              <w:t xml:space="preserve">Seed</w:t>
            </w:r>
            <w:r>
              <w:t xml:space="preserve"> </w:t>
            </w:r>
            <w:hyperlink r:id="rId31">
              <w:r>
                <w:rPr>
                  <w:rStyle w:val="Hyperlink"/>
                </w:rPr>
                <w:t xml:space="preserve">[16]</w:t>
              </w:r>
            </w:hyperlink>
          </w:p>
        </w:tc>
      </w:tr>
      <w:tr>
        <w:tc>
          <w:tcPr/>
          <w:p>
            <w:pPr>
              <w:pStyle w:val="Compact"/>
            </w:pPr>
            <w:r>
              <w:t xml:space="preserve">SCXML 1.0</w:t>
            </w:r>
          </w:p>
        </w:tc>
        <w:tc>
          <w:tcPr/>
          <w:p>
            <w:pPr>
              <w:pStyle w:val="Compact"/>
            </w:pPr>
            <w:r>
              <w:t xml:space="preserve">Formal execution model</w:t>
            </w:r>
          </w:p>
        </w:tc>
        <w:tc>
          <w:tcPr/>
          <w:p>
            <w:pPr>
              <w:pStyle w:val="Compact"/>
            </w:pPr>
            <w:r>
              <w:t xml:space="preserve">A W3C Recommendation with normative semantics and test suite; statecharts-inspired hierarchical/concurrent states</w:t>
            </w:r>
          </w:p>
        </w:tc>
        <w:tc>
          <w:tcPr/>
          <w:p>
            <w:pPr>
              <w:pStyle w:val="Compact"/>
            </w:pPr>
            <w:r>
              <w:t xml:space="preserve">Precise event/state semantics; interpretation algorithm; conformance/test suite model</w:t>
            </w:r>
          </w:p>
        </w:tc>
        <w:tc>
          <w:tcPr/>
          <w:p>
            <w:pPr>
              <w:pStyle w:val="Compact"/>
            </w:pPr>
            <w:r>
              <w:t xml:space="preserve">Needs a modern data/policy/evidence layer; SCXML alone doesn’t define human task semantics</w:t>
            </w:r>
          </w:p>
        </w:tc>
        <w:tc>
          <w:tcPr/>
          <w:p>
            <w:pPr>
              <w:pStyle w:val="Compact"/>
            </w:pPr>
            <w:r>
              <w:t xml:space="preserve">Seed</w:t>
            </w:r>
            <w:r>
              <w:t xml:space="preserve"> </w:t>
            </w:r>
            <w:hyperlink r:id="rId22">
              <w:r>
                <w:rPr>
                  <w:rStyle w:val="Hyperlink"/>
                </w:rPr>
                <w:t xml:space="preserve">[17]</w:t>
              </w:r>
            </w:hyperlink>
          </w:p>
        </w:tc>
      </w:tr>
      <w:tr>
        <w:tc>
          <w:tcPr/>
          <w:p>
            <w:pPr>
              <w:pStyle w:val="Compact"/>
            </w:pPr>
            <w:r>
              <w:t xml:space="preserve">WS-BPEL 2.0</w:t>
            </w:r>
          </w:p>
        </w:tc>
        <w:tc>
          <w:tcPr/>
          <w:p>
            <w:pPr>
              <w:pStyle w:val="Compact"/>
            </w:pPr>
            <w:r>
              <w:t xml:space="preserve">Orchestration (services)</w:t>
            </w:r>
          </w:p>
        </w:tc>
        <w:tc>
          <w:tcPr/>
          <w:p>
            <w:pPr>
              <w:pStyle w:val="Compact"/>
            </w:pPr>
            <w:r>
              <w:t xml:space="preserve">Canonical executable process language for web service composition; tackles long-running interactions and compensation concepts</w:t>
            </w:r>
          </w:p>
        </w:tc>
        <w:tc>
          <w:tcPr/>
          <w:p>
            <w:pPr>
              <w:pStyle w:val="Compact"/>
            </w:pPr>
            <w:r>
              <w:t xml:space="preserve">Scoping, compensation reasoning lineage; choreography/integration focus</w:t>
            </w:r>
          </w:p>
        </w:tc>
        <w:tc>
          <w:tcPr/>
          <w:p>
            <w:pPr>
              <w:pStyle w:val="Compact"/>
            </w:pPr>
            <w:r>
              <w:t xml:space="preserve">SOAP/WSDL era assumptions; too bound to web services stack for modern polyglot eventing</w:t>
            </w:r>
          </w:p>
        </w:tc>
        <w:tc>
          <w:tcPr/>
          <w:p>
            <w:pPr>
              <w:pStyle w:val="Compact"/>
            </w:pPr>
            <w:r>
              <w:t xml:space="preserve">Seed</w:t>
            </w:r>
            <w:r>
              <w:t xml:space="preserve"> </w:t>
            </w:r>
            <w:hyperlink r:id="rId32">
              <w:r>
                <w:rPr>
                  <w:rStyle w:val="Hyperlink"/>
                </w:rPr>
                <w:t xml:space="preserve">[18]</w:t>
              </w:r>
            </w:hyperlink>
          </w:p>
        </w:tc>
      </w:tr>
      <w:tr>
        <w:tc>
          <w:tcPr/>
          <w:p>
            <w:pPr>
              <w:pStyle w:val="Compact"/>
            </w:pPr>
            <w:r>
              <w:t xml:space="preserve">WS-HumanTask 1.1</w:t>
            </w:r>
          </w:p>
        </w:tc>
        <w:tc>
          <w:tcPr/>
          <w:p>
            <w:pPr>
              <w:pStyle w:val="Compact"/>
            </w:pPr>
            <w:r>
              <w:t xml:space="preserve">Human tasks</w:t>
            </w:r>
          </w:p>
        </w:tc>
        <w:tc>
          <w:tcPr/>
          <w:p>
            <w:pPr>
              <w:pStyle w:val="Compact"/>
            </w:pPr>
            <w:r>
              <w:t xml:space="preserve">Explicit task operations, states, deadlines, escalation, delegation, and task history retrieval</w:t>
            </w:r>
          </w:p>
        </w:tc>
        <w:tc>
          <w:tcPr/>
          <w:p>
            <w:pPr>
              <w:pStyle w:val="Compact"/>
            </w:pPr>
            <w:r>
              <w:t xml:space="preserve">Concrete human-task lifecycle, suspend/delegate/claim; explicit history; deadline expressions</w:t>
            </w:r>
          </w:p>
        </w:tc>
        <w:tc>
          <w:tcPr/>
          <w:p>
            <w:pPr>
              <w:pStyle w:val="Compact"/>
            </w:pPr>
            <w:r>
              <w:t xml:space="preserve">SOAP-centric bindings; lacks modern event envelopes and standardized provenance links</w:t>
            </w:r>
          </w:p>
        </w:tc>
        <w:tc>
          <w:tcPr/>
          <w:p>
            <w:pPr>
              <w:pStyle w:val="Compact"/>
            </w:pPr>
            <w:r>
              <w:t xml:space="preserve">Seed</w:t>
            </w:r>
            <w:r>
              <w:t xml:space="preserve"> </w:t>
            </w:r>
            <w:hyperlink r:id="rId23">
              <w:r>
                <w:rPr>
                  <w:rStyle w:val="Hyperlink"/>
                </w:rPr>
                <w:t xml:space="preserve">[19]</w:t>
              </w:r>
            </w:hyperlink>
          </w:p>
        </w:tc>
      </w:tr>
      <w:tr>
        <w:tc>
          <w:tcPr/>
          <w:p>
            <w:pPr>
              <w:pStyle w:val="Compact"/>
            </w:pPr>
            <w:r>
              <w:t xml:space="preserve">BPEL4People 1.1</w:t>
            </w:r>
          </w:p>
        </w:tc>
        <w:tc>
          <w:tcPr/>
          <w:p>
            <w:pPr>
              <w:pStyle w:val="Compact"/>
            </w:pPr>
            <w:r>
              <w:t xml:space="preserve">Human-in-the-loop orchestration</w:t>
            </w:r>
          </w:p>
        </w:tc>
        <w:tc>
          <w:tcPr/>
          <w:p>
            <w:pPr>
              <w:pStyle w:val="Compact"/>
            </w:pPr>
            <w:r>
              <w:t xml:space="preserve">Integrates people activities into BPEL’s orchestration model</w:t>
            </w:r>
          </w:p>
        </w:tc>
        <w:tc>
          <w:tcPr/>
          <w:p>
            <w:pPr>
              <w:pStyle w:val="Compact"/>
            </w:pPr>
            <w:r>
              <w:t xml:space="preserve">Makes human participation explicit in orchestration lineage</w:t>
            </w:r>
          </w:p>
        </w:tc>
        <w:tc>
          <w:tcPr/>
          <w:p>
            <w:pPr>
              <w:pStyle w:val="Compact"/>
            </w:pPr>
            <w:r>
              <w:t xml:space="preserve">Same vintage constraints as WS-BPEL/WS-*; less directly useful than WS-HumanTask abstractions</w:t>
            </w:r>
          </w:p>
        </w:tc>
        <w:tc>
          <w:tcPr/>
          <w:p>
            <w:pPr>
              <w:pStyle w:val="Compact"/>
            </w:pPr>
            <w:r>
              <w:t xml:space="preserve">Seed</w:t>
            </w:r>
            <w:r>
              <w:t xml:space="preserve"> </w:t>
            </w:r>
            <w:hyperlink r:id="rId33">
              <w:r>
                <w:rPr>
                  <w:rStyle w:val="Hyperlink"/>
                </w:rPr>
                <w:t xml:space="preserve">[20]</w:t>
              </w:r>
            </w:hyperlink>
          </w:p>
        </w:tc>
      </w:tr>
      <w:tr>
        <w:tc>
          <w:tcPr/>
          <w:p>
            <w:pPr>
              <w:pStyle w:val="Compact"/>
            </w:pPr>
            <w:r>
              <w:t xml:space="preserve">Serverless Workflow DSL 1.0.0</w:t>
            </w:r>
          </w:p>
        </w:tc>
        <w:tc>
          <w:tcPr/>
          <w:p>
            <w:pPr>
              <w:pStyle w:val="Compact"/>
            </w:pPr>
            <w:r>
              <w:t xml:space="preserve">Modern DSL</w:t>
            </w:r>
          </w:p>
        </w:tc>
        <w:tc>
          <w:tcPr/>
          <w:p>
            <w:pPr>
              <w:pStyle w:val="Compact"/>
            </w:pPr>
            <w:r>
              <w:t xml:space="preserve">Community-driven workflow DSL; defines status phases and CloudEvents-based lifecycle events</w:t>
            </w:r>
          </w:p>
        </w:tc>
        <w:tc>
          <w:tcPr/>
          <w:p>
            <w:pPr>
              <w:pStyle w:val="Compact"/>
            </w:pPr>
            <w:r>
              <w:t xml:space="preserve">Status phases; lifecycle events modeled as CloudEvents; explicit “waiting/suspended/cancelled/faulted” phases</w:t>
            </w:r>
          </w:p>
        </w:tc>
        <w:tc>
          <w:tcPr/>
          <w:p>
            <w:pPr>
              <w:pStyle w:val="Compact"/>
            </w:pPr>
            <w:r>
              <w:t xml:space="preserve">Human tasks and case/evidence semantics are not the primary focus; expression model still risks “script escape hatches”</w:t>
            </w:r>
          </w:p>
        </w:tc>
        <w:tc>
          <w:tcPr/>
          <w:p>
            <w:pPr>
              <w:pStyle w:val="Compact"/>
            </w:pPr>
            <w:r>
              <w:t xml:space="preserve">Seed</w:t>
            </w:r>
            <w:r>
              <w:t xml:space="preserve"> </w:t>
            </w:r>
            <w:hyperlink r:id="rId34">
              <w:r>
                <w:rPr>
                  <w:rStyle w:val="Hyperlink"/>
                </w:rPr>
                <w:t xml:space="preserve">[21]</w:t>
              </w:r>
            </w:hyperlink>
          </w:p>
        </w:tc>
      </w:tr>
      <w:tr>
        <w:tc>
          <w:tcPr/>
          <w:p>
            <w:pPr>
              <w:pStyle w:val="Compact"/>
            </w:pPr>
            <w:r>
              <w:t xml:space="preserve">CloudEvents</w:t>
            </w:r>
          </w:p>
        </w:tc>
        <w:tc>
          <w:tcPr/>
          <w:p>
            <w:pPr>
              <w:pStyle w:val="Compact"/>
            </w:pPr>
            <w:r>
              <w:t xml:space="preserve">Event interchange</w:t>
            </w:r>
          </w:p>
        </w:tc>
        <w:tc>
          <w:tcPr/>
          <w:p>
            <w:pPr>
              <w:pStyle w:val="Compact"/>
            </w:pPr>
            <w:r>
              <w:t xml:space="preserve">Standard event metadata for interoperability across platforms</w:t>
            </w:r>
          </w:p>
        </w:tc>
        <w:tc>
          <w:tcPr/>
          <w:p>
            <w:pPr>
              <w:pStyle w:val="Compact"/>
            </w:pPr>
            <w:r>
              <w:t xml:space="preserve">Cross-system event envelope; consistent metadata; widely adopted in integrations</w:t>
            </w:r>
          </w:p>
        </w:tc>
        <w:tc>
          <w:tcPr/>
          <w:p>
            <w:pPr>
              <w:pStyle w:val="Compact"/>
            </w:pPr>
            <w:r>
              <w:t xml:space="preserve">Doesn’t define domain semantics (task/case/provenance)—must be layered</w:t>
            </w:r>
          </w:p>
        </w:tc>
        <w:tc>
          <w:tcPr/>
          <w:p>
            <w:pPr>
              <w:pStyle w:val="Compact"/>
            </w:pPr>
            <w:r>
              <w:t xml:space="preserve">Seed</w:t>
            </w:r>
            <w:r>
              <w:t xml:space="preserve"> </w:t>
            </w:r>
            <w:hyperlink r:id="rId27">
              <w:r>
                <w:rPr>
                  <w:rStyle w:val="Hyperlink"/>
                </w:rPr>
                <w:t xml:space="preserve">[22]</w:t>
              </w:r>
            </w:hyperlink>
          </w:p>
        </w:tc>
      </w:tr>
      <w:tr>
        <w:tc>
          <w:tcPr/>
          <w:p>
            <w:pPr>
              <w:pStyle w:val="Compact"/>
            </w:pPr>
            <w:r>
              <w:t xml:space="preserve">JSON Schema (2020-12) + OpenAPI + AsyncAPI</w:t>
            </w:r>
          </w:p>
        </w:tc>
        <w:tc>
          <w:tcPr/>
          <w:p>
            <w:pPr>
              <w:pStyle w:val="Compact"/>
            </w:pPr>
            <w:r>
              <w:t xml:space="preserve">Data contracts</w:t>
            </w:r>
          </w:p>
        </w:tc>
        <w:tc>
          <w:tcPr/>
          <w:p>
            <w:pPr>
              <w:pStyle w:val="Compact"/>
            </w:pPr>
            <w:r>
              <w:t xml:space="preserve">Schema validation and interface portability for inputs/outputs, tasks, decisions, integrations</w:t>
            </w:r>
          </w:p>
        </w:tc>
        <w:tc>
          <w:tcPr/>
          <w:p>
            <w:pPr>
              <w:pStyle w:val="Compact"/>
            </w:pPr>
            <w:r>
              <w:t xml:space="preserve">Validation vocabulary for machine-friendly artifacts; broad tooling ecosystem</w:t>
            </w:r>
          </w:p>
        </w:tc>
        <w:tc>
          <w:tcPr/>
          <w:p>
            <w:pPr>
              <w:pStyle w:val="Compact"/>
            </w:pPr>
            <w:r>
              <w:t xml:space="preserve">Schema alone doesn’t define lifecycle semantics, provenance, or temporal guarantees</w:t>
            </w:r>
          </w:p>
        </w:tc>
        <w:tc>
          <w:tcPr/>
          <w:p>
            <w:pPr>
              <w:pStyle w:val="Compact"/>
            </w:pPr>
            <w:r>
              <w:t xml:space="preserve">Seed</w:t>
            </w:r>
            <w:r>
              <w:t xml:space="preserve"> </w:t>
            </w:r>
            <w:hyperlink r:id="rId35">
              <w:r>
                <w:rPr>
                  <w:rStyle w:val="Hyperlink"/>
                </w:rPr>
                <w:t xml:space="preserve">[23]</w:t>
              </w:r>
            </w:hyperlink>
          </w:p>
        </w:tc>
      </w:tr>
      <w:tr>
        <w:tc>
          <w:tcPr/>
          <w:p>
            <w:pPr>
              <w:pStyle w:val="Compact"/>
            </w:pPr>
            <w:r>
              <w:t xml:space="preserve">W3C PROV (PROV-DM, PROV-O, PROV-XML, PROV-CONSTRAINTS)</w:t>
            </w:r>
          </w:p>
        </w:tc>
        <w:tc>
          <w:tcPr/>
          <w:p>
            <w:pPr>
              <w:pStyle w:val="Compact"/>
            </w:pPr>
            <w:r>
              <w:t xml:space="preserve">Provenance/audit</w:t>
            </w:r>
          </w:p>
        </w:tc>
        <w:tc>
          <w:tcPr/>
          <w:p>
            <w:pPr>
              <w:pStyle w:val="Compact"/>
            </w:pPr>
            <w:r>
              <w:t xml:space="preserve">Provides a conceptual provenance model and constraints for validity/equivalence</w:t>
            </w:r>
          </w:p>
        </w:tc>
        <w:tc>
          <w:tcPr/>
          <w:p>
            <w:pPr>
              <w:pStyle w:val="Compact"/>
            </w:pPr>
            <w:r>
              <w:t xml:space="preserve">Mature provenance core concepts (entity/activity/agent) + constraint checking</w:t>
            </w:r>
          </w:p>
        </w:tc>
        <w:tc>
          <w:tcPr/>
          <w:p>
            <w:pPr>
              <w:pStyle w:val="Compact"/>
            </w:pPr>
            <w:r>
              <w:t xml:space="preserve">Needs a workflow-specific profile (task/case/decision events) to be practical</w:t>
            </w:r>
          </w:p>
        </w:tc>
        <w:tc>
          <w:tcPr/>
          <w:p>
            <w:pPr>
              <w:pStyle w:val="Compact"/>
            </w:pPr>
            <w:r>
              <w:t xml:space="preserve">Discovered</w:t>
            </w:r>
            <w:r>
              <w:t xml:space="preserve"> </w:t>
            </w:r>
            <w:hyperlink r:id="rId25">
              <w:r>
                <w:rPr>
                  <w:rStyle w:val="Hyperlink"/>
                </w:rPr>
                <w:t xml:space="preserve">[24]</w:t>
              </w:r>
            </w:hyperlink>
          </w:p>
        </w:tc>
      </w:tr>
      <w:tr>
        <w:tc>
          <w:tcPr/>
          <w:p>
            <w:pPr>
              <w:pStyle w:val="Compact"/>
            </w:pPr>
            <w:r>
              <w:t xml:space="preserve">OpenTelemetry + W3C Trace Context</w:t>
            </w:r>
          </w:p>
        </w:tc>
        <w:tc>
          <w:tcPr/>
          <w:p>
            <w:pPr>
              <w:pStyle w:val="Compact"/>
            </w:pPr>
            <w:r>
              <w:t xml:space="preserve">Observability/correlation</w:t>
            </w:r>
          </w:p>
        </w:tc>
        <w:tc>
          <w:tcPr/>
          <w:p>
            <w:pPr>
              <w:pStyle w:val="Compact"/>
            </w:pPr>
            <w:r>
              <w:t xml:space="preserve">Defines standardized tracing/context propagation and compliance concepts</w:t>
            </w:r>
          </w:p>
        </w:tc>
        <w:tc>
          <w:tcPr/>
          <w:p>
            <w:pPr>
              <w:pStyle w:val="Compact"/>
            </w:pPr>
            <w:r>
              <w:t xml:space="preserve">Causality across distributed operations; compliance framing; context propagation semantics</w:t>
            </w:r>
          </w:p>
        </w:tc>
        <w:tc>
          <w:tcPr/>
          <w:p>
            <w:pPr>
              <w:pStyle w:val="Compact"/>
            </w:pPr>
            <w:r>
              <w:t xml:space="preserve">Workflow semantics must decide what to propagate as “business context” vs sensitive data</w:t>
            </w:r>
          </w:p>
        </w:tc>
        <w:tc>
          <w:tcPr/>
          <w:p>
            <w:pPr>
              <w:pStyle w:val="Compact"/>
            </w:pPr>
            <w:r>
              <w:t xml:space="preserve">Discovered</w:t>
            </w:r>
            <w:r>
              <w:t xml:space="preserve"> </w:t>
            </w:r>
            <w:hyperlink r:id="rId36">
              <w:r>
                <w:rPr>
                  <w:rStyle w:val="Hyperlink"/>
                </w:rPr>
                <w:t xml:space="preserve">[25]</w:t>
              </w:r>
            </w:hyperlink>
          </w:p>
        </w:tc>
      </w:tr>
      <w:tr>
        <w:tc>
          <w:tcPr/>
          <w:p>
            <w:pPr>
              <w:pStyle w:val="Compact"/>
            </w:pPr>
            <w:r>
              <w:t xml:space="preserve">XES + OCEL 2.0</w:t>
            </w:r>
          </w:p>
        </w:tc>
        <w:tc>
          <w:tcPr/>
          <w:p>
            <w:pPr>
              <w:pStyle w:val="Compact"/>
            </w:pPr>
            <w:r>
              <w:t xml:space="preserve">Audit/event logs</w:t>
            </w:r>
          </w:p>
        </w:tc>
        <w:tc>
          <w:tcPr/>
          <w:p>
            <w:pPr>
              <w:pStyle w:val="Compact"/>
            </w:pPr>
            <w:r>
              <w:t xml:space="preserve">Interchange formats for event logs used in process mining; OCEL generalizes beyond single “case id” logs</w:t>
            </w:r>
          </w:p>
        </w:tc>
        <w:tc>
          <w:tcPr/>
          <w:p>
            <w:pPr>
              <w:pStyle w:val="Compact"/>
            </w:pPr>
            <w:r>
              <w:t xml:space="preserve">Portable audit log structures; OCEL supports object relationships and object changes</w:t>
            </w:r>
          </w:p>
        </w:tc>
        <w:tc>
          <w:tcPr/>
          <w:p>
            <w:pPr>
              <w:pStyle w:val="Compact"/>
            </w:pPr>
            <w:r>
              <w:t xml:space="preserve">Need tighter semantics for “why/authority/evidence” and alignment with runtime histories</w:t>
            </w:r>
          </w:p>
        </w:tc>
        <w:tc>
          <w:tcPr/>
          <w:p>
            <w:pPr>
              <w:pStyle w:val="Compact"/>
            </w:pPr>
            <w:r>
              <w:t xml:space="preserve">Discovered</w:t>
            </w:r>
            <w:r>
              <w:t xml:space="preserve"> </w:t>
            </w:r>
            <w:hyperlink r:id="rId37">
              <w:r>
                <w:rPr>
                  <w:rStyle w:val="Hyperlink"/>
                </w:rPr>
                <w:t xml:space="preserve">[26]</w:t>
              </w:r>
            </w:hyperlink>
          </w:p>
        </w:tc>
      </w:tr>
      <w:tr>
        <w:tc>
          <w:tcPr/>
          <w:p>
            <w:pPr>
              <w:pStyle w:val="Compact"/>
            </w:pPr>
            <w:r>
              <w:t xml:space="preserve">XACML 3.0</w:t>
            </w:r>
          </w:p>
        </w:tc>
        <w:tc>
          <w:tcPr/>
          <w:p>
            <w:pPr>
              <w:pStyle w:val="Compact"/>
            </w:pPr>
            <w:r>
              <w:t xml:space="preserve">Policy/authorization</w:t>
            </w:r>
          </w:p>
        </w:tc>
        <w:tc>
          <w:tcPr/>
          <w:p>
            <w:pPr>
              <w:pStyle w:val="Compact"/>
            </w:pPr>
            <w:r>
              <w:t xml:space="preserve">Formal model of PDP/PEP policy evaluation, combining algorithms, obligations/advice</w:t>
            </w:r>
          </w:p>
        </w:tc>
        <w:tc>
          <w:tcPr/>
          <w:p>
            <w:pPr>
              <w:pStyle w:val="Compact"/>
            </w:pPr>
            <w:r>
              <w:t xml:space="preserve">Separation of decision from enforcement; combining semantics; obligations/advice for “what must happen next”</w:t>
            </w:r>
          </w:p>
        </w:tc>
        <w:tc>
          <w:tcPr/>
          <w:p>
            <w:pPr>
              <w:pStyle w:val="Compact"/>
            </w:pPr>
            <w:r>
              <w:t xml:space="preserve">XML-heavy; complex; doesn’t directly model workflow/case states; explanation still nontrivial</w:t>
            </w:r>
          </w:p>
        </w:tc>
        <w:tc>
          <w:tcPr/>
          <w:p>
            <w:pPr>
              <w:pStyle w:val="Compact"/>
            </w:pPr>
            <w:r>
              <w:t xml:space="preserve">Discovered</w:t>
            </w:r>
            <w:r>
              <w:t xml:space="preserve"> </w:t>
            </w:r>
            <w:hyperlink r:id="rId38">
              <w:r>
                <w:rPr>
                  <w:rStyle w:val="Hyperlink"/>
                </w:rPr>
                <w:t xml:space="preserve">[27]</w:t>
              </w:r>
            </w:hyperlink>
          </w:p>
        </w:tc>
      </w:tr>
      <w:tr>
        <w:tc>
          <w:tcPr/>
          <w:p>
            <w:pPr>
              <w:pStyle w:val="Compact"/>
            </w:pPr>
            <w:r>
              <w:t xml:space="preserve">OPA/Rego</w:t>
            </w:r>
          </w:p>
        </w:tc>
        <w:tc>
          <w:tcPr/>
          <w:p>
            <w:pPr>
              <w:pStyle w:val="Compact"/>
            </w:pPr>
            <w:r>
              <w:t xml:space="preserve">Policy-as-code</w:t>
            </w:r>
          </w:p>
        </w:tc>
        <w:tc>
          <w:tcPr/>
          <w:p>
            <w:pPr>
              <w:pStyle w:val="Compact"/>
            </w:pPr>
            <w:r>
              <w:t xml:space="preserve">Explicitly decouples policy decision from enforcement; testing model</w:t>
            </w:r>
          </w:p>
        </w:tc>
        <w:tc>
          <w:tcPr/>
          <w:p>
            <w:pPr>
              <w:pStyle w:val="Compact"/>
            </w:pPr>
            <w:r>
              <w:t xml:space="preserve">Practical policy separation; testability; JSON-native input model</w:t>
            </w:r>
          </w:p>
        </w:tc>
        <w:tc>
          <w:tcPr/>
          <w:p>
            <w:pPr>
              <w:pStyle w:val="Compact"/>
            </w:pPr>
            <w:r>
              <w:t xml:space="preserve">No single interoperability spec for policy explanation/trace across engines</w:t>
            </w:r>
          </w:p>
        </w:tc>
        <w:tc>
          <w:tcPr/>
          <w:p>
            <w:pPr>
              <w:pStyle w:val="Compact"/>
            </w:pPr>
            <w:r>
              <w:t xml:space="preserve">Discovered</w:t>
            </w:r>
            <w:r>
              <w:t xml:space="preserve"> </w:t>
            </w:r>
            <w:hyperlink r:id="rId39">
              <w:r>
                <w:rPr>
                  <w:rStyle w:val="Hyperlink"/>
                </w:rPr>
                <w:t xml:space="preserve">[28]</w:t>
              </w:r>
            </w:hyperlink>
          </w:p>
        </w:tc>
      </w:tr>
      <w:tr>
        <w:tc>
          <w:tcPr/>
          <w:p>
            <w:pPr>
              <w:pStyle w:val="Compact"/>
            </w:pPr>
            <w:r>
              <w:t xml:space="preserve">Cedar policy language</w:t>
            </w:r>
          </w:p>
        </w:tc>
        <w:tc>
          <w:tcPr/>
          <w:p>
            <w:pPr>
              <w:pStyle w:val="Compact"/>
            </w:pPr>
            <w:r>
              <w:t xml:space="preserve">Analyzable authorization</w:t>
            </w:r>
          </w:p>
        </w:tc>
        <w:tc>
          <w:tcPr/>
          <w:p>
            <w:pPr>
              <w:pStyle w:val="Compact"/>
            </w:pPr>
            <w:r>
              <w:t xml:space="preserve">Formal semantics and schema-based validation focus for authorization policies</w:t>
            </w:r>
          </w:p>
        </w:tc>
        <w:tc>
          <w:tcPr/>
          <w:p>
            <w:pPr>
              <w:pStyle w:val="Compact"/>
            </w:pPr>
            <w:r>
              <w:t xml:space="preserve">Strong analyzability story; schema-guided validation; formal semantics claims</w:t>
            </w:r>
          </w:p>
        </w:tc>
        <w:tc>
          <w:tcPr/>
          <w:p>
            <w:pPr>
              <w:pStyle w:val="Compact"/>
            </w:pPr>
            <w:r>
              <w:t xml:space="preserve">Authorization-focused (not full workflow policy); still needs workflow-level integration/explanations</w:t>
            </w:r>
          </w:p>
        </w:tc>
        <w:tc>
          <w:tcPr/>
          <w:p>
            <w:pPr>
              <w:pStyle w:val="Compact"/>
            </w:pPr>
            <w:r>
              <w:t xml:space="preserve">Discovered</w:t>
            </w:r>
            <w:r>
              <w:t xml:space="preserve"> </w:t>
            </w:r>
            <w:hyperlink r:id="rId40">
              <w:r>
                <w:rPr>
                  <w:rStyle w:val="Hyperlink"/>
                </w:rPr>
                <w:t xml:space="preserve">[29]</w:t>
              </w:r>
            </w:hyperlink>
          </w:p>
        </w:tc>
      </w:tr>
      <w:tr>
        <w:tc>
          <w:tcPr/>
          <w:p>
            <w:pPr>
              <w:pStyle w:val="Compact"/>
            </w:pPr>
            <w:r>
              <w:t xml:space="preserve">Zanzibar model + OpenFGA</w:t>
            </w:r>
          </w:p>
        </w:tc>
        <w:tc>
          <w:tcPr/>
          <w:p>
            <w:pPr>
              <w:pStyle w:val="Compact"/>
            </w:pPr>
            <w:r>
              <w:t xml:space="preserve">Relationship-based authorization</w:t>
            </w:r>
          </w:p>
        </w:tc>
        <w:tc>
          <w:tcPr/>
          <w:p>
            <w:pPr>
              <w:pStyle w:val="Compact"/>
            </w:pPr>
            <w:r>
              <w:t xml:space="preserve">Demonstrates durable model for large-scale, consistent authorization based on relationship tuples</w:t>
            </w:r>
          </w:p>
        </w:tc>
        <w:tc>
          <w:tcPr/>
          <w:p>
            <w:pPr>
              <w:pStyle w:val="Compact"/>
            </w:pPr>
            <w:r>
              <w:t xml:space="preserve">Clear conceptual model for ReBAC; decouples auth data model from services</w:t>
            </w:r>
          </w:p>
        </w:tc>
        <w:tc>
          <w:tcPr/>
          <w:p>
            <w:pPr>
              <w:pStyle w:val="Compact"/>
            </w:pPr>
            <w:r>
              <w:t xml:space="preserve">Workflow standard must decide how deeply to standardize auth (likely references, not full auth system)</w:t>
            </w:r>
          </w:p>
        </w:tc>
        <w:tc>
          <w:tcPr/>
          <w:p>
            <w:pPr>
              <w:pStyle w:val="Compact"/>
            </w:pPr>
            <w:r>
              <w:t xml:space="preserve">Discovered</w:t>
            </w:r>
            <w:r>
              <w:t xml:space="preserve"> </w:t>
            </w:r>
            <w:hyperlink r:id="rId41">
              <w:r>
                <w:rPr>
                  <w:rStyle w:val="Hyperlink"/>
                </w:rPr>
                <w:t xml:space="preserve">[30]</w:t>
              </w:r>
            </w:hyperlink>
          </w:p>
        </w:tc>
      </w:tr>
      <w:tr>
        <w:tc>
          <w:tcPr/>
          <w:p>
            <w:pPr>
              <w:pStyle w:val="Compact"/>
            </w:pPr>
            <w:r>
              <w:t xml:space="preserve">Durable Functions semantics + Temporal durable execution docs</w:t>
            </w:r>
          </w:p>
        </w:tc>
        <w:tc>
          <w:tcPr/>
          <w:p>
            <w:pPr>
              <w:pStyle w:val="Compact"/>
            </w:pPr>
            <w:r>
              <w:t xml:space="preserve">Runtime resilience</w:t>
            </w:r>
          </w:p>
        </w:tc>
        <w:tc>
          <w:tcPr/>
          <w:p>
            <w:pPr>
              <w:pStyle w:val="Compact"/>
            </w:pPr>
            <w:r>
              <w:t xml:space="preserve">Event-history / replay-based durable execution; determinism constraints explicitly documented</w:t>
            </w:r>
          </w:p>
        </w:tc>
        <w:tc>
          <w:tcPr/>
          <w:p>
            <w:pPr>
              <w:pStyle w:val="Compact"/>
            </w:pPr>
            <w:r>
              <w:t xml:space="preserve">Concrete semantics for durability and replay; highlights versioning traps</w:t>
            </w:r>
          </w:p>
        </w:tc>
        <w:tc>
          <w:tcPr/>
          <w:p>
            <w:pPr>
              <w:pStyle w:val="Compact"/>
            </w:pPr>
            <w:r>
              <w:t xml:space="preserve">Not standards; must be abstracted into implementation-neutral conformance requirements</w:t>
            </w:r>
          </w:p>
        </w:tc>
        <w:tc>
          <w:tcPr/>
          <w:p>
            <w:pPr>
              <w:pStyle w:val="Compact"/>
            </w:pPr>
            <w:r>
              <w:t xml:space="preserve">Discovered</w:t>
            </w:r>
            <w:r>
              <w:t xml:space="preserve"> </w:t>
            </w:r>
            <w:hyperlink r:id="rId42">
              <w:r>
                <w:rPr>
                  <w:rStyle w:val="Hyperlink"/>
                </w:rPr>
                <w:t xml:space="preserve">[31]</w:t>
              </w:r>
            </w:hyperlink>
          </w:p>
        </w:tc>
      </w:tr>
      <w:tr>
        <w:tc>
          <w:tcPr/>
          <w:p>
            <w:pPr>
              <w:pStyle w:val="Compact"/>
            </w:pPr>
            <w:r>
              <w:t xml:space="preserve">Amazon States Language</w:t>
            </w:r>
          </w:p>
        </w:tc>
        <w:tc>
          <w:tcPr/>
          <w:p>
            <w:pPr>
              <w:pStyle w:val="Compact"/>
            </w:pPr>
            <w:r>
              <w:t xml:space="preserve">State-machine DSL</w:t>
            </w:r>
          </w:p>
        </w:tc>
        <w:tc>
          <w:tcPr/>
          <w:p>
            <w:pPr>
              <w:pStyle w:val="Compact"/>
            </w:pPr>
            <w:r>
              <w:t xml:space="preserve">Practical, widely implemented state-machine DSL for orchestration constructs</w:t>
            </w:r>
          </w:p>
        </w:tc>
        <w:tc>
          <w:tcPr/>
          <w:p>
            <w:pPr>
              <w:pStyle w:val="Compact"/>
            </w:pPr>
            <w:r>
              <w:t xml:space="preserve">Clear state types (Task/Choice/Parallel/Map/Wait/etc.); understandable semantics</w:t>
            </w:r>
          </w:p>
        </w:tc>
        <w:tc>
          <w:tcPr/>
          <w:p>
            <w:pPr>
              <w:pStyle w:val="Compact"/>
            </w:pPr>
            <w:r>
              <w:t xml:space="preserve">Vendor-owned; limited human-task/case semantics; portability beyond ecosystem is partial</w:t>
            </w:r>
          </w:p>
        </w:tc>
        <w:tc>
          <w:tcPr/>
          <w:p>
            <w:pPr>
              <w:pStyle w:val="Compact"/>
            </w:pPr>
            <w:r>
              <w:t xml:space="preserve">Discovered</w:t>
            </w:r>
            <w:r>
              <w:t xml:space="preserve"> </w:t>
            </w:r>
            <w:hyperlink r:id="rId43">
              <w:r>
                <w:rPr>
                  <w:rStyle w:val="Hyperlink"/>
                </w:rPr>
                <w:t xml:space="preserve">[32]</w:t>
              </w:r>
            </w:hyperlink>
          </w:p>
        </w:tc>
      </w:tr>
      <w:tr>
        <w:tc>
          <w:tcPr/>
          <w:p>
            <w:pPr>
              <w:pStyle w:val="Compact"/>
            </w:pPr>
            <w:r>
              <w:t xml:space="preserve">Arazzo Specification</w:t>
            </w:r>
          </w:p>
        </w:tc>
        <w:tc>
          <w:tcPr/>
          <w:p>
            <w:pPr>
              <w:pStyle w:val="Compact"/>
            </w:pPr>
            <w:r>
              <w:t xml:space="preserve">API call sequences</w:t>
            </w:r>
          </w:p>
        </w:tc>
        <w:tc>
          <w:tcPr/>
          <w:p>
            <w:pPr>
              <w:pStyle w:val="Compact"/>
            </w:pPr>
            <w:r>
              <w:t xml:space="preserve">Standardizes sequences and dependencies between API calls; useful for integration subgraphs</w:t>
            </w:r>
          </w:p>
        </w:tc>
        <w:tc>
          <w:tcPr/>
          <w:p>
            <w:pPr>
              <w:pStyle w:val="Compact"/>
            </w:pPr>
            <w:r>
              <w:t xml:space="preserve">Declarative call-sequence modeling aligned with OpenAPI artifacts</w:t>
            </w:r>
          </w:p>
        </w:tc>
        <w:tc>
          <w:tcPr/>
          <w:p>
            <w:pPr>
              <w:pStyle w:val="Compact"/>
            </w:pPr>
            <w:r>
              <w:t xml:space="preserve">Not a full workflow/case model; scope is API sequences and dependencies</w:t>
            </w:r>
          </w:p>
        </w:tc>
        <w:tc>
          <w:tcPr/>
          <w:p>
            <w:pPr>
              <w:pStyle w:val="Compact"/>
            </w:pPr>
            <w:r>
              <w:t xml:space="preserve">Discovered</w:t>
            </w:r>
            <w:r>
              <w:t xml:space="preserve"> </w:t>
            </w:r>
            <w:hyperlink r:id="rId44">
              <w:r>
                <w:rPr>
                  <w:rStyle w:val="Hyperlink"/>
                </w:rPr>
                <w:t xml:space="preserve">[33]</w:t>
              </w:r>
            </w:hyperlink>
          </w:p>
        </w:tc>
      </w:tr>
      <w:tr>
        <w:tc>
          <w:tcPr/>
          <w:p>
            <w:pPr>
              <w:pStyle w:val="Compact"/>
            </w:pPr>
            <w:r>
              <w:t xml:space="preserve">HL7 International</w:t>
            </w:r>
            <w:hyperlink r:id="rId45">
              <w:r>
                <w:rPr>
                  <w:rStyle w:val="Hyperlink"/>
                </w:rPr>
                <w:t xml:space="preserve">[34]</w:t>
              </w:r>
            </w:hyperlink>
            <w:r>
              <w:t xml:space="preserve"> </w:t>
            </w:r>
            <w:r>
              <w:t xml:space="preserve">FHIR Workflow/Task/AuditEvent</w:t>
            </w:r>
          </w:p>
        </w:tc>
        <w:tc>
          <w:tcPr/>
          <w:p>
            <w:pPr>
              <w:pStyle w:val="Compact"/>
            </w:pPr>
            <w:r>
              <w:t xml:space="preserve">Domain workflow + audit</w:t>
            </w:r>
          </w:p>
        </w:tc>
        <w:tc>
          <w:tcPr/>
          <w:p>
            <w:pPr>
              <w:pStyle w:val="Compact"/>
            </w:pPr>
            <w:r>
              <w:t xml:space="preserve">Real-world high-stakes workflows and audit semantics in healthcare; tasks as resources; audit events as standardized records</w:t>
            </w:r>
          </w:p>
        </w:tc>
        <w:tc>
          <w:tcPr/>
          <w:p>
            <w:pPr>
              <w:pStyle w:val="Compact"/>
            </w:pPr>
            <w:r>
              <w:t xml:space="preserve">Task lifecycle visibility; explicit AuditEvent resource; PlanDefinition as sharable workflow-like artifact</w:t>
            </w:r>
          </w:p>
        </w:tc>
        <w:tc>
          <w:tcPr/>
          <w:p>
            <w:pPr>
              <w:pStyle w:val="Compact"/>
            </w:pPr>
            <w:r>
              <w:t xml:space="preserve">Healthcare profile, not general-purpose; still valuable as pattern source</w:t>
            </w:r>
          </w:p>
        </w:tc>
        <w:tc>
          <w:tcPr/>
          <w:p>
            <w:pPr>
              <w:pStyle w:val="Compact"/>
            </w:pPr>
            <w:r>
              <w:t xml:space="preserve">Discovered</w:t>
            </w:r>
            <w:r>
              <w:t xml:space="preserve"> </w:t>
            </w:r>
            <w:hyperlink r:id="rId46">
              <w:r>
                <w:rPr>
                  <w:rStyle w:val="Hyperlink"/>
                </w:rPr>
                <w:t xml:space="preserve">[35]</w:t>
              </w:r>
            </w:hyperlink>
          </w:p>
        </w:tc>
      </w:tr>
      <w:tr>
        <w:tc>
          <w:tcPr/>
          <w:p>
            <w:pPr>
              <w:pStyle w:val="Compact"/>
            </w:pPr>
            <w:r>
              <w:t xml:space="preserve">NIEM conformance + NDR 6.0</w:t>
            </w:r>
          </w:p>
        </w:tc>
        <w:tc>
          <w:tcPr/>
          <w:p>
            <w:pPr>
              <w:pStyle w:val="Compact"/>
            </w:pPr>
            <w:r>
              <w:t xml:space="preserve">Gov data contracts</w:t>
            </w:r>
          </w:p>
        </w:tc>
        <w:tc>
          <w:tcPr/>
          <w:p>
            <w:pPr>
              <w:pStyle w:val="Compact"/>
            </w:pPr>
            <w:r>
              <w:t xml:space="preserve">Conformance rules and naming/design rules for interoperable schemas in government exchanges</w:t>
            </w:r>
          </w:p>
        </w:tc>
        <w:tc>
          <w:tcPr/>
          <w:p>
            <w:pPr>
              <w:pStyle w:val="Compact"/>
            </w:pPr>
            <w:r>
              <w:t xml:space="preserve">Strong conformance discipline; rule-based conformance checks (incl. Schematron references)</w:t>
            </w:r>
          </w:p>
        </w:tc>
        <w:tc>
          <w:tcPr/>
          <w:p>
            <w:pPr>
              <w:pStyle w:val="Compact"/>
            </w:pPr>
            <w:r>
              <w:t xml:space="preserve">XML-centric; not a workflow semantics standard, but deeply relevant to high-stakes data interchange</w:t>
            </w:r>
          </w:p>
        </w:tc>
        <w:tc>
          <w:tcPr/>
          <w:p>
            <w:pPr>
              <w:pStyle w:val="Compact"/>
            </w:pPr>
            <w:r>
              <w:t xml:space="preserve">Discovered</w:t>
            </w:r>
            <w:r>
              <w:t xml:space="preserve"> </w:t>
            </w:r>
            <w:hyperlink r:id="rId47">
              <w:r>
                <w:rPr>
                  <w:rStyle w:val="Hyperlink"/>
                </w:rPr>
                <w:t xml:space="preserve">[36]</w:t>
              </w:r>
            </w:hyperlink>
          </w:p>
        </w:tc>
      </w:tr>
      <w:tr>
        <w:tc>
          <w:tcPr/>
          <w:p>
            <w:pPr>
              <w:pStyle w:val="Compact"/>
            </w:pPr>
            <w:r>
              <w:t xml:space="preserve">PROV-friendly JSON canonicalization + typed patches</w:t>
            </w:r>
          </w:p>
        </w:tc>
        <w:tc>
          <w:tcPr/>
          <w:p>
            <w:pPr>
              <w:pStyle w:val="Compact"/>
            </w:pPr>
            <w:r>
              <w:t xml:space="preserve">AI-native authoring substrate</w:t>
            </w:r>
          </w:p>
        </w:tc>
        <w:tc>
          <w:tcPr/>
          <w:p>
            <w:pPr>
              <w:pStyle w:val="Compact"/>
            </w:pPr>
            <w:r>
              <w:t xml:space="preserve">Canonical JSON for hashing/signing; JSON Patch/Merge Patch/Pointers for structured edits</w:t>
            </w:r>
          </w:p>
        </w:tc>
        <w:tc>
          <w:tcPr/>
          <w:p>
            <w:pPr>
              <w:pStyle w:val="Compact"/>
            </w:pPr>
            <w:r>
              <w:t xml:space="preserve">Enables reproducible diffs and cryptographic anchoring; supports tool-assisted editing and review</w:t>
            </w:r>
          </w:p>
        </w:tc>
        <w:tc>
          <w:tcPr/>
          <w:p>
            <w:pPr>
              <w:pStyle w:val="Compact"/>
            </w:pPr>
            <w:r>
              <w:t xml:space="preserve">Needs workflow-domain constraints and semantics layered above</w:t>
            </w:r>
          </w:p>
        </w:tc>
        <w:tc>
          <w:tcPr/>
          <w:p>
            <w:pPr>
              <w:pStyle w:val="Compact"/>
            </w:pPr>
            <w:r>
              <w:t xml:space="preserve">Discovered</w:t>
            </w:r>
            <w:r>
              <w:t xml:space="preserve"> </w:t>
            </w:r>
            <w:hyperlink r:id="rId28">
              <w:r>
                <w:rPr>
                  <w:rStyle w:val="Hyperlink"/>
                </w:rPr>
                <w:t xml:space="preserve">[37]</w:t>
              </w:r>
            </w:hyperlink>
          </w:p>
        </w:tc>
      </w:tr>
      <w:tr>
        <w:tc>
          <w:tcPr/>
          <w:p>
            <w:pPr>
              <w:pStyle w:val="Compact"/>
            </w:pPr>
            <w:r>
              <w:t xml:space="preserve">Language Server Protocol</w:t>
            </w:r>
          </w:p>
        </w:tc>
        <w:tc>
          <w:tcPr/>
          <w:p>
            <w:pPr>
              <w:pStyle w:val="Compact"/>
            </w:pPr>
            <w:r>
              <w:t xml:space="preserve">AI-native tooling</w:t>
            </w:r>
          </w:p>
        </w:tc>
        <w:tc>
          <w:tcPr/>
          <w:p>
            <w:pPr>
              <w:pStyle w:val="Compact"/>
            </w:pPr>
            <w:r>
              <w:t xml:space="preserve">Standard protocol for editor↔language-server diagnostics and code actions</w:t>
            </w:r>
          </w:p>
        </w:tc>
        <w:tc>
          <w:tcPr/>
          <w:p>
            <w:pPr>
              <w:pStyle w:val="Compact"/>
            </w:pPr>
            <w:r>
              <w:t xml:space="preserve">A proven delivery mechanism for structured diagnostics, refactors, and validation feedback loops</w:t>
            </w:r>
          </w:p>
        </w:tc>
        <w:tc>
          <w:tcPr/>
          <w:p>
            <w:pPr>
              <w:pStyle w:val="Compact"/>
            </w:pPr>
            <w:r>
              <w:t xml:space="preserve">Not a workflow semantics spec; but informs the “AI-native authoring” toolchain expectations</w:t>
            </w:r>
          </w:p>
        </w:tc>
        <w:tc>
          <w:tcPr/>
          <w:p>
            <w:pPr>
              <w:pStyle w:val="Compact"/>
            </w:pPr>
            <w:r>
              <w:t xml:space="preserve">Discovered</w:t>
            </w:r>
            <w:r>
              <w:t xml:space="preserve"> </w:t>
            </w:r>
            <w:hyperlink r:id="rId48">
              <w:r>
                <w:rPr>
                  <w:rStyle w:val="Hyperlink"/>
                </w:rPr>
                <w:t xml:space="preserve">[38]</w:t>
              </w:r>
            </w:hyperlink>
          </w:p>
        </w:tc>
      </w:tr>
      <w:tr>
        <w:tc>
          <w:tcPr/>
          <w:p>
            <w:pPr>
              <w:pStyle w:val="Compact"/>
            </w:pPr>
            <w:r>
              <w:t xml:space="preserve">iCalendar (RFC 5545) + RFC 3339</w:t>
            </w:r>
          </w:p>
        </w:tc>
        <w:tc>
          <w:tcPr/>
          <w:p>
            <w:pPr>
              <w:pStyle w:val="Compact"/>
            </w:pPr>
            <w:r>
              <w:t xml:space="preserve">Temporal semantics</w:t>
            </w:r>
          </w:p>
        </w:tc>
        <w:tc>
          <w:tcPr/>
          <w:p>
            <w:pPr>
              <w:pStyle w:val="Compact"/>
            </w:pPr>
            <w:r>
              <w:t xml:space="preserve">Established formats for scheduling and timestamps; RRULE recurrence</w:t>
            </w:r>
          </w:p>
        </w:tc>
        <w:tc>
          <w:tcPr/>
          <w:p>
            <w:pPr>
              <w:pStyle w:val="Compact"/>
            </w:pPr>
            <w:r>
              <w:t xml:space="preserve">Portable recurrence semantics; timestamp profile clarity</w:t>
            </w:r>
          </w:p>
        </w:tc>
        <w:tc>
          <w:tcPr/>
          <w:p>
            <w:pPr>
              <w:pStyle w:val="Compact"/>
            </w:pPr>
            <w:r>
              <w:t xml:space="preserve">Business calendars/SLAs still need domain profiles</w:t>
            </w:r>
          </w:p>
        </w:tc>
        <w:tc>
          <w:tcPr/>
          <w:p>
            <w:pPr>
              <w:pStyle w:val="Compact"/>
            </w:pPr>
            <w:r>
              <w:t xml:space="preserve">Discovered</w:t>
            </w:r>
            <w:r>
              <w:t xml:space="preserve"> </w:t>
            </w:r>
            <w:hyperlink r:id="rId49">
              <w:r>
                <w:rPr>
                  <w:rStyle w:val="Hyperlink"/>
                </w:rPr>
                <w:t xml:space="preserve">[39]</w:t>
              </w:r>
            </w:hyperlink>
          </w:p>
        </w:tc>
      </w:tr>
    </w:tbl>
    <w:bookmarkEnd w:id="50"/>
    <w:bookmarkStart w:id="57" w:name="feature-taxonomy-and-feature-matrix"/>
    <w:p>
      <w:pPr>
        <w:pStyle w:val="Heading2"/>
      </w:pPr>
      <w:r>
        <w:t xml:space="preserve">Feature taxonomy and feature matrix</w:t>
      </w:r>
    </w:p>
    <w:p>
      <w:pPr>
        <w:pStyle w:val="FirstParagraph"/>
      </w:pPr>
      <w:r>
        <w:t xml:space="preserve">A high-stakes workflow/case orchestration standard needs a taxonomy that is explicit enough for conformance and static analysis, but modular enough to avoid “BPMN-but-in-JSON.” The taxonomy below is intentionally layered (flow, decision/policy, work management, case/evidence, integration/eventing, provenance, runtime durability, conformance, AI-native authoring).</w:t>
      </w:r>
    </w:p>
    <w:p>
      <w:pPr>
        <w:pStyle w:val="BodyText"/>
      </w:pPr>
      <w:r>
        <w:t xml:space="preserve">Feature classifications use the required scheme:</w:t>
      </w:r>
    </w:p>
    <w:p>
      <w:pPr>
        <w:pStyle w:val="Compact"/>
        <w:numPr>
          <w:ilvl w:val="0"/>
          <w:numId w:val="1004"/>
        </w:numPr>
      </w:pPr>
      <w:r>
        <w:t xml:space="preserve">Adopted — carry forward largely intact</w:t>
      </w:r>
    </w:p>
    <w:p>
      <w:pPr>
        <w:pStyle w:val="Compact"/>
        <w:numPr>
          <w:ilvl w:val="0"/>
          <w:numId w:val="1004"/>
        </w:numPr>
      </w:pPr>
      <w:r>
        <w:t xml:space="preserve">Adapted — keep the idea, modernize and redesign</w:t>
      </w:r>
    </w:p>
    <w:p>
      <w:pPr>
        <w:pStyle w:val="Compact"/>
        <w:numPr>
          <w:ilvl w:val="0"/>
          <w:numId w:val="1004"/>
        </w:numPr>
      </w:pPr>
      <w:r>
        <w:t xml:space="preserve">Missing — not well handled today; should be introduced</w:t>
      </w:r>
    </w:p>
    <w:p>
      <w:pPr>
        <w:pStyle w:val="Compact"/>
        <w:numPr>
          <w:ilvl w:val="0"/>
          <w:numId w:val="1004"/>
        </w:numPr>
      </w:pPr>
      <w:r>
        <w:t xml:space="preserve">Deliberately out of scope — valuable, but should not be standardized here</w:t>
      </w:r>
    </w:p>
    <w:bookmarkStart w:id="51" w:name="taxonomy-overview"/>
    <w:p>
      <w:pPr>
        <w:pStyle w:val="Heading3"/>
      </w:pPr>
      <w:r>
        <w:t xml:space="preserve">Taxonomy overview</w:t>
      </w:r>
    </w:p>
    <w:p>
      <w:pPr>
        <w:pStyle w:val="FirstParagraph"/>
      </w:pPr>
      <w:r>
        <w:t xml:space="preserve">Process topology: sequential flow; parallel split/join; conditional branching; loops; subworkflow/call activities; ad-hoc/discretionary insertion; event-triggered transitions.</w:t>
      </w:r>
      <w:r>
        <w:t xml:space="preserve"> </w:t>
      </w:r>
      <w:hyperlink r:id="rId21">
        <w:r>
          <w:rPr>
            <w:rStyle w:val="Hyperlink"/>
          </w:rPr>
          <w:t xml:space="preserve">[40]</w:t>
        </w:r>
      </w:hyperlink>
    </w:p>
    <w:p>
      <w:pPr>
        <w:pStyle w:val="BodyText"/>
      </w:pPr>
      <w:r>
        <w:t xml:space="preserve">States and transitions: explicit lifecycle states for workflow, case, and human tasks (including suspend/reopen/cancel); hierarchical states; completion semantics; termination semantics; partial completion semantics.</w:t>
      </w:r>
      <w:r>
        <w:t xml:space="preserve"> </w:t>
      </w:r>
      <w:hyperlink r:id="rId22">
        <w:r>
          <w:rPr>
            <w:rStyle w:val="Hyperlink"/>
          </w:rPr>
          <w:t xml:space="preserve">[41]</w:t>
        </w:r>
      </w:hyperlink>
    </w:p>
    <w:p>
      <w:pPr>
        <w:pStyle w:val="BodyText"/>
      </w:pPr>
      <w:r>
        <w:t xml:space="preserve">Human tasks and queues: assignment, claim/unclaim (reserve/release), delegation/forwarding/substitution, review chains, escalation, deadlines/SLAs, suspension, skip, comments/notes, attachments/evidence linkages, and task history retrieval.</w:t>
      </w:r>
      <w:r>
        <w:t xml:space="preserve"> </w:t>
      </w:r>
      <w:hyperlink r:id="rId23">
        <w:r>
          <w:rPr>
            <w:rStyle w:val="Hyperlink"/>
          </w:rPr>
          <w:t xml:space="preserve">[42]</w:t>
        </w:r>
      </w:hyperlink>
    </w:p>
    <w:p>
      <w:pPr>
        <w:pStyle w:val="BodyText"/>
      </w:pPr>
      <w:r>
        <w:t xml:space="preserve">Decisions and policy: decision requirements graphs; decision tables and expression languages; policy evaluation; conflict resolution/combining; obligations/advice; versioning and override; separation of policy from process.</w:t>
      </w:r>
      <w:r>
        <w:t xml:space="preserve"> </w:t>
      </w:r>
      <w:hyperlink r:id="rId24">
        <w:r>
          <w:rPr>
            <w:rStyle w:val="Hyperlink"/>
          </w:rPr>
          <w:t xml:space="preserve">[43]</w:t>
        </w:r>
      </w:hyperlink>
    </w:p>
    <w:p>
      <w:pPr>
        <w:pStyle w:val="BodyText"/>
      </w:pPr>
      <w:r>
        <w:t xml:space="preserve">Timers and temporal behavior: waits, timers, deadlines, recurrence/schedules, business time; timeouts and escalation triggers.</w:t>
      </w:r>
      <w:r>
        <w:t xml:space="preserve"> </w:t>
      </w:r>
      <w:hyperlink r:id="rId23">
        <w:r>
          <w:rPr>
            <w:rStyle w:val="Hyperlink"/>
          </w:rPr>
          <w:t xml:space="preserve">[44]</w:t>
        </w:r>
      </w:hyperlink>
    </w:p>
    <w:p>
      <w:pPr>
        <w:pStyle w:val="BodyText"/>
      </w:pPr>
      <w:r>
        <w:t xml:space="preserve">Exceptions and compensation: error signaling, escalation vs error, retries/backoff semantics, cancellations, compensation/saga patterns.</w:t>
      </w:r>
      <w:r>
        <w:t xml:space="preserve"> </w:t>
      </w:r>
      <w:hyperlink r:id="rId21">
        <w:r>
          <w:rPr>
            <w:rStyle w:val="Hyperlink"/>
          </w:rPr>
          <w:t xml:space="preserve">[45]</w:t>
        </w:r>
      </w:hyperlink>
    </w:p>
    <w:p>
      <w:pPr>
        <w:pStyle w:val="BodyText"/>
      </w:pPr>
      <w:r>
        <w:t xml:space="preserve">Case state and evidence: evolving case file; evidence objects with versioning; annotations; chain-of-custody and integrity; linkage between evidence and decisions/tasks.</w:t>
      </w:r>
      <w:r>
        <w:t xml:space="preserve"> </w:t>
      </w:r>
      <w:hyperlink r:id="rId30">
        <w:r>
          <w:rPr>
            <w:rStyle w:val="Hyperlink"/>
          </w:rPr>
          <w:t xml:space="preserve">[46]</w:t>
        </w:r>
      </w:hyperlink>
    </w:p>
    <w:p>
      <w:pPr>
        <w:pStyle w:val="BodyText"/>
      </w:pPr>
      <w:r>
        <w:t xml:space="preserve">Integrations and eventing: triggers, callbacks, correlation keys, idempotency, delivery guarantees assumptions, event envelopes, trace/context propagation.</w:t>
      </w:r>
      <w:r>
        <w:t xml:space="preserve"> </w:t>
      </w:r>
      <w:hyperlink r:id="rId27">
        <w:r>
          <w:rPr>
            <w:rStyle w:val="Hyperlink"/>
          </w:rPr>
          <w:t xml:space="preserve">[47]</w:t>
        </w:r>
      </w:hyperlink>
    </w:p>
    <w:p>
      <w:pPr>
        <w:pStyle w:val="BodyText"/>
      </w:pPr>
      <w:r>
        <w:t xml:space="preserve">Provenance and audit: append-only event history; “who/what/why”; policy and data version references; provenance constraints; interoperability with audit/event log standards.</w:t>
      </w:r>
      <w:r>
        <w:t xml:space="preserve"> </w:t>
      </w:r>
      <w:hyperlink r:id="rId25">
        <w:r>
          <w:rPr>
            <w:rStyle w:val="Hyperlink"/>
          </w:rPr>
          <w:t xml:space="preserve">[48]</w:t>
        </w:r>
      </w:hyperlink>
    </w:p>
    <w:p>
      <w:pPr>
        <w:pStyle w:val="BodyText"/>
      </w:pPr>
      <w:r>
        <w:t xml:space="preserve">Durability and runtime behavior: resumability, deterministic replay, durable timers, retries, idempotent external effects, versioning of running instances.</w:t>
      </w:r>
      <w:r>
        <w:t xml:space="preserve"> </w:t>
      </w:r>
      <w:hyperlink r:id="rId26">
        <w:r>
          <w:rPr>
            <w:rStyle w:val="Hyperlink"/>
          </w:rPr>
          <w:t xml:space="preserve">[49]</w:t>
        </w:r>
      </w:hyperlink>
    </w:p>
    <w:p>
      <w:pPr>
        <w:pStyle w:val="BodyText"/>
      </w:pPr>
      <w:r>
        <w:t xml:space="preserve">Validation and conformance: schemas + semantic validation; conformance profiles; canonical test fixtures; portability checks.</w:t>
      </w:r>
      <w:r>
        <w:t xml:space="preserve"> </w:t>
      </w:r>
      <w:hyperlink r:id="rId21">
        <w:r>
          <w:rPr>
            <w:rStyle w:val="Hyperlink"/>
          </w:rPr>
          <w:t xml:space="preserve">[50]</w:t>
        </w:r>
      </w:hyperlink>
    </w:p>
    <w:p>
      <w:pPr>
        <w:pStyle w:val="BodyText"/>
      </w:pPr>
      <w:r>
        <w:t xml:space="preserve">AI-native authoring and simulation: structured edits (patches); canonicalization for stable diffs/hashes; diagnostics and refactors (LSP-like); static analysis and simulation traces; ambiguity detection.</w:t>
      </w:r>
      <w:r>
        <w:t xml:space="preserve"> </w:t>
      </w:r>
      <w:hyperlink r:id="rId45">
        <w:r>
          <w:rPr>
            <w:rStyle w:val="Hyperlink"/>
          </w:rPr>
          <w:t xml:space="preserve">[51]</w:t>
        </w:r>
      </w:hyperlink>
    </w:p>
    <w:bookmarkEnd w:id="51"/>
    <w:bookmarkStart w:id="56" w:name="feature-matrix"/>
    <w:p>
      <w:pPr>
        <w:pStyle w:val="Heading3"/>
      </w:pPr>
      <w:r>
        <w:t xml:space="preserve">Feature matrix</w:t>
      </w:r>
    </w:p>
    <w:p>
      <w:pPr>
        <w:pStyle w:val="FirstParagraph"/>
      </w:pPr>
      <w:r>
        <w:t xml:space="preserve">The matrix is organized as “feature row → where it exists today → what to do in a new standard.”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Clear definition</w:t>
            </w:r>
          </w:p>
        </w:tc>
        <w:tc>
          <w:tcPr/>
          <w:p>
            <w:pPr>
              <w:pStyle w:val="Compact"/>
            </w:pPr>
            <w:r>
              <w:t xml:space="preserve">Existing support exemplars</w:t>
            </w:r>
          </w:p>
        </w:tc>
        <w:tc>
          <w:tcPr/>
          <w:p>
            <w:pPr>
              <w:pStyle w:val="Compact"/>
            </w:pPr>
            <w:r>
              <w:t xml:space="preserve">Classification</w:t>
            </w:r>
          </w:p>
        </w:tc>
        <w:tc>
          <w:tcPr/>
          <w:p>
            <w:pPr>
              <w:pStyle w:val="Compact"/>
            </w:pPr>
            <w:r>
              <w:t xml:space="preserve">Rationale for the new standard</w:t>
            </w:r>
          </w:p>
        </w:tc>
      </w:tr>
      <w:tr>
        <w:tc>
          <w:tcPr/>
          <w:p>
            <w:pPr>
              <w:pStyle w:val="Compact"/>
            </w:pPr>
            <w:r>
              <w:t xml:space="preserve">Conformance profiles</w:t>
            </w:r>
          </w:p>
        </w:tc>
        <w:tc>
          <w:tcPr/>
          <w:p>
            <w:pPr>
              <w:pStyle w:val="Compact"/>
            </w:pPr>
            <w:r>
              <w:t xml:space="preserve">A spec-defined set of conformance classes with MUST/SHALL requirements and testable behaviors</w:t>
            </w:r>
          </w:p>
        </w:tc>
        <w:tc>
          <w:tcPr/>
          <w:p>
            <w:pPr>
              <w:pStyle w:val="Compact"/>
            </w:pPr>
            <w:r>
              <w:t xml:space="preserve">BPMN conformance types; SCXML test suite and implementation report; OpenTelemetry compliance definition</w:t>
            </w:r>
          </w:p>
        </w:tc>
        <w:tc>
          <w:tcPr/>
          <w:p>
            <w:pPr>
              <w:pStyle w:val="Compact"/>
            </w:pPr>
            <w:r>
              <w:t xml:space="preserve">Adopted</w:t>
            </w:r>
          </w:p>
        </w:tc>
        <w:tc>
          <w:tcPr/>
          <w:p>
            <w:pPr>
              <w:pStyle w:val="Compact"/>
            </w:pPr>
            <w:r>
              <w:t xml:space="preserve">Conformance is the difference between “spec” and “interoperability.” Copy the explicit conformance discipline and require executable fixtures.</w:t>
            </w:r>
            <w:r>
              <w:t xml:space="preserve"> </w:t>
            </w:r>
            <w:hyperlink r:id="rId21">
              <w:r>
                <w:rPr>
                  <w:rStyle w:val="Hyperlink"/>
                </w:rPr>
                <w:t xml:space="preserve">[6]</w:t>
              </w:r>
            </w:hyperlink>
          </w:p>
        </w:tc>
      </w:tr>
      <w:tr>
        <w:tc>
          <w:tcPr/>
          <w:p>
            <w:pPr>
              <w:pStyle w:val="Compact"/>
            </w:pPr>
            <w:r>
              <w:t xml:space="preserve">Core state/event semantics</w:t>
            </w:r>
          </w:p>
        </w:tc>
        <w:tc>
          <w:tcPr/>
          <w:p>
            <w:pPr>
              <w:pStyle w:val="Compact"/>
            </w:pPr>
            <w:r>
              <w:t xml:space="preserve">Normative semantics for states, transitions, event selection, and ordering rules</w:t>
            </w:r>
          </w:p>
        </w:tc>
        <w:tc>
          <w:tcPr/>
          <w:p>
            <w:pPr>
              <w:pStyle w:val="Compact"/>
            </w:pPr>
            <w:r>
              <w:t xml:space="preserve">SCXML core constructs + interpretation algorithm; state-machine DSLs (ASL)</w:t>
            </w:r>
          </w:p>
        </w:tc>
        <w:tc>
          <w:tcPr/>
          <w:p>
            <w:pPr>
              <w:pStyle w:val="Compact"/>
            </w:pPr>
            <w:r>
              <w:t xml:space="preserve">Adopted (kernel), Adapted (surface form)</w:t>
            </w:r>
          </w:p>
        </w:tc>
        <w:tc>
          <w:tcPr/>
          <w:p>
            <w:pPr>
              <w:pStyle w:val="Compact"/>
            </w:pPr>
            <w:r>
              <w:t xml:space="preserve">A state/event kernel is the most analyzable base and supports simulation; the surface notation must be modernized (JSON/YAML + schemas).</w:t>
            </w:r>
            <w:r>
              <w:t xml:space="preserve"> </w:t>
            </w:r>
            <w:hyperlink r:id="rId22">
              <w:r>
                <w:rPr>
                  <w:rStyle w:val="Hyperlink"/>
                </w:rPr>
                <w:t xml:space="preserve">[52]</w:t>
              </w:r>
            </w:hyperlink>
          </w:p>
        </w:tc>
      </w:tr>
      <w:tr>
        <w:tc>
          <w:tcPr/>
          <w:p>
            <w:pPr>
              <w:pStyle w:val="Compact"/>
            </w:pPr>
            <w:r>
              <w:t xml:space="preserve">Explicit “long pause” states</w:t>
            </w:r>
          </w:p>
        </w:tc>
        <w:tc>
          <w:tcPr/>
          <w:p>
            <w:pPr>
              <w:pStyle w:val="Compact"/>
            </w:pPr>
            <w:r>
              <w:t xml:space="preserve">Standard states for waiting/suspended/cancelled/faulted/completed across workflows and tasks</w:t>
            </w:r>
          </w:p>
        </w:tc>
        <w:tc>
          <w:tcPr/>
          <w:p>
            <w:pPr>
              <w:pStyle w:val="Compact"/>
            </w:pPr>
            <w:r>
              <w:t xml:space="preserve">Serverless Workflow status phases; WS-HumanTask suspend/suspendUntil; durable orchestrators’ replay model</w:t>
            </w:r>
          </w:p>
        </w:tc>
        <w:tc>
          <w:tcPr/>
          <w:p>
            <w:pPr>
              <w:pStyle w:val="Compact"/>
            </w:pPr>
            <w:r>
              <w:t xml:space="preserve">Adopted (concept), Adapted (uniform model)</w:t>
            </w:r>
          </w:p>
        </w:tc>
        <w:tc>
          <w:tcPr/>
          <w:p>
            <w:pPr>
              <w:pStyle w:val="Compact"/>
            </w:pPr>
            <w:r>
              <w:t xml:space="preserve">High-stakes work frequently pauses for humans and external callbacks; treat these as first-class lifecycle states, with standardized transitions and audit events.</w:t>
            </w:r>
            <w:r>
              <w:t xml:space="preserve"> </w:t>
            </w:r>
            <w:hyperlink r:id="rId52">
              <w:r>
                <w:rPr>
                  <w:rStyle w:val="Hyperlink"/>
                </w:rPr>
                <w:t xml:space="preserve">[53]</w:t>
              </w:r>
            </w:hyperlink>
          </w:p>
        </w:tc>
      </w:tr>
      <w:tr>
        <w:tc>
          <w:tcPr/>
          <w:p>
            <w:pPr>
              <w:pStyle w:val="Compact"/>
            </w:pPr>
            <w:r>
              <w:t xml:space="preserve">Human task operations</w:t>
            </w:r>
          </w:p>
        </w:tc>
        <w:tc>
          <w:tcPr/>
          <w:p>
            <w:pPr>
              <w:pStyle w:val="Compact"/>
            </w:pPr>
            <w:r>
              <w:t xml:space="preserve">Standard operations: claim/reserve, release, start/stop, suspend/resume, delegate/forward, skip, complete/fail</w:t>
            </w:r>
          </w:p>
        </w:tc>
        <w:tc>
          <w:tcPr/>
          <w:p>
            <w:pPr>
              <w:pStyle w:val="Compact"/>
            </w:pPr>
            <w:r>
              <w:t xml:space="preserve">WS-HumanTask operation tables; workflow resource patterns catalog</w:t>
            </w:r>
          </w:p>
        </w:tc>
        <w:tc>
          <w:tcPr/>
          <w:p>
            <w:pPr>
              <w:pStyle w:val="Compact"/>
            </w:pPr>
            <w:r>
              <w:t xml:space="preserve">Adopted</w:t>
            </w:r>
          </w:p>
        </w:tc>
        <w:tc>
          <w:tcPr/>
          <w:p>
            <w:pPr>
              <w:pStyle w:val="Compact"/>
            </w:pPr>
            <w:r>
              <w:t xml:space="preserve">This is one of the few places where interoperability-level human task semantics are explicit; modernize transport/bindings, keep lifecycle rigor.</w:t>
            </w:r>
            <w:r>
              <w:t xml:space="preserve"> </w:t>
            </w:r>
            <w:hyperlink r:id="rId23">
              <w:r>
                <w:rPr>
                  <w:rStyle w:val="Hyperlink"/>
                </w:rPr>
                <w:t xml:space="preserve">[54]</w:t>
              </w:r>
            </w:hyperlink>
          </w:p>
        </w:tc>
      </w:tr>
      <w:tr>
        <w:tc>
          <w:tcPr/>
          <w:p>
            <w:pPr>
              <w:pStyle w:val="Compact"/>
            </w:pPr>
            <w:r>
              <w:t xml:space="preserve">Queues/inboxes and assignment rules</w:t>
            </w:r>
          </w:p>
        </w:tc>
        <w:tc>
          <w:tcPr/>
          <w:p>
            <w:pPr>
              <w:pStyle w:val="Compact"/>
            </w:pPr>
            <w:r>
              <w:t xml:space="preserve">Portable model of potential owners, roles, exclusion, business admins, routing patterns; claim/unclaim semantics</w:t>
            </w:r>
          </w:p>
        </w:tc>
        <w:tc>
          <w:tcPr/>
          <w:p>
            <w:pPr>
              <w:pStyle w:val="Compact"/>
            </w:pPr>
            <w:r>
              <w:t xml:space="preserve">WS-HumanTask people assignment + routing patterns; resource patterns</w:t>
            </w:r>
          </w:p>
        </w:tc>
        <w:tc>
          <w:tcPr/>
          <w:p>
            <w:pPr>
              <w:pStyle w:val="Compact"/>
            </w:pPr>
            <w:r>
              <w:t xml:space="preserve">Adapted</w:t>
            </w:r>
          </w:p>
        </w:tc>
        <w:tc>
          <w:tcPr/>
          <w:p>
            <w:pPr>
              <w:pStyle w:val="Compact"/>
            </w:pPr>
            <w:r>
              <w:t xml:space="preserve">Keep concepts but redesign representation to be JSON-native, policy-addressable, and audit-linked; avoid SOAP-era constructs.</w:t>
            </w:r>
            <w:r>
              <w:t xml:space="preserve"> </w:t>
            </w:r>
            <w:hyperlink r:id="rId23">
              <w:r>
                <w:rPr>
                  <w:rStyle w:val="Hyperlink"/>
                </w:rPr>
                <w:t xml:space="preserve">[55]</w:t>
              </w:r>
            </w:hyperlink>
          </w:p>
        </w:tc>
      </w:tr>
      <w:tr>
        <w:tc>
          <w:tcPr/>
          <w:p>
            <w:pPr>
              <w:pStyle w:val="Compact"/>
            </w:pPr>
            <w:r>
              <w:t xml:space="preserve">Task history</w:t>
            </w:r>
          </w:p>
        </w:tc>
        <w:tc>
          <w:tcPr/>
          <w:p>
            <w:pPr>
              <w:pStyle w:val="Compact"/>
            </w:pPr>
            <w:r>
              <w:t xml:space="preserve">A standardized, queryable history of task lifecycle events with causality and participants</w:t>
            </w:r>
          </w:p>
        </w:tc>
        <w:tc>
          <w:tcPr/>
          <w:p>
            <w:pPr>
              <w:pStyle w:val="Compact"/>
            </w:pPr>
            <w:r>
              <w:t xml:space="preserve">WS-HumanTask “history of a human task”; durable execution event history</w:t>
            </w:r>
          </w:p>
        </w:tc>
        <w:tc>
          <w:tcPr/>
          <w:p>
            <w:pPr>
              <w:pStyle w:val="Compact"/>
            </w:pPr>
            <w:r>
              <w:t xml:space="preserve">Adopted (idea), Adapted (format)</w:t>
            </w:r>
          </w:p>
        </w:tc>
        <w:tc>
          <w:tcPr/>
          <w:p>
            <w:pPr>
              <w:pStyle w:val="Compact"/>
            </w:pPr>
            <w:r>
              <w:t xml:space="preserve">A portable history log is essential for audit/explanation; standardize event types and link to provenance + trace context.</w:t>
            </w:r>
            <w:r>
              <w:t xml:space="preserve"> </w:t>
            </w:r>
            <w:hyperlink r:id="rId23">
              <w:r>
                <w:rPr>
                  <w:rStyle w:val="Hyperlink"/>
                </w:rPr>
                <w:t xml:space="preserve">[56]</w:t>
              </w:r>
            </w:hyperlink>
          </w:p>
        </w:tc>
      </w:tr>
      <w:tr>
        <w:tc>
          <w:tcPr/>
          <w:p>
            <w:pPr>
              <w:pStyle w:val="Compact"/>
            </w:pPr>
            <w:r>
              <w:t xml:space="preserve">Discretionary planning</w:t>
            </w:r>
          </w:p>
        </w:tc>
        <w:tc>
          <w:tcPr/>
          <w:p>
            <w:pPr>
              <w:pStyle w:val="Compact"/>
            </w:pPr>
            <w:r>
              <w:t xml:space="preserve">Ability for authorized actors to add/activate discretionary tasks/stages based on evolving context</w:t>
            </w:r>
          </w:p>
        </w:tc>
        <w:tc>
          <w:tcPr/>
          <w:p>
            <w:pPr>
              <w:pStyle w:val="Compact"/>
            </w:pPr>
            <w:r>
              <w:t xml:space="preserve">CMMN planning tables + discretionary items; Declare (declarative flexibility)</w:t>
            </w:r>
          </w:p>
        </w:tc>
        <w:tc>
          <w:tcPr/>
          <w:p>
            <w:pPr>
              <w:pStyle w:val="Compact"/>
            </w:pPr>
            <w:r>
              <w:t xml:space="preserve">Adopted (capability), Adapted (governed discretion)</w:t>
            </w:r>
          </w:p>
        </w:tc>
        <w:tc>
          <w:tcPr/>
          <w:p>
            <w:pPr>
              <w:pStyle w:val="Compact"/>
            </w:pPr>
            <w:r>
              <w:t xml:space="preserve">Discretion is necessary; but it must be governed: who can add what, under what policy, and how it is audited and explained.</w:t>
            </w:r>
            <w:r>
              <w:t xml:space="preserve"> </w:t>
            </w:r>
            <w:hyperlink r:id="rId30">
              <w:r>
                <w:rPr>
                  <w:rStyle w:val="Hyperlink"/>
                </w:rPr>
                <w:t xml:space="preserve">[57]</w:t>
              </w:r>
            </w:hyperlink>
          </w:p>
        </w:tc>
      </w:tr>
      <w:tr>
        <w:tc>
          <w:tcPr/>
          <w:p>
            <w:pPr>
              <w:pStyle w:val="Compact"/>
            </w:pPr>
            <w:r>
              <w:t xml:space="preserve">Event+condition triggers</w:t>
            </w:r>
          </w:p>
        </w:tc>
        <w:tc>
          <w:tcPr/>
          <w:p>
            <w:pPr>
              <w:pStyle w:val="Compact"/>
            </w:pPr>
            <w:r>
              <w:t xml:space="preserve">Triggers that combine event occurrence with conditional evaluation over case/workflow data</w:t>
            </w:r>
          </w:p>
        </w:tc>
        <w:tc>
          <w:tcPr/>
          <w:p>
            <w:pPr>
              <w:pStyle w:val="Compact"/>
            </w:pPr>
            <w:r>
              <w:t xml:space="preserve">CMMN sentries (onParts + ifPart); SCXML event+cond; BPMN conditional/timer/message events</w:t>
            </w:r>
          </w:p>
        </w:tc>
        <w:tc>
          <w:tcPr/>
          <w:p>
            <w:pPr>
              <w:pStyle w:val="Compact"/>
            </w:pPr>
            <w:r>
              <w:t xml:space="preserve">Adopted</w:t>
            </w:r>
          </w:p>
        </w:tc>
        <w:tc>
          <w:tcPr/>
          <w:p>
            <w:pPr>
              <w:pStyle w:val="Compact"/>
            </w:pPr>
            <w:r>
              <w:t xml:space="preserve">This is a universal need (exceptions, intake, SLA triggers). Standardize as a common primitive across process/case/human task layers.</w:t>
            </w:r>
            <w:r>
              <w:t xml:space="preserve"> </w:t>
            </w:r>
            <w:hyperlink r:id="rId30">
              <w:r>
                <w:rPr>
                  <w:rStyle w:val="Hyperlink"/>
                </w:rPr>
                <w:t xml:space="preserve">[58]</w:t>
              </w:r>
            </w:hyperlink>
          </w:p>
        </w:tc>
      </w:tr>
      <w:tr>
        <w:tc>
          <w:tcPr/>
          <w:p>
            <w:pPr>
              <w:pStyle w:val="Compact"/>
            </w:pPr>
            <w:r>
              <w:t xml:space="preserve">Decision requirements graph</w:t>
            </w:r>
          </w:p>
        </w:tc>
        <w:tc>
          <w:tcPr/>
          <w:p>
            <w:pPr>
              <w:pStyle w:val="Compact"/>
            </w:pPr>
            <w:r>
              <w:t xml:space="preserve">Explicit dependency graph of decisions + required inputs/knowledge sources distinct from process flow</w:t>
            </w:r>
          </w:p>
        </w:tc>
        <w:tc>
          <w:tcPr/>
          <w:p>
            <w:pPr>
              <w:pStyle w:val="Compact"/>
            </w:pPr>
            <w:r>
              <w:t xml:space="preserve">DMN DRG/DRD + requirement links</w:t>
            </w:r>
          </w:p>
        </w:tc>
        <w:tc>
          <w:tcPr/>
          <w:p>
            <w:pPr>
              <w:pStyle w:val="Compact"/>
            </w:pPr>
            <w:r>
              <w:t xml:space="preserve">Adopted</w:t>
            </w:r>
          </w:p>
        </w:tc>
        <w:tc>
          <w:tcPr/>
          <w:p>
            <w:pPr>
              <w:pStyle w:val="Compact"/>
            </w:pPr>
            <w:r>
              <w:t xml:space="preserve">Decision/process separation is a major maintainability and explainability win—carry it forward.</w:t>
            </w:r>
            <w:r>
              <w:t xml:space="preserve"> </w:t>
            </w:r>
            <w:hyperlink r:id="rId24">
              <w:r>
                <w:rPr>
                  <w:rStyle w:val="Hyperlink"/>
                </w:rPr>
                <w:t xml:space="preserve">[59]</w:t>
              </w:r>
            </w:hyperlink>
          </w:p>
        </w:tc>
      </w:tr>
      <w:tr>
        <w:tc>
          <w:tcPr/>
          <w:p>
            <w:pPr>
              <w:pStyle w:val="Compact"/>
            </w:pPr>
            <w:r>
              <w:t xml:space="preserve">Decision logic language</w:t>
            </w:r>
          </w:p>
        </w:tc>
        <w:tc>
          <w:tcPr/>
          <w:p>
            <w:pPr>
              <w:pStyle w:val="Compact"/>
            </w:pPr>
            <w:r>
              <w:t xml:space="preserve">Standard expression/decision table semantics with conformance levels</w:t>
            </w:r>
          </w:p>
        </w:tc>
        <w:tc>
          <w:tcPr/>
          <w:p>
            <w:pPr>
              <w:pStyle w:val="Compact"/>
            </w:pPr>
            <w:r>
              <w:t xml:space="preserve">DMN FEEL/S-FEEL; DMN conformance levels</w:t>
            </w:r>
          </w:p>
        </w:tc>
        <w:tc>
          <w:tcPr/>
          <w:p>
            <w:pPr>
              <w:pStyle w:val="Compact"/>
            </w:pPr>
            <w:r>
              <w:t xml:space="preserve">Adapted</w:t>
            </w:r>
          </w:p>
        </w:tc>
        <w:tc>
          <w:tcPr/>
          <w:p>
            <w:pPr>
              <w:pStyle w:val="Compact"/>
            </w:pPr>
            <w:r>
              <w:t xml:space="preserve">Reuse the principle (standardized decision logic + conformance levels), but design for modern type systems, schema binding, and explanation traces.</w:t>
            </w:r>
            <w:r>
              <w:t xml:space="preserve"> </w:t>
            </w:r>
            <w:hyperlink r:id="rId24">
              <w:r>
                <w:rPr>
                  <w:rStyle w:val="Hyperlink"/>
                </w:rPr>
                <w:t xml:space="preserve">[60]</w:t>
              </w:r>
            </w:hyperlink>
          </w:p>
        </w:tc>
      </w:tr>
      <w:tr>
        <w:tc>
          <w:tcPr/>
          <w:p>
            <w:pPr>
              <w:pStyle w:val="Compact"/>
            </w:pPr>
            <w:r>
              <w:t xml:space="preserve">“Authority / guidance” references</w:t>
            </w:r>
          </w:p>
        </w:tc>
        <w:tc>
          <w:tcPr/>
          <w:p>
            <w:pPr>
              <w:pStyle w:val="Compact"/>
            </w:pPr>
            <w:r>
              <w:t xml:space="preserve">Ability to cite statutes, policies, guidance sources as non-executable references</w:t>
            </w:r>
          </w:p>
        </w:tc>
        <w:tc>
          <w:tcPr/>
          <w:p>
            <w:pPr>
              <w:pStyle w:val="Compact"/>
            </w:pPr>
            <w:r>
              <w:t xml:space="preserve">DMN authority requirement explicitly lacks execution semantics</w:t>
            </w:r>
          </w:p>
        </w:tc>
        <w:tc>
          <w:tcPr/>
          <w:p>
            <w:pPr>
              <w:pStyle w:val="Compact"/>
            </w:pPr>
            <w:r>
              <w:t xml:space="preserve">Adapted</w:t>
            </w:r>
          </w:p>
        </w:tc>
        <w:tc>
          <w:tcPr/>
          <w:p>
            <w:pPr>
              <w:pStyle w:val="Compact"/>
            </w:pPr>
            <w:r>
              <w:t xml:space="preserve">Keep as a first-class reference type but add normative linkage to audit/explanation: “this guidance influenced this decision,” even if not executable.</w:t>
            </w:r>
            <w:r>
              <w:t xml:space="preserve"> </w:t>
            </w:r>
            <w:hyperlink r:id="rId24">
              <w:r>
                <w:rPr>
                  <w:rStyle w:val="Hyperlink"/>
                </w:rPr>
                <w:t xml:space="preserve">[61]</w:t>
              </w:r>
            </w:hyperlink>
          </w:p>
        </w:tc>
      </w:tr>
      <w:tr>
        <w:tc>
          <w:tcPr/>
          <w:p>
            <w:pPr>
              <w:pStyle w:val="Compact"/>
            </w:pPr>
            <w:r>
              <w:t xml:space="preserve">Policy combining/conflict resolution</w:t>
            </w:r>
          </w:p>
        </w:tc>
        <w:tc>
          <w:tcPr/>
          <w:p>
            <w:pPr>
              <w:pStyle w:val="Compact"/>
            </w:pPr>
            <w:r>
              <w:t xml:space="preserve">Deterministic rules for combining policy results (permit/deny/indeterminate) and attaching obligations/advice</w:t>
            </w:r>
          </w:p>
        </w:tc>
        <w:tc>
          <w:tcPr/>
          <w:p>
            <w:pPr>
              <w:pStyle w:val="Compact"/>
            </w:pPr>
            <w:r>
              <w:t xml:space="preserve">XACML combining algorithms; obligations/advice</w:t>
            </w:r>
          </w:p>
        </w:tc>
        <w:tc>
          <w:tcPr/>
          <w:p>
            <w:pPr>
              <w:pStyle w:val="Compact"/>
            </w:pPr>
            <w:r>
              <w:t xml:space="preserve">Adopted (concept), Adapted (scope)</w:t>
            </w:r>
          </w:p>
        </w:tc>
        <w:tc>
          <w:tcPr/>
          <w:p>
            <w:pPr>
              <w:pStyle w:val="Compact"/>
            </w:pPr>
            <w:r>
              <w:t xml:space="preserve">High-stakes workflows need explicit conflict handling and actionable follow-ups (“obligations”)—but adopt a simpler JSON-native profile, not full XACML complexity.</w:t>
            </w:r>
            <w:r>
              <w:t xml:space="preserve"> </w:t>
            </w:r>
            <w:hyperlink r:id="rId38">
              <w:r>
                <w:rPr>
                  <w:rStyle w:val="Hyperlink"/>
                </w:rPr>
                <w:t xml:space="preserve">[62]</w:t>
              </w:r>
            </w:hyperlink>
          </w:p>
        </w:tc>
      </w:tr>
      <w:tr>
        <w:tc>
          <w:tcPr/>
          <w:p>
            <w:pPr>
              <w:pStyle w:val="Compact"/>
            </w:pPr>
            <w:r>
              <w:t xml:space="preserve">Policy/testability hooks</w:t>
            </w:r>
          </w:p>
        </w:tc>
        <w:tc>
          <w:tcPr/>
          <w:p>
            <w:pPr>
              <w:pStyle w:val="Compact"/>
            </w:pPr>
            <w:r>
              <w:t xml:space="preserve">Standard way to test policy modules and validate policy-schema compatibility</w:t>
            </w:r>
          </w:p>
        </w:tc>
        <w:tc>
          <w:tcPr/>
          <w:p>
            <w:pPr>
              <w:pStyle w:val="Compact"/>
            </w:pPr>
            <w:r>
              <w:t xml:space="preserve">OPA policy tests; Cedar schema-based validation claims</w:t>
            </w:r>
          </w:p>
        </w:tc>
        <w:tc>
          <w:tcPr/>
          <w:p>
            <w:pPr>
              <w:pStyle w:val="Compact"/>
            </w:pPr>
            <w:r>
              <w:t xml:space="preserve">Adapted</w:t>
            </w:r>
          </w:p>
        </w:tc>
        <w:tc>
          <w:tcPr/>
          <w:p>
            <w:pPr>
              <w:pStyle w:val="Compact"/>
            </w:pPr>
            <w:r>
              <w:t xml:space="preserve">A workflow standard should define policy interface contracts and test fixture formats; allow multiple policy languages with a common evaluation/explanation envelope.</w:t>
            </w:r>
            <w:r>
              <w:t xml:space="preserve"> </w:t>
            </w:r>
            <w:hyperlink r:id="rId53">
              <w:r>
                <w:rPr>
                  <w:rStyle w:val="Hyperlink"/>
                </w:rPr>
                <w:t xml:space="preserve">[63]</w:t>
              </w:r>
            </w:hyperlink>
          </w:p>
        </w:tc>
      </w:tr>
      <w:tr>
        <w:tc>
          <w:tcPr/>
          <w:p>
            <w:pPr>
              <w:pStyle w:val="Compact"/>
            </w:pPr>
            <w:r>
              <w:t xml:space="preserve">Correlation and causality</w:t>
            </w:r>
          </w:p>
        </w:tc>
        <w:tc>
          <w:tcPr/>
          <w:p>
            <w:pPr>
              <w:pStyle w:val="Compact"/>
            </w:pPr>
            <w:r>
              <w:t xml:space="preserve">Standard identifiers and correlation keys for relating messages/events/instances; causal parentage</w:t>
            </w:r>
          </w:p>
        </w:tc>
        <w:tc>
          <w:tcPr/>
          <w:p>
            <w:pPr>
              <w:pStyle w:val="Compact"/>
            </w:pPr>
            <w:r>
              <w:t xml:space="preserve">BPMN correlation keys; Trace Context; CloudEvents attributes</w:t>
            </w:r>
          </w:p>
        </w:tc>
        <w:tc>
          <w:tcPr/>
          <w:p>
            <w:pPr>
              <w:pStyle w:val="Compact"/>
            </w:pPr>
            <w:r>
              <w:t xml:space="preserve">Adopted</w:t>
            </w:r>
          </w:p>
        </w:tc>
        <w:tc>
          <w:tcPr/>
          <w:p>
            <w:pPr>
              <w:pStyle w:val="Compact"/>
            </w:pPr>
            <w:r>
              <w:t xml:space="preserve">Long-running workflows live or die on correlation (“which callback belongs to which case?”). Standardize correlation and causal context propagation.</w:t>
            </w:r>
            <w:r>
              <w:t xml:space="preserve"> </w:t>
            </w:r>
            <w:hyperlink r:id="rId21">
              <w:r>
                <w:rPr>
                  <w:rStyle w:val="Hyperlink"/>
                </w:rPr>
                <w:t xml:space="preserve">[64]</w:t>
              </w:r>
            </w:hyperlink>
          </w:p>
        </w:tc>
      </w:tr>
      <w:tr>
        <w:tc>
          <w:tcPr/>
          <w:p>
            <w:pPr>
              <w:pStyle w:val="Compact"/>
            </w:pPr>
            <w:r>
              <w:t xml:space="preserve">Idempotency contract</w:t>
            </w:r>
          </w:p>
        </w:tc>
        <w:tc>
          <w:tcPr/>
          <w:p>
            <w:pPr>
              <w:pStyle w:val="Compact"/>
            </w:pPr>
            <w:r>
              <w:t xml:space="preserve">Standard idempotency key + dedup semantics expectations for external effects</w:t>
            </w:r>
          </w:p>
        </w:tc>
        <w:tc>
          <w:tcPr/>
          <w:p>
            <w:pPr>
              <w:pStyle w:val="Compact"/>
            </w:pPr>
            <w:r>
              <w:t xml:space="preserve">IETF Idempotency-Key draft; HTTP idempotent methods in RFC 9110</w:t>
            </w:r>
          </w:p>
        </w:tc>
        <w:tc>
          <w:tcPr/>
          <w:p>
            <w:pPr>
              <w:pStyle w:val="Compact"/>
            </w:pPr>
            <w:r>
              <w:t xml:space="preserve">Adopted</w:t>
            </w:r>
          </w:p>
        </w:tc>
        <w:tc>
          <w:tcPr/>
          <w:p>
            <w:pPr>
              <w:pStyle w:val="Compact"/>
            </w:pPr>
            <w:r>
              <w:t xml:space="preserve">Durable workflows require replay-safe side effects; idempotency keys and dedup expectations should be explicit in integration contracts.</w:t>
            </w:r>
            <w:r>
              <w:t xml:space="preserve"> </w:t>
            </w:r>
            <w:hyperlink r:id="rId54">
              <w:r>
                <w:rPr>
                  <w:rStyle w:val="Hyperlink"/>
                </w:rPr>
                <w:t xml:space="preserve">[65]</w:t>
              </w:r>
            </w:hyperlink>
          </w:p>
        </w:tc>
      </w:tr>
      <w:tr>
        <w:tc>
          <w:tcPr/>
          <w:p>
            <w:pPr>
              <w:pStyle w:val="Compact"/>
            </w:pPr>
            <w:r>
              <w:t xml:space="preserve">Portable event envelope</w:t>
            </w:r>
          </w:p>
        </w:tc>
        <w:tc>
          <w:tcPr/>
          <w:p>
            <w:pPr>
              <w:pStyle w:val="Compact"/>
            </w:pPr>
            <w:r>
              <w:t xml:space="preserve">Standard event metadata for triggers, lifecycle events, and integration events</w:t>
            </w:r>
          </w:p>
        </w:tc>
        <w:tc>
          <w:tcPr/>
          <w:p>
            <w:pPr>
              <w:pStyle w:val="Compact"/>
            </w:pPr>
            <w:r>
              <w:t xml:space="preserve">CloudEvents; Serverless Workflow lifecycle events built on CloudEvents</w:t>
            </w:r>
          </w:p>
        </w:tc>
        <w:tc>
          <w:tcPr/>
          <w:p>
            <w:pPr>
              <w:pStyle w:val="Compact"/>
            </w:pPr>
            <w:r>
              <w:t xml:space="preserve">Adopted</w:t>
            </w:r>
          </w:p>
        </w:tc>
        <w:tc>
          <w:tcPr/>
          <w:p>
            <w:pPr>
              <w:pStyle w:val="Compact"/>
            </w:pPr>
            <w:r>
              <w:t xml:space="preserve">Eliminate bespoke event wrappers; treat CloudEvents as a baseline envelope for workflow lifecycle + domain events.</w:t>
            </w:r>
            <w:r>
              <w:t xml:space="preserve"> </w:t>
            </w:r>
            <w:hyperlink r:id="rId27">
              <w:r>
                <w:rPr>
                  <w:rStyle w:val="Hyperlink"/>
                </w:rPr>
                <w:t xml:space="preserve">[66]</w:t>
              </w:r>
            </w:hyperlink>
          </w:p>
        </w:tc>
      </w:tr>
      <w:tr>
        <w:tc>
          <w:tcPr/>
          <w:p>
            <w:pPr>
              <w:pStyle w:val="Compact"/>
            </w:pPr>
            <w:r>
              <w:t xml:space="preserve">Durable execution semantics</w:t>
            </w:r>
          </w:p>
        </w:tc>
        <w:tc>
          <w:tcPr/>
          <w:p>
            <w:pPr>
              <w:pStyle w:val="Compact"/>
            </w:pPr>
            <w:r>
              <w:t xml:space="preserve">Replay/resume rules, determinism constraints, durable timers, retry/backoff expectations</w:t>
            </w:r>
          </w:p>
        </w:tc>
        <w:tc>
          <w:tcPr/>
          <w:p>
            <w:pPr>
              <w:pStyle w:val="Compact"/>
            </w:pPr>
            <w:r>
              <w:t xml:space="preserve">Durable Functions (event sourcing + deterministic replay constraints); Temporal event history; OOPSLA semantics paper</w:t>
            </w:r>
          </w:p>
        </w:tc>
        <w:tc>
          <w:tcPr/>
          <w:p>
            <w:pPr>
              <w:pStyle w:val="Compact"/>
            </w:pPr>
            <w:r>
              <w:t xml:space="preserve">Adapted (normative behavioral contract)</w:t>
            </w:r>
          </w:p>
        </w:tc>
        <w:tc>
          <w:tcPr/>
          <w:p>
            <w:pPr>
              <w:pStyle w:val="Compact"/>
            </w:pPr>
            <w:r>
              <w:t xml:space="preserve">Standardize observable behavior (history, replay, timers) without dictating storage. Make determinism and versioning constraints explicit in conformance profiles.</w:t>
            </w:r>
            <w:r>
              <w:t xml:space="preserve"> </w:t>
            </w:r>
            <w:hyperlink r:id="rId26">
              <w:r>
                <w:rPr>
                  <w:rStyle w:val="Hyperlink"/>
                </w:rPr>
                <w:t xml:space="preserve">[67]</w:t>
              </w:r>
            </w:hyperlink>
          </w:p>
        </w:tc>
      </w:tr>
      <w:tr>
        <w:tc>
          <w:tcPr/>
          <w:p>
            <w:pPr>
              <w:pStyle w:val="Compact"/>
            </w:pPr>
            <w:r>
              <w:t xml:space="preserve">Compensation/saga model</w:t>
            </w:r>
          </w:p>
        </w:tc>
        <w:tc>
          <w:tcPr/>
          <w:p>
            <w:pPr>
              <w:pStyle w:val="Compact"/>
            </w:pPr>
            <w:r>
              <w:t xml:space="preserve">Standard way to model compensating actions for partial failure</w:t>
            </w:r>
          </w:p>
        </w:tc>
        <w:tc>
          <w:tcPr/>
          <w:p>
            <w:pPr>
              <w:pStyle w:val="Compact"/>
            </w:pPr>
            <w:r>
              <w:t xml:space="preserve">Classic saga model; BPMN compensation patterns</w:t>
            </w:r>
          </w:p>
        </w:tc>
        <w:tc>
          <w:tcPr/>
          <w:p>
            <w:pPr>
              <w:pStyle w:val="Compact"/>
            </w:pPr>
            <w:r>
              <w:t xml:space="preserve">Adapted</w:t>
            </w:r>
          </w:p>
        </w:tc>
        <w:tc>
          <w:tcPr/>
          <w:p>
            <w:pPr>
              <w:pStyle w:val="Compact"/>
            </w:pPr>
            <w:r>
              <w:t xml:space="preserve">Compensation should be standardized at the semantic level (compensable scopes, compensation triggers), not as one vendor’s runtime feature.</w:t>
            </w:r>
            <w:r>
              <w:t xml:space="preserve"> </w:t>
            </w:r>
            <w:hyperlink r:id="rId55">
              <w:r>
                <w:rPr>
                  <w:rStyle w:val="Hyperlink"/>
                </w:rPr>
                <w:t xml:space="preserve">[68]</w:t>
              </w:r>
            </w:hyperlink>
          </w:p>
        </w:tc>
      </w:tr>
      <w:tr>
        <w:tc>
          <w:tcPr/>
          <w:p>
            <w:pPr>
              <w:pStyle w:val="Compact"/>
            </w:pPr>
            <w:r>
              <w:t xml:space="preserve">Case file and evidence objects</w:t>
            </w:r>
          </w:p>
        </w:tc>
        <w:tc>
          <w:tcPr/>
          <w:p>
            <w:pPr>
              <w:pStyle w:val="Compact"/>
            </w:pPr>
            <w:r>
              <w:t xml:space="preserve">Standard structured case state (“case file”) plus evidence items, versioning, references</w:t>
            </w:r>
          </w:p>
        </w:tc>
        <w:tc>
          <w:tcPr/>
          <w:p>
            <w:pPr>
              <w:pStyle w:val="Compact"/>
            </w:pPr>
            <w:r>
              <w:t xml:space="preserve">CMMN CaseFile/CaseFileItem + versioning; W3C VC + Data Integrity for integrity proofs</w:t>
            </w:r>
          </w:p>
        </w:tc>
        <w:tc>
          <w:tcPr/>
          <w:p>
            <w:pPr>
              <w:pStyle w:val="Compact"/>
            </w:pPr>
            <w:r>
              <w:t xml:space="preserve">Adapted</w:t>
            </w:r>
          </w:p>
        </w:tc>
        <w:tc>
          <w:tcPr/>
          <w:p>
            <w:pPr>
              <w:pStyle w:val="Compact"/>
            </w:pPr>
            <w:r>
              <w:t xml:space="preserve">Keep the idea of a structured case file, but upgrade to modern evidence handling: versioned objects, integrity proofs, and links to decisions/tasks/provenance.</w:t>
            </w:r>
            <w:r>
              <w:t xml:space="preserve"> </w:t>
            </w:r>
            <w:hyperlink r:id="rId30">
              <w:r>
                <w:rPr>
                  <w:rStyle w:val="Hyperlink"/>
                </w:rPr>
                <w:t xml:space="preserve">[69]</w:t>
              </w:r>
            </w:hyperlink>
          </w:p>
        </w:tc>
      </w:tr>
      <w:tr>
        <w:tc>
          <w:tcPr/>
          <w:p>
            <w:pPr>
              <w:pStyle w:val="Compact"/>
            </w:pPr>
            <w:r>
              <w:t xml:space="preserve">Provenance graph</w:t>
            </w:r>
          </w:p>
        </w:tc>
        <w:tc>
          <w:tcPr/>
          <w:p>
            <w:pPr>
              <w:pStyle w:val="Compact"/>
            </w:pPr>
            <w:r>
              <w:t xml:space="preserve">Interoperable provenance model linking entities, activities, agents; validity constraints</w:t>
            </w:r>
          </w:p>
        </w:tc>
        <w:tc>
          <w:tcPr/>
          <w:p>
            <w:pPr>
              <w:pStyle w:val="Compact"/>
            </w:pPr>
            <w:r>
              <w:t xml:space="preserve">W3C PROV-DM + PROV-CONSTRAINTS; PROV serializations</w:t>
            </w:r>
          </w:p>
        </w:tc>
        <w:tc>
          <w:tcPr/>
          <w:p>
            <w:pPr>
              <w:pStyle w:val="Compact"/>
            </w:pPr>
            <w:r>
              <w:t xml:space="preserve">Adapted</w:t>
            </w:r>
          </w:p>
        </w:tc>
        <w:tc>
          <w:tcPr/>
          <w:p>
            <w:pPr>
              <w:pStyle w:val="Compact"/>
            </w:pPr>
            <w:r>
              <w:t xml:space="preserve">Adopt PROV as the conceptual backbone, but define a workflow-specific profile (task/decision/policy/evidence events) and required links.</w:t>
            </w:r>
            <w:r>
              <w:t xml:space="preserve"> </w:t>
            </w:r>
            <w:hyperlink r:id="rId25">
              <w:r>
                <w:rPr>
                  <w:rStyle w:val="Hyperlink"/>
                </w:rPr>
                <w:t xml:space="preserve">[8]</w:t>
              </w:r>
            </w:hyperlink>
          </w:p>
        </w:tc>
      </w:tr>
      <w:tr>
        <w:tc>
          <w:tcPr/>
          <w:p>
            <w:pPr>
              <w:pStyle w:val="Compact"/>
            </w:pPr>
            <w:r>
              <w:t xml:space="preserve">Append-only audit log interchange</w:t>
            </w:r>
          </w:p>
        </w:tc>
        <w:tc>
          <w:tcPr/>
          <w:p>
            <w:pPr>
              <w:pStyle w:val="Compact"/>
            </w:pPr>
            <w:r>
              <w:t xml:space="preserve">Portable representation of execution history suitable for audit/process mining</w:t>
            </w:r>
          </w:p>
        </w:tc>
        <w:tc>
          <w:tcPr/>
          <w:p>
            <w:pPr>
              <w:pStyle w:val="Compact"/>
            </w:pPr>
            <w:r>
              <w:t xml:space="preserve">XES + OCEL 2.0; “event history” in durable runtimes</w:t>
            </w:r>
          </w:p>
        </w:tc>
        <w:tc>
          <w:tcPr/>
          <w:p>
            <w:pPr>
              <w:pStyle w:val="Compact"/>
            </w:pPr>
            <w:r>
              <w:t xml:space="preserve">Adapted</w:t>
            </w:r>
          </w:p>
        </w:tc>
        <w:tc>
          <w:tcPr/>
          <w:p>
            <w:pPr>
              <w:pStyle w:val="Compact"/>
            </w:pPr>
            <w:r>
              <w:t xml:space="preserve">Standard should define a “case execution log” profile that can render to XES/OCEL-like forms; OCEL’s object relationships are especially relevant for multi-entity cases.</w:t>
            </w:r>
            <w:r>
              <w:t xml:space="preserve"> </w:t>
            </w:r>
            <w:hyperlink r:id="rId37">
              <w:r>
                <w:rPr>
                  <w:rStyle w:val="Hyperlink"/>
                </w:rPr>
                <w:t xml:space="preserve">[70]</w:t>
              </w:r>
            </w:hyperlink>
          </w:p>
        </w:tc>
      </w:tr>
      <w:tr>
        <w:tc>
          <w:tcPr/>
          <w:p>
            <w:pPr>
              <w:pStyle w:val="Compact"/>
            </w:pPr>
            <w:r>
              <w:t xml:space="preserve">AI-native structured editing</w:t>
            </w:r>
          </w:p>
        </w:tc>
        <w:tc>
          <w:tcPr/>
          <w:p>
            <w:pPr>
              <w:pStyle w:val="Compact"/>
            </w:pPr>
            <w:r>
              <w:t xml:space="preserve">Typed operations for edits; canonicalization for stable diffs/hashes; diagnostics and refactors</w:t>
            </w:r>
          </w:p>
        </w:tc>
        <w:tc>
          <w:tcPr/>
          <w:p>
            <w:pPr>
              <w:pStyle w:val="Compact"/>
            </w:pPr>
            <w:r>
              <w:t xml:space="preserve">JSON Patch/Merge Patch/Pointer; JSON canonicalization (JCS); LSP</w:t>
            </w:r>
          </w:p>
        </w:tc>
        <w:tc>
          <w:tcPr/>
          <w:p>
            <w:pPr>
              <w:pStyle w:val="Compact"/>
            </w:pPr>
            <w:r>
              <w:t xml:space="preserve">Adopted (substrate), Missing (workflow-specific ops)</w:t>
            </w:r>
          </w:p>
        </w:tc>
        <w:tc>
          <w:tcPr/>
          <w:p>
            <w:pPr>
              <w:pStyle w:val="Compact"/>
            </w:pPr>
            <w:r>
              <w:t xml:space="preserve">Borrow existing patch and canonicalization standards, but add workflow-aware edit operations (e.g., “insert approval step with SoD constraint”) and semantic diffing.</w:t>
            </w:r>
            <w:r>
              <w:t xml:space="preserve"> </w:t>
            </w:r>
            <w:hyperlink r:id="rId45">
              <w:r>
                <w:rPr>
                  <w:rStyle w:val="Hyperlink"/>
                </w:rPr>
                <w:t xml:space="preserve">[71]</w:t>
              </w:r>
            </w:hyperlink>
          </w:p>
        </w:tc>
      </w:tr>
      <w:tr>
        <w:tc>
          <w:tcPr/>
          <w:p>
            <w:pPr>
              <w:pStyle w:val="Compact"/>
            </w:pPr>
            <w:r>
              <w:t xml:space="preserve">Simulation traces</w:t>
            </w:r>
          </w:p>
        </w:tc>
        <w:tc>
          <w:tcPr/>
          <w:p>
            <w:pPr>
              <w:pStyle w:val="Compact"/>
            </w:pPr>
            <w:r>
              <w:t xml:space="preserve">A standard way to simulate/“what-if” and produce comparable traces (including human decisions)</w:t>
            </w:r>
          </w:p>
        </w:tc>
        <w:tc>
          <w:tcPr/>
          <w:p>
            <w:pPr>
              <w:pStyle w:val="Compact"/>
            </w:pPr>
            <w:r>
              <w:t xml:space="preserve">SCXML execution algorithm supports simulation; durable event histories are replayable</w:t>
            </w:r>
          </w:p>
        </w:tc>
        <w:tc>
          <w:tcPr/>
          <w:p>
            <w:pPr>
              <w:pStyle w:val="Compact"/>
            </w:pPr>
            <w:r>
              <w:t xml:space="preserve">Missing</w:t>
            </w:r>
          </w:p>
        </w:tc>
        <w:tc>
          <w:tcPr/>
          <w:p>
            <w:pPr>
              <w:pStyle w:val="Compact"/>
            </w:pPr>
            <w:r>
              <w:t xml:space="preserve">Few standards define simulation output formats. Define canonical simulated traces aligned with the audit/provenance log model for conformance testing and AI analysis.</w:t>
            </w:r>
            <w:r>
              <w:t xml:space="preserve"> </w:t>
            </w:r>
            <w:hyperlink r:id="rId22">
              <w:r>
                <w:rPr>
                  <w:rStyle w:val="Hyperlink"/>
                </w:rPr>
                <w:t xml:space="preserve">[72]</w:t>
              </w:r>
            </w:hyperlink>
          </w:p>
        </w:tc>
      </w:tr>
      <w:tr>
        <w:tc>
          <w:tcPr/>
          <w:p>
            <w:pPr>
              <w:pStyle w:val="Compact"/>
            </w:pPr>
            <w:r>
              <w:t xml:space="preserve">Full UI/low-code rendering</w:t>
            </w:r>
          </w:p>
        </w:tc>
        <w:tc>
          <w:tcPr/>
          <w:p>
            <w:pPr>
              <w:pStyle w:val="Compact"/>
            </w:pPr>
            <w:r>
              <w:t xml:space="preserve">Standardizing forms, UI widgets, and full caseworker UX</w:t>
            </w:r>
          </w:p>
        </w:tc>
        <w:tc>
          <w:tcPr/>
          <w:p>
            <w:pPr>
              <w:pStyle w:val="Compact"/>
            </w:pPr>
            <w:r>
              <w:t xml:space="preserve">(Vendor-specific; not core standards)</w:t>
            </w:r>
          </w:p>
        </w:tc>
        <w:tc>
          <w:tcPr/>
          <w:p>
            <w:pPr>
              <w:pStyle w:val="Compact"/>
            </w:pPr>
            <w:r>
              <w:t xml:space="preserve">Deliberately out of scope</w:t>
            </w:r>
          </w:p>
        </w:tc>
        <w:tc>
          <w:tcPr/>
          <w:p>
            <w:pPr>
              <w:pStyle w:val="Compact"/>
            </w:pPr>
            <w:r>
              <w:t xml:space="preserve">Standardize the semantics and evidence/provenance hooks, not the UI. (Allow UI hints, but keep them non-normative/extensions.)</w:t>
            </w:r>
            <w:r>
              <w:t xml:space="preserve"> </w:t>
            </w:r>
            <w:hyperlink r:id="rId21">
              <w:r>
                <w:rPr>
                  <w:rStyle w:val="Hyperlink"/>
                </w:rPr>
                <w:t xml:space="preserve">[73]</w:t>
              </w:r>
            </w:hyperlink>
          </w:p>
        </w:tc>
      </w:tr>
    </w:tbl>
    <w:bookmarkEnd w:id="56"/>
    <w:bookmarkEnd w:id="57"/>
    <w:bookmarkStart w:id="60" w:name="X025b62e5b045ec3b7d34e9f9870f68e44d4306d"/>
    <w:p>
      <w:pPr>
        <w:pStyle w:val="Heading2"/>
      </w:pPr>
      <w:r>
        <w:t xml:space="preserve">Important standards and models discovered during research</w:t>
      </w:r>
    </w:p>
    <w:p>
      <w:pPr>
        <w:pStyle w:val="FirstParagraph"/>
      </w:pPr>
      <w:r>
        <w:t xml:space="preserve">The prompt’s seed list already implied “process + case + decisions.” The most design-direction-changing discoveries were the artifacts that solve the</w:t>
      </w:r>
      <w:r>
        <w:t xml:space="preserve"> </w:t>
      </w:r>
      <w:r>
        <w:rPr>
          <w:i/>
          <w:iCs/>
        </w:rPr>
        <w:t xml:space="preserve">subproblems workflow engines routinely get wrong</w:t>
      </w:r>
      <w:r>
        <w:t xml:space="preserve">: human work semantics, provenance/audit, conformance discipline, and durable runtime execution.</w:t>
      </w:r>
    </w:p>
    <w:p>
      <w:pPr>
        <w:pStyle w:val="BodyText"/>
      </w:pPr>
      <w:r>
        <w:t xml:space="preserve">Workflow patterns literature (control-flow, resource, data patterns) was not in the seed list, yet it effectively functions as a neutrality layer for comparing expressive power and exposing gaps. The control-flow patterns paper by Wil van der Aalst</w:t>
      </w:r>
      <w:hyperlink r:id="rId21">
        <w:r>
          <w:rPr>
            <w:rStyle w:val="Hyperlink"/>
          </w:rPr>
          <w:t xml:space="preserve">[74]</w:t>
        </w:r>
      </w:hyperlink>
      <w:r>
        <w:t xml:space="preserve"> </w:t>
      </w:r>
      <w:r>
        <w:t xml:space="preserve">underpins much of what later became “expected workflow capability”; the resource patterns paper led by Nick Russell</w:t>
      </w:r>
      <w:hyperlink r:id="rId24">
        <w:r>
          <w:rPr>
            <w:rStyle w:val="Hyperlink"/>
          </w:rPr>
          <w:t xml:space="preserve">[75]</w:t>
        </w:r>
      </w:hyperlink>
      <w:r>
        <w:t xml:space="preserve"> </w:t>
      </w:r>
      <w:r>
        <w:t xml:space="preserve">explicitly argues that workflow research over-focused on control-flow while neglecting the resource (people/assignment) perspective—exactly the failure mode seen in high-stakes casework designs. This literature changes the design direction by providing a non-vendor taxonomy for conformance profiles and feature completeness.</w:t>
      </w:r>
      <w:r>
        <w:t xml:space="preserve"> </w:t>
      </w:r>
      <w:hyperlink r:id="rId58">
        <w:r>
          <w:rPr>
            <w:rStyle w:val="Hyperlink"/>
          </w:rPr>
          <w:t xml:space="preserve">[76]</w:t>
        </w:r>
      </w:hyperlink>
    </w:p>
    <w:p>
      <w:pPr>
        <w:pStyle w:val="BodyText"/>
      </w:pPr>
      <w:r>
        <w:t xml:space="preserve">Declarative process modeling (DECLARE) is a major counterpoint to flowchart-centric modeling. It argues procedural WFMSs struggle with loosely structured processes, and proposes constraint-based models that preserve verification and user support while allowing flexibility. This discovery suggests a modern standard should include a</w:t>
      </w:r>
      <w:r>
        <w:t xml:space="preserve"> </w:t>
      </w:r>
      <w:r>
        <w:rPr>
          <w:b/>
          <w:bCs/>
        </w:rPr>
        <w:t xml:space="preserve">constraint layer</w:t>
      </w:r>
      <w:r>
        <w:t xml:space="preserve"> </w:t>
      </w:r>
      <w:r>
        <w:t xml:space="preserve">(or a “guard/obligation” layer) rather than forcing every exception path into explicit graph structure.</w:t>
      </w:r>
      <w:r>
        <w:t xml:space="preserve"> </w:t>
      </w:r>
      <w:hyperlink r:id="rId59">
        <w:r>
          <w:rPr>
            <w:rStyle w:val="Hyperlink"/>
          </w:rPr>
          <w:t xml:space="preserve">[77]</w:t>
        </w:r>
      </w:hyperlink>
    </w:p>
    <w:p>
      <w:pPr>
        <w:pStyle w:val="BodyText"/>
      </w:pPr>
      <w:r>
        <w:t xml:space="preserve">W3C PROV (including PROV-CONSTRAINTS) is unusually relevant: it provides not only a provenance data model (entities/activities/agents) but also a constraint framework for validity/equivalence. This offers a credible substrate for “why did this happen?” auditability that most workflow standards omit. This discovery meaningfully shifts the design: provenance must become a first-class layer rather than an implementation detail.</w:t>
      </w:r>
      <w:r>
        <w:t xml:space="preserve"> </w:t>
      </w:r>
      <w:hyperlink r:id="rId25">
        <w:r>
          <w:rPr>
            <w:rStyle w:val="Hyperlink"/>
          </w:rPr>
          <w:t xml:space="preserve">[8]</w:t>
        </w:r>
      </w:hyperlink>
    </w:p>
    <w:p>
      <w:pPr>
        <w:pStyle w:val="BodyText"/>
      </w:pPr>
      <w:r>
        <w:t xml:space="preserve">Event-log interchange standards (XES, OCEL 2.0) are an unexpected bridge between workflow execution and audit/process mining. OCEL explicitly addresses limitations of single–case-id logs by modeling multiple objects and their relationships, which maps well to real casework where a “case” touches people, organizations, assets, documents, and decisions. This changes the design direction toward an</w:t>
      </w:r>
      <w:r>
        <w:t xml:space="preserve"> </w:t>
      </w:r>
      <w:r>
        <w:rPr>
          <w:b/>
          <w:bCs/>
        </w:rPr>
        <w:t xml:space="preserve">object-centric audit log</w:t>
      </w:r>
      <w:r>
        <w:t xml:space="preserve"> </w:t>
      </w:r>
      <w:r>
        <w:t xml:space="preserve">rather than a flat per-case trace.</w:t>
      </w:r>
      <w:r>
        <w:t xml:space="preserve"> </w:t>
      </w:r>
      <w:hyperlink r:id="rId37">
        <w:r>
          <w:rPr>
            <w:rStyle w:val="Hyperlink"/>
          </w:rPr>
          <w:t xml:space="preserve">[26]</w:t>
        </w:r>
      </w:hyperlink>
    </w:p>
    <w:p>
      <w:pPr>
        <w:pStyle w:val="BodyText"/>
      </w:pPr>
      <w:r>
        <w:t xml:space="preserve">Modern durable execution semantics—documented both in formal work (Durable Functions semantics paper) and in production system docs (Temporal event history and replay)—are the deepest “runtime model” lesson: deterministic replay + event history is a dominant strategy for long-running correctness. Importantly, these sources also surface traps (non-determinism, versioning of running workflows) that a standard must treat explicitly in conformance profiles.</w:t>
      </w:r>
      <w:r>
        <w:t xml:space="preserve"> </w:t>
      </w:r>
      <w:hyperlink r:id="rId42">
        <w:r>
          <w:rPr>
            <w:rStyle w:val="Hyperlink"/>
          </w:rPr>
          <w:t xml:space="preserve">[31]</w:t>
        </w:r>
      </w:hyperlink>
    </w:p>
    <w:p>
      <w:pPr>
        <w:pStyle w:val="BodyText"/>
      </w:pPr>
      <w:r>
        <w:t xml:space="preserve">Policy/authorization research expansion beyond “rules engines” is decisive. XACML offers conflict resolution via combining algorithms and adds obligations/advice, which is strikingly aligned to workflow needs (“permit but require redaction,” “deny and log,” etc.). Cedar contributes a modern direction: analyzable policy with schema validation and formal semantics, which aligns with “machine-friendly” and “conformance-testable” goals. This shifts design toward a</w:t>
      </w:r>
      <w:r>
        <w:t xml:space="preserve"> </w:t>
      </w:r>
      <w:r>
        <w:rPr>
          <w:b/>
          <w:bCs/>
        </w:rPr>
        <w:t xml:space="preserve">policy interface standard</w:t>
      </w:r>
      <w:r>
        <w:t xml:space="preserve"> </w:t>
      </w:r>
      <w:r>
        <w:t xml:space="preserve">(inputs/outputs/explanations) rather than embedding policy directly in workflow flow logic.</w:t>
      </w:r>
      <w:r>
        <w:t xml:space="preserve"> </w:t>
      </w:r>
      <w:hyperlink r:id="rId38">
        <w:r>
          <w:rPr>
            <w:rStyle w:val="Hyperlink"/>
          </w:rPr>
          <w:t xml:space="preserve">[78]</w:t>
        </w:r>
      </w:hyperlink>
    </w:p>
    <w:p>
      <w:pPr>
        <w:pStyle w:val="BodyText"/>
      </w:pPr>
      <w:r>
        <w:t xml:space="preserve">The OpenAPI Initiative</w:t>
      </w:r>
      <w:hyperlink r:id="rId25">
        <w:r>
          <w:rPr>
            <w:rStyle w:val="Hyperlink"/>
          </w:rPr>
          <w:t xml:space="preserve">[79]</w:t>
        </w:r>
      </w:hyperlink>
      <w:r>
        <w:t xml:space="preserve"> </w:t>
      </w:r>
      <w:r>
        <w:t xml:space="preserve">Arazzo Specification is a small but high-leverage discovery: it standardizes sequences and dependencies between API calls. That is not “workflow,” but it is exactly the kind of interoperable subgraph that workflow engines repeatedly re-invent for integrations. This discovery suggests the new workflow standard should be able to</w:t>
      </w:r>
      <w:r>
        <w:t xml:space="preserve"> </w:t>
      </w:r>
      <w:r>
        <w:rPr>
          <w:i/>
          <w:iCs/>
        </w:rPr>
        <w:t xml:space="preserve">reference</w:t>
      </w:r>
      <w:r>
        <w:t xml:space="preserve"> </w:t>
      </w:r>
      <w:r>
        <w:t xml:space="preserve">standardized “integration subflows” rather than baking in ad-hoc call sequencing.</w:t>
      </w:r>
      <w:r>
        <w:t xml:space="preserve"> </w:t>
      </w:r>
      <w:hyperlink r:id="rId44">
        <w:r>
          <w:rPr>
            <w:rStyle w:val="Hyperlink"/>
          </w:rPr>
          <w:t xml:space="preserve">[33]</w:t>
        </w:r>
      </w:hyperlink>
    </w:p>
    <w:p>
      <w:pPr>
        <w:pStyle w:val="BodyText"/>
      </w:pPr>
      <w:r>
        <w:t xml:space="preserve">Domain standards like HL7 FHIR (Workflow module, Task, AuditEvent) show what “high-stakes interoperability” looks like when tasks and audit records are treated as exchangeable resources across organizations. Even if healthcare-specific, it provides proof that task state visibility and audit semantics can be standardized and adopted.</w:t>
      </w:r>
      <w:r>
        <w:t xml:space="preserve"> </w:t>
      </w:r>
      <w:hyperlink r:id="rId46">
        <w:r>
          <w:rPr>
            <w:rStyle w:val="Hyperlink"/>
          </w:rPr>
          <w:t xml:space="preserve">[80]</w:t>
        </w:r>
      </w:hyperlink>
    </w:p>
    <w:bookmarkEnd w:id="60"/>
    <w:bookmarkStart w:id="65" w:name="Xf4328f8aa62788f9e2b8e805fda0e94aeb48eb3"/>
    <w:p>
      <w:pPr>
        <w:pStyle w:val="Heading2"/>
      </w:pPr>
      <w:r>
        <w:t xml:space="preserve">Conceptual architecture and design implications</w:t>
      </w:r>
    </w:p>
    <w:p>
      <w:pPr>
        <w:pStyle w:val="FirstParagraph"/>
      </w:pPr>
      <w:r>
        <w:t xml:space="preserve">A credible new standard should act more like a “contract for consequential work” than a single modeling language. The architecture that best fits the requirements (machine-friendly, auditable, explainable, interoperable, long-running, human-centric, conformance-testable, AI-authorable) is a layered model with a small semantic kernel and explicit interfaces between layers.</w:t>
      </w:r>
    </w:p>
    <w:bookmarkStart w:id="61" w:name="proposed-major-conceptual-layers"/>
    <w:p>
      <w:pPr>
        <w:pStyle w:val="Heading3"/>
      </w:pPr>
      <w:r>
        <w:t xml:space="preserve">Proposed major conceptual layers</w:t>
      </w:r>
    </w:p>
    <w:p>
      <w:pPr>
        <w:pStyle w:val="FirstParagraph"/>
      </w:pPr>
      <w:r>
        <w:t xml:space="preserve">Semantic kernel (state + events): a normative state/event model, influenced by SCXML (hierarchical states, event dispatch, deterministic transition selection semantics) and by modern durable runtimes (history-driven replay). This kernel is the anchor for static analysis, simulation, and audit replay.</w:t>
      </w:r>
      <w:r>
        <w:t xml:space="preserve"> </w:t>
      </w:r>
      <w:hyperlink r:id="rId22">
        <w:r>
          <w:rPr>
            <w:rStyle w:val="Hyperlink"/>
          </w:rPr>
          <w:t xml:space="preserve">[2]</w:t>
        </w:r>
      </w:hyperlink>
    </w:p>
    <w:p>
      <w:pPr>
        <w:pStyle w:val="BodyText"/>
      </w:pPr>
      <w:r>
        <w:t xml:space="preserve">Work management layer (human + machine tasks): task definitions and task instances with explicit lifecycle operations (claim/start/suspend/delegate/etc.) and required history logging. Reuse WS-HumanTask’s lifecycle rigor, but modernize data models and bindings (JSON, CloudEvents lifecycle events, OpenAPI).</w:t>
      </w:r>
      <w:r>
        <w:t xml:space="preserve"> </w:t>
      </w:r>
      <w:hyperlink r:id="rId23">
        <w:r>
          <w:rPr>
            <w:rStyle w:val="Hyperlink"/>
          </w:rPr>
          <w:t xml:space="preserve">[81]</w:t>
        </w:r>
      </w:hyperlink>
    </w:p>
    <w:p>
      <w:pPr>
        <w:pStyle w:val="BodyText"/>
      </w:pPr>
      <w:r>
        <w:t xml:space="preserve">Decision layer (decision models): decision requirements graphs and decision logic modules decoupled from process/case flow, aligned with DMN’s DRG/DRD concepts. Require that decisions emit explanation artifacts (inputs used, rule hits, policy version, and authority references).</w:t>
      </w:r>
      <w:r>
        <w:t xml:space="preserve"> </w:t>
      </w:r>
      <w:hyperlink r:id="rId24">
        <w:r>
          <w:rPr>
            <w:rStyle w:val="Hyperlink"/>
          </w:rPr>
          <w:t xml:space="preserve">[4]</w:t>
        </w:r>
      </w:hyperlink>
    </w:p>
    <w:p>
      <w:pPr>
        <w:pStyle w:val="BodyText"/>
      </w:pPr>
      <w:r>
        <w:t xml:space="preserve">Policy/authorization layer (routing + permissions + obligations): define a standard policy evaluation interface (input facts, requested action, context; output decision + obligations/advice + explanation trace). Learn conflict resolution (combining) and obligations/advice from XACML; learn analyzability and schema validation from Cedar; remain policy-language-agnostic the way OPA positions policy evaluation as decoupled from enforcement.</w:t>
      </w:r>
      <w:r>
        <w:t xml:space="preserve"> </w:t>
      </w:r>
      <w:hyperlink r:id="rId39">
        <w:r>
          <w:rPr>
            <w:rStyle w:val="Hyperlink"/>
          </w:rPr>
          <w:t xml:space="preserve">[82]</w:t>
        </w:r>
      </w:hyperlink>
    </w:p>
    <w:p>
      <w:pPr>
        <w:pStyle w:val="BodyText"/>
      </w:pPr>
      <w:r>
        <w:t xml:space="preserve">Case/evidence layer: treat case state as a structured, versioned object graph (inspired by CMMN CaseFile/CaseFileItem) with explicit evidence items, annotations, and integrity hooks. Use canonical JSON (JCS) for stable hashing/signing and optionally reference verifiable credentials/data integrity mechanisms where evidence integrity is required.</w:t>
      </w:r>
      <w:r>
        <w:t xml:space="preserve"> </w:t>
      </w:r>
      <w:hyperlink r:id="rId30">
        <w:r>
          <w:rPr>
            <w:rStyle w:val="Hyperlink"/>
          </w:rPr>
          <w:t xml:space="preserve">[83]</w:t>
        </w:r>
      </w:hyperlink>
    </w:p>
    <w:p>
      <w:pPr>
        <w:pStyle w:val="BodyText"/>
      </w:pPr>
      <w:r>
        <w:t xml:space="preserve">Integration/eventing layer: standard triggers and external handoffs via CloudEvents envelopes; require correlation and causality propagation (correlation keys + trace context); require idempotency contracts for side-effecting calls to make durability safe under replay. Consider referencing Arazzo-style API sequences for structured integration subflows.</w:t>
      </w:r>
      <w:r>
        <w:t xml:space="preserve"> </w:t>
      </w:r>
      <w:hyperlink r:id="rId27">
        <w:r>
          <w:rPr>
            <w:rStyle w:val="Hyperlink"/>
          </w:rPr>
          <w:t xml:space="preserve">[84]</w:t>
        </w:r>
      </w:hyperlink>
    </w:p>
    <w:p>
      <w:pPr>
        <w:pStyle w:val="BodyText"/>
      </w:pPr>
      <w:r>
        <w:t xml:space="preserve">Provenance/audit layer: produce a portable, append-only event log that can be validated and analyzed. Use W3C PROV as the conceptual provenance backbone (entity/activity/agent) plus PROV constraints for consistency checking; provide renderings/exports aligned with XES/OCEL for interoperability with analysis tooling.</w:t>
      </w:r>
      <w:r>
        <w:t xml:space="preserve"> </w:t>
      </w:r>
      <w:hyperlink r:id="rId25">
        <w:r>
          <w:rPr>
            <w:rStyle w:val="Hyperlink"/>
          </w:rPr>
          <w:t xml:space="preserve">[85]</w:t>
        </w:r>
      </w:hyperlink>
    </w:p>
    <w:p>
      <w:pPr>
        <w:pStyle w:val="BodyText"/>
      </w:pPr>
      <w:r>
        <w:t xml:space="preserve">AI-native authoring/simulation layer: standardize (a) machine-readable schemas, (b) typed edit operations (JSON Patch/Merge Patch + workflow-aware operations), (c) diagnostics and refactors via LSP-style feedback loops, and (d) canonical simulation trace formats that match the audit log model.</w:t>
      </w:r>
      <w:r>
        <w:t xml:space="preserve"> </w:t>
      </w:r>
      <w:hyperlink r:id="rId45">
        <w:r>
          <w:rPr>
            <w:rStyle w:val="Hyperlink"/>
          </w:rPr>
          <w:t xml:space="preserve">[86]</w:t>
        </w:r>
      </w:hyperlink>
    </w:p>
    <w:bookmarkEnd w:id="61"/>
    <w:bookmarkStart w:id="62" w:name="likely-object-model"/>
    <w:p>
      <w:pPr>
        <w:pStyle w:val="Heading3"/>
      </w:pPr>
      <w:r>
        <w:t xml:space="preserve">Likely object model</w:t>
      </w:r>
    </w:p>
    <w:p>
      <w:pPr>
        <w:pStyle w:val="FirstParagraph"/>
      </w:pPr>
      <w:r>
        <w:t xml:space="preserve">A minimal interoperable object model (expressed in JSON with JSON Schema) should include:</w:t>
      </w:r>
    </w:p>
    <w:p>
      <w:pPr>
        <w:pStyle w:val="BodyText"/>
      </w:pPr>
      <w:r>
        <w:t xml:space="preserve">WorkflowDefinition: versioned definition with entrypoints/triggers, state machine regions, task templates, decision hooks, and extension points.</w:t>
      </w:r>
      <w:r>
        <w:t xml:space="preserve"> </w:t>
      </w:r>
      <w:hyperlink r:id="rId22">
        <w:r>
          <w:rPr>
            <w:rStyle w:val="Hyperlink"/>
          </w:rPr>
          <w:t xml:space="preserve">[87]</w:t>
        </w:r>
      </w:hyperlink>
    </w:p>
    <w:p>
      <w:pPr>
        <w:pStyle w:val="BodyText"/>
      </w:pPr>
      <w:r>
        <w:t xml:space="preserve">CaseType and CaseInstance: case schema references; case file/evidence graph; milestones; discretionary actions; governance constraints (who can add what).</w:t>
      </w:r>
      <w:r>
        <w:t xml:space="preserve"> </w:t>
      </w:r>
      <w:hyperlink r:id="rId30">
        <w:r>
          <w:rPr>
            <w:rStyle w:val="Hyperlink"/>
          </w:rPr>
          <w:t xml:space="preserve">[88]</w:t>
        </w:r>
      </w:hyperlink>
    </w:p>
    <w:p>
      <w:pPr>
        <w:pStyle w:val="BodyText"/>
      </w:pPr>
      <w:r>
        <w:t xml:space="preserve">TaskDefinition and TaskInstance: lifecycle states and operations; assignment model; deadlines; escalation policies; links to evidence and decisions; immutable per-task event history.</w:t>
      </w:r>
      <w:r>
        <w:t xml:space="preserve"> </w:t>
      </w:r>
      <w:hyperlink r:id="rId23">
        <w:r>
          <w:rPr>
            <w:rStyle w:val="Hyperlink"/>
          </w:rPr>
          <w:t xml:space="preserve">[89]</w:t>
        </w:r>
      </w:hyperlink>
    </w:p>
    <w:p>
      <w:pPr>
        <w:pStyle w:val="BodyText"/>
      </w:pPr>
      <w:r>
        <w:t xml:space="preserve">DecisionDefinition and DecisionInvocation: required inputs; policy/authority references; output + explanation trace; conformance profile for expression language.</w:t>
      </w:r>
      <w:r>
        <w:t xml:space="preserve"> </w:t>
      </w:r>
      <w:hyperlink r:id="rId24">
        <w:r>
          <w:rPr>
            <w:rStyle w:val="Hyperlink"/>
          </w:rPr>
          <w:t xml:space="preserve">[4]</w:t>
        </w:r>
      </w:hyperlink>
    </w:p>
    <w:p>
      <w:pPr>
        <w:pStyle w:val="BodyText"/>
      </w:pPr>
      <w:r>
        <w:t xml:space="preserve">PolicyInterface: a language-agnostic contract for evaluation inputs, outputs (decision + obligations/advice), and explanation data sufficient for audit.</w:t>
      </w:r>
      <w:r>
        <w:t xml:space="preserve"> </w:t>
      </w:r>
      <w:hyperlink r:id="rId38">
        <w:r>
          <w:rPr>
            <w:rStyle w:val="Hyperlink"/>
          </w:rPr>
          <w:t xml:space="preserve">[90]</w:t>
        </w:r>
      </w:hyperlink>
    </w:p>
    <w:p>
      <w:pPr>
        <w:pStyle w:val="BodyText"/>
      </w:pPr>
      <w:r>
        <w:t xml:space="preserve">Event and HistoryEntry: CloudEvents envelope + workflow-specific type system; trace/correlation; parent/child causality; references to policy versions, evidence snapshots, and actors/agents.</w:t>
      </w:r>
      <w:r>
        <w:t xml:space="preserve"> </w:t>
      </w:r>
      <w:hyperlink r:id="rId27">
        <w:r>
          <w:rPr>
            <w:rStyle w:val="Hyperlink"/>
          </w:rPr>
          <w:t xml:space="preserve">[91]</w:t>
        </w:r>
      </w:hyperlink>
    </w:p>
    <w:p>
      <w:pPr>
        <w:pStyle w:val="BodyText"/>
      </w:pPr>
      <w:r>
        <w:t xml:space="preserve">ProvenanceBundle: PROV-compatible representation that links history events (activities) to evidence/state (entities) and actors/systems (agents), enabling constraint validation.</w:t>
      </w:r>
      <w:r>
        <w:t xml:space="preserve"> </w:t>
      </w:r>
      <w:hyperlink r:id="rId25">
        <w:r>
          <w:rPr>
            <w:rStyle w:val="Hyperlink"/>
          </w:rPr>
          <w:t xml:space="preserve">[8]</w:t>
        </w:r>
      </w:hyperlink>
    </w:p>
    <w:bookmarkEnd w:id="62"/>
    <w:bookmarkStart w:id="64" w:name="likely-non-goals"/>
    <w:p>
      <w:pPr>
        <w:pStyle w:val="Heading3"/>
      </w:pPr>
      <w:r>
        <w:t xml:space="preserve">Likely non-goals</w:t>
      </w:r>
    </w:p>
    <w:p>
      <w:pPr>
        <w:pStyle w:val="FirstParagraph"/>
      </w:pPr>
      <w:r>
        <w:t xml:space="preserve">A new standard should explicitly avoid standardizing anything that predictably collapses portability or invites vendor lock-in:</w:t>
      </w:r>
    </w:p>
    <w:p>
      <w:pPr>
        <w:pStyle w:val="BodyText"/>
      </w:pPr>
      <w:r>
        <w:t xml:space="preserve">Full UI and form rendering; proprietary “workflow-as-diagram” editor formats; RPA scripting; embedding a single policy language; prescribing storage engines or message brokers; and re-creating general identity protocols. These are better handled via references to existing standards (OpenAPI/AsyncAPI for interfaces, CloudEvents for event envelopes, trace context for propagation, JWT/VCs for credentials where needed).</w:t>
      </w:r>
      <w:r>
        <w:t xml:space="preserve"> </w:t>
      </w:r>
      <w:hyperlink r:id="rId63">
        <w:r>
          <w:rPr>
            <w:rStyle w:val="Hyperlink"/>
          </w:rPr>
          <w:t xml:space="preserve">[92]</w:t>
        </w:r>
      </w:hyperlink>
    </w:p>
    <w:bookmarkEnd w:id="64"/>
    <w:bookmarkEnd w:id="65"/>
    <w:bookmarkStart w:id="69" w:name="conformance-strategy"/>
    <w:p>
      <w:pPr>
        <w:pStyle w:val="Heading2"/>
      </w:pPr>
      <w:r>
        <w:t xml:space="preserve">Conformance strategy</w:t>
      </w:r>
    </w:p>
    <w:p>
      <w:pPr>
        <w:pStyle w:val="FirstParagraph"/>
      </w:pPr>
      <w:r>
        <w:t xml:space="preserve">Conformance must be designed upfront, borrowing from standards that ship real testability artifacts: BPMN’s explicit conformance types for modeling and execution; SCXML’s test suite and implementation report; and OpenTelemetry’s explicit definition of compliance relative to normative “MUST/REQUIRED” statements.</w:t>
      </w:r>
      <w:r>
        <w:t xml:space="preserve"> </w:t>
      </w:r>
      <w:hyperlink r:id="rId21">
        <w:r>
          <w:rPr>
            <w:rStyle w:val="Hyperlink"/>
          </w:rPr>
          <w:t xml:space="preserve">[6]</w:t>
        </w:r>
      </w:hyperlink>
    </w:p>
    <w:bookmarkStart w:id="66" w:name="proposed-conformance-structure"/>
    <w:p>
      <w:pPr>
        <w:pStyle w:val="Heading3"/>
      </w:pPr>
      <w:r>
        <w:t xml:space="preserve">Proposed conformance structure</w:t>
      </w:r>
    </w:p>
    <w:p>
      <w:pPr>
        <w:pStyle w:val="FirstParagraph"/>
      </w:pPr>
      <w:r>
        <w:t xml:space="preserve">Core profile: state/event kernel + CloudEvents lifecycle emission + required correlation/trace/casual links + minimal task semantics. This should be small enough that multiple runtimes can implement it, but strict enough to guarantee portable simulation and audit logs.</w:t>
      </w:r>
      <w:r>
        <w:t xml:space="preserve"> </w:t>
      </w:r>
      <w:hyperlink r:id="rId22">
        <w:r>
          <w:rPr>
            <w:rStyle w:val="Hyperlink"/>
          </w:rPr>
          <w:t xml:space="preserve">[93]</w:t>
        </w:r>
      </w:hyperlink>
    </w:p>
    <w:p>
      <w:pPr>
        <w:pStyle w:val="BodyText"/>
      </w:pPr>
      <w:r>
        <w:t xml:space="preserve">Human work profile: WS-HumanTask–inspired lifecycle operations and required task history and deadlines/escalation semantics, with modern bindings.</w:t>
      </w:r>
      <w:r>
        <w:t xml:space="preserve"> </w:t>
      </w:r>
      <w:hyperlink r:id="rId23">
        <w:r>
          <w:rPr>
            <w:rStyle w:val="Hyperlink"/>
          </w:rPr>
          <w:t xml:space="preserve">[94]</w:t>
        </w:r>
      </w:hyperlink>
    </w:p>
    <w:p>
      <w:pPr>
        <w:pStyle w:val="BodyText"/>
      </w:pPr>
      <w:r>
        <w:t xml:space="preserve">Case profile: CMMN-inspired discretionary planning and case file/evidence semantics, plus governance constraints (authorization and audit requirements for discretionary actions).</w:t>
      </w:r>
      <w:r>
        <w:t xml:space="preserve"> </w:t>
      </w:r>
      <w:hyperlink r:id="rId30">
        <w:r>
          <w:rPr>
            <w:rStyle w:val="Hyperlink"/>
          </w:rPr>
          <w:t xml:space="preserve">[95]</w:t>
        </w:r>
      </w:hyperlink>
    </w:p>
    <w:p>
      <w:pPr>
        <w:pStyle w:val="BodyText"/>
      </w:pPr>
      <w:r>
        <w:t xml:space="preserve">Decision/policy profile: DMN-inspired decision requirements + a standardized policy evaluation interface with obligations/advice and conflict-resolution semantics profileable to XACML/OPA/Cedar-like implementations.</w:t>
      </w:r>
      <w:r>
        <w:t xml:space="preserve"> </w:t>
      </w:r>
      <w:hyperlink r:id="rId24">
        <w:r>
          <w:rPr>
            <w:rStyle w:val="Hyperlink"/>
          </w:rPr>
          <w:t xml:space="preserve">[96]</w:t>
        </w:r>
      </w:hyperlink>
    </w:p>
    <w:p>
      <w:pPr>
        <w:pStyle w:val="BodyText"/>
      </w:pPr>
      <w:r>
        <w:t xml:space="preserve">Provenance profile: required PROV-compatible provenance bundle generation and validity checks (leveraging PROV constraints), plus export renderings aligned to XES/OCEL.</w:t>
      </w:r>
      <w:r>
        <w:t xml:space="preserve"> </w:t>
      </w:r>
      <w:hyperlink r:id="rId25">
        <w:r>
          <w:rPr>
            <w:rStyle w:val="Hyperlink"/>
          </w:rPr>
          <w:t xml:space="preserve">[85]</w:t>
        </w:r>
      </w:hyperlink>
    </w:p>
    <w:bookmarkEnd w:id="66"/>
    <w:bookmarkStart w:id="68" w:name="canonical-fixtures-and-test-categories"/>
    <w:p>
      <w:pPr>
        <w:pStyle w:val="Heading3"/>
      </w:pPr>
      <w:r>
        <w:t xml:space="preserve">Canonical fixtures and test categories</w:t>
      </w:r>
    </w:p>
    <w:p>
      <w:pPr>
        <w:pStyle w:val="FirstParagraph"/>
      </w:pPr>
      <w:r>
        <w:t xml:space="preserve">Static validation fixtures: JSON Schema validation for structure and basic constraints; workflow-specific semantic validation beyond schema (e.g., no unreachable states, no dangling references, well-typed decision inputs, valid correlation keys).</w:t>
      </w:r>
      <w:r>
        <w:t xml:space="preserve"> </w:t>
      </w:r>
      <w:hyperlink r:id="rId35">
        <w:r>
          <w:rPr>
            <w:rStyle w:val="Hyperlink"/>
          </w:rPr>
          <w:t xml:space="preserve">[97]</w:t>
        </w:r>
      </w:hyperlink>
    </w:p>
    <w:p>
      <w:pPr>
        <w:pStyle w:val="BodyText"/>
      </w:pPr>
      <w:r>
        <w:t xml:space="preserve">Runtime behavior fixtures: given identical inputs and event sequences, conformant engines must produce equivalent histories (within explicitly allowed nondeterminism boundaries). This borrows from the replay concept in durable orchestration systems and from SCXML’s deterministic interpretation approach.</w:t>
      </w:r>
      <w:r>
        <w:t xml:space="preserve"> </w:t>
      </w:r>
      <w:hyperlink r:id="rId26">
        <w:r>
          <w:rPr>
            <w:rStyle w:val="Hyperlink"/>
          </w:rPr>
          <w:t xml:space="preserve">[98]</w:t>
        </w:r>
      </w:hyperlink>
    </w:p>
    <w:p>
      <w:pPr>
        <w:pStyle w:val="BodyText"/>
      </w:pPr>
      <w:r>
        <w:t xml:space="preserve">Portability checks: run the same fixture suite across two engines; require output history logs (and provenance bundles) to be semantically equivalent under PROV equivalence rules where applicable.</w:t>
      </w:r>
      <w:r>
        <w:t xml:space="preserve"> </w:t>
      </w:r>
      <w:hyperlink r:id="rId67">
        <w:r>
          <w:rPr>
            <w:rStyle w:val="Hyperlink"/>
          </w:rPr>
          <w:t xml:space="preserve">[99]</w:t>
        </w:r>
      </w:hyperlink>
    </w:p>
    <w:p>
      <w:pPr>
        <w:pStyle w:val="BodyText"/>
      </w:pPr>
      <w:r>
        <w:t xml:space="preserve">Edge-case scenarios (must be in test suite): suspension and resume; delegated tasks; deadline expiry and escalation; human override of an automated decision with recorded rationale; partial completion with compensation (saga-like); replay after crash; duplicate callback delivery with idempotency key; correlation mismatch; policy conflict resolution; evidence version change mid-case.</w:t>
      </w:r>
      <w:r>
        <w:t xml:space="preserve"> </w:t>
      </w:r>
      <w:hyperlink r:id="rId23">
        <w:r>
          <w:rPr>
            <w:rStyle w:val="Hyperlink"/>
          </w:rPr>
          <w:t xml:space="preserve">[100]</w:t>
        </w:r>
      </w:hyperlink>
    </w:p>
    <w:bookmarkEnd w:id="68"/>
    <w:bookmarkEnd w:id="69"/>
    <w:bookmarkStart w:id="70" w:name="X4e7ba6fdf1d52ed46b15658fc2d338d2ab26dac"/>
    <w:p>
      <w:pPr>
        <w:pStyle w:val="Heading2"/>
      </w:pPr>
      <w:r>
        <w:t xml:space="preserve">Candidate architecture directions and recommendation</w:t>
      </w:r>
    </w:p>
    <w:p>
      <w:pPr>
        <w:pStyle w:val="FirstParagraph"/>
      </w:pPr>
      <w:r>
        <w:t xml:space="preserve">The design space can be reduced to four plausible directions.</w:t>
      </w:r>
    </w:p>
    <w:p>
      <w:pPr>
        <w:pStyle w:val="BodyText"/>
      </w:pPr>
      <w:r>
        <w:t xml:space="preserve">State-machine-centric: adopt SCXML-like semantics as the primary model; everything else becomes actions and events. Strength: analyzable, simulatable, conformance-friendly. Risk: cases and discretion can become awkward unless a case/evidence layer is explicitly modeled (not just variables), and human work semantics must be added deliberately.</w:t>
      </w:r>
      <w:r>
        <w:t xml:space="preserve"> </w:t>
      </w:r>
      <w:hyperlink r:id="rId22">
        <w:r>
          <w:rPr>
            <w:rStyle w:val="Hyperlink"/>
          </w:rPr>
          <w:t xml:space="preserve">[101]</w:t>
        </w:r>
      </w:hyperlink>
    </w:p>
    <w:p>
      <w:pPr>
        <w:pStyle w:val="BodyText"/>
      </w:pPr>
      <w:r>
        <w:t xml:space="preserve">Case-centric: make CMMN-like case planning and evolving case file the primary abstraction; flow is emergent from sentries and discretionary actions. Strength: matches investigations and exception-heavy work. Risk: without a precise execution kernel and a disciplined audit model, implementations diverge and conformance becomes weak.</w:t>
      </w:r>
      <w:r>
        <w:t xml:space="preserve"> </w:t>
      </w:r>
      <w:hyperlink r:id="rId30">
        <w:r>
          <w:rPr>
            <w:rStyle w:val="Hyperlink"/>
          </w:rPr>
          <w:t xml:space="preserve">[102]</w:t>
        </w:r>
      </w:hyperlink>
    </w:p>
    <w:p>
      <w:pPr>
        <w:pStyle w:val="BodyText"/>
      </w:pPr>
      <w:r>
        <w:t xml:space="preserve">Hybrid process + policy + task (recommended): keep a small state/event kernel; define flow as one view, case/evidence as another, decisions/policy as a third, and tasks as a fourth—each with explicit interfaces and audit links. This aligns with the reality that DMN complements BPMN, and the human-task layer needs explicit lifecycle semantics not captured by process flow alone. It also matches how durable runtimes separate orchestration logic from activities and use event history for durability.</w:t>
      </w:r>
      <w:r>
        <w:t xml:space="preserve"> </w:t>
      </w:r>
      <w:hyperlink r:id="rId24">
        <w:r>
          <w:rPr>
            <w:rStyle w:val="Hyperlink"/>
          </w:rPr>
          <w:t xml:space="preserve">[103]</w:t>
        </w:r>
      </w:hyperlink>
    </w:p>
    <w:p>
      <w:pPr>
        <w:pStyle w:val="BodyText"/>
      </w:pPr>
      <w:r>
        <w:t xml:space="preserve">Event-first orchestration: define everything as event reactions with correlation and policy evaluation, similar in spirit to event-driven statecharts and modern eventing standards. Strength: integration-friendly and scalable. Risk: without strong constraints and explicit “work items” semantics, it devolves into a rule soup; human judgment and auditability become inconsistent.</w:t>
      </w:r>
      <w:r>
        <w:t xml:space="preserve"> </w:t>
      </w:r>
      <w:hyperlink r:id="rId27">
        <w:r>
          <w:rPr>
            <w:rStyle w:val="Hyperlink"/>
          </w:rPr>
          <w:t xml:space="preserve">[104]</w:t>
        </w:r>
      </w:hyperlink>
    </w:p>
    <w:p>
      <w:pPr>
        <w:pStyle w:val="BodyText"/>
      </w:pPr>
      <w:r>
        <w:t xml:space="preserve">Recommendation: Hybrid process + policy + task, built on a state/event kernel, with a first-class case/evidence model and a portable provenance/audit log. This direction best satisfies the simultaneous requirements of (a) formal analyzability, (b) real-world discretionary work, (c) explainability/audit, and (d) AI-assisted authoring and simulation.</w:t>
      </w:r>
      <w:r>
        <w:t xml:space="preserve"> </w:t>
      </w:r>
      <w:hyperlink r:id="rId22">
        <w:r>
          <w:rPr>
            <w:rStyle w:val="Hyperlink"/>
          </w:rPr>
          <w:t xml:space="preserve">[105]</w:t>
        </w:r>
      </w:hyperlink>
    </w:p>
    <w:bookmarkEnd w:id="70"/>
    <w:bookmarkStart w:id="79" w:name="ranked-lists"/>
    <w:p>
      <w:pPr>
        <w:pStyle w:val="Heading2"/>
      </w:pPr>
      <w:r>
        <w:t xml:space="preserve">Ranked lists</w:t>
      </w:r>
    </w:p>
    <w:bookmarkStart w:id="71" w:name="ten-design-principles"/>
    <w:p>
      <w:pPr>
        <w:pStyle w:val="Heading3"/>
      </w:pPr>
      <w:r>
        <w:t xml:space="preserve">Ten design principles</w:t>
      </w:r>
    </w:p>
    <w:p>
      <w:pPr>
        <w:pStyle w:val="Compact"/>
        <w:numPr>
          <w:ilvl w:val="0"/>
          <w:numId w:val="1005"/>
        </w:numPr>
      </w:pPr>
      <w:r>
        <w:t xml:space="preserve">Separate concerns by default: state/event kernel, tasks, decisions, policies, case/evidence, integrations, provenance must be distinct but linkable.</w:t>
      </w:r>
      <w:r>
        <w:t xml:space="preserve"> </w:t>
      </w:r>
      <w:hyperlink r:id="rId24">
        <w:r>
          <w:rPr>
            <w:rStyle w:val="Hyperlink"/>
          </w:rPr>
          <w:t xml:space="preserve">[106]</w:t>
        </w:r>
      </w:hyperlink>
    </w:p>
    <w:p>
      <w:pPr>
        <w:pStyle w:val="Compact"/>
        <w:numPr>
          <w:ilvl w:val="0"/>
          <w:numId w:val="1005"/>
        </w:numPr>
      </w:pPr>
      <w:r>
        <w:t xml:space="preserve">Every meaningful state transition emits a standard lifecycle event and appends to a portable history log.</w:t>
      </w:r>
      <w:r>
        <w:t xml:space="preserve"> </w:t>
      </w:r>
      <w:hyperlink r:id="rId52">
        <w:r>
          <w:rPr>
            <w:rStyle w:val="Hyperlink"/>
          </w:rPr>
          <w:t xml:space="preserve">[107]</w:t>
        </w:r>
      </w:hyperlink>
    </w:p>
    <w:p>
      <w:pPr>
        <w:pStyle w:val="Compact"/>
        <w:numPr>
          <w:ilvl w:val="0"/>
          <w:numId w:val="1005"/>
        </w:numPr>
      </w:pPr>
      <w:r>
        <w:t xml:space="preserve">Interoperability requires conformance profiles plus fixtures; prose-only semantics are insufficient.</w:t>
      </w:r>
      <w:r>
        <w:t xml:space="preserve"> </w:t>
      </w:r>
      <w:hyperlink r:id="rId21">
        <w:r>
          <w:rPr>
            <w:rStyle w:val="Hyperlink"/>
          </w:rPr>
          <w:t xml:space="preserve">[6]</w:t>
        </w:r>
      </w:hyperlink>
    </w:p>
    <w:p>
      <w:pPr>
        <w:pStyle w:val="Compact"/>
        <w:numPr>
          <w:ilvl w:val="0"/>
          <w:numId w:val="1005"/>
        </w:numPr>
      </w:pPr>
      <w:r>
        <w:t xml:space="preserve">Human judgment is structured: overrides, delegation, and discretionary actions are typed operations with required rationale and authority references.</w:t>
      </w:r>
      <w:r>
        <w:t xml:space="preserve"> </w:t>
      </w:r>
      <w:hyperlink r:id="rId23">
        <w:r>
          <w:rPr>
            <w:rStyle w:val="Hyperlink"/>
          </w:rPr>
          <w:t xml:space="preserve">[108]</w:t>
        </w:r>
      </w:hyperlink>
    </w:p>
    <w:p>
      <w:pPr>
        <w:pStyle w:val="Compact"/>
        <w:numPr>
          <w:ilvl w:val="0"/>
          <w:numId w:val="1005"/>
        </w:numPr>
      </w:pPr>
      <w:r>
        <w:t xml:space="preserve">Durability is a semantic contract: replay, idempotency, and timer behavior must be specified at the observable level.</w:t>
      </w:r>
      <w:r>
        <w:t xml:space="preserve"> </w:t>
      </w:r>
      <w:hyperlink r:id="rId26">
        <w:r>
          <w:rPr>
            <w:rStyle w:val="Hyperlink"/>
          </w:rPr>
          <w:t xml:space="preserve">[109]</w:t>
        </w:r>
      </w:hyperlink>
    </w:p>
    <w:p>
      <w:pPr>
        <w:pStyle w:val="Compact"/>
        <w:numPr>
          <w:ilvl w:val="0"/>
          <w:numId w:val="1005"/>
        </w:numPr>
      </w:pPr>
      <w:r>
        <w:t xml:space="preserve">Evidence is versioned and integrity-addressable: stable canonicalization for hashing/signing and record linkage.</w:t>
      </w:r>
      <w:r>
        <w:t xml:space="preserve"> </w:t>
      </w:r>
      <w:hyperlink r:id="rId28">
        <w:r>
          <w:rPr>
            <w:rStyle w:val="Hyperlink"/>
          </w:rPr>
          <w:t xml:space="preserve">[110]</w:t>
        </w:r>
      </w:hyperlink>
    </w:p>
    <w:p>
      <w:pPr>
        <w:pStyle w:val="Compact"/>
        <w:numPr>
          <w:ilvl w:val="0"/>
          <w:numId w:val="1005"/>
        </w:numPr>
      </w:pPr>
      <w:r>
        <w:t xml:space="preserve">Policy is externalizable: workflow definitions reference policies; policy engines return decisions plus obligations/advice plus explanations.</w:t>
      </w:r>
      <w:r>
        <w:t xml:space="preserve"> </w:t>
      </w:r>
      <w:hyperlink r:id="rId39">
        <w:r>
          <w:rPr>
            <w:rStyle w:val="Hyperlink"/>
          </w:rPr>
          <w:t xml:space="preserve">[111]</w:t>
        </w:r>
      </w:hyperlink>
    </w:p>
    <w:p>
      <w:pPr>
        <w:pStyle w:val="Compact"/>
        <w:numPr>
          <w:ilvl w:val="0"/>
          <w:numId w:val="1005"/>
        </w:numPr>
      </w:pPr>
      <w:r>
        <w:t xml:space="preserve">Correlation and causality are standardized identifiers, not optional conventions.</w:t>
      </w:r>
      <w:r>
        <w:t xml:space="preserve"> </w:t>
      </w:r>
      <w:hyperlink r:id="rId21">
        <w:r>
          <w:rPr>
            <w:rStyle w:val="Hyperlink"/>
          </w:rPr>
          <w:t xml:space="preserve">[64]</w:t>
        </w:r>
      </w:hyperlink>
    </w:p>
    <w:p>
      <w:pPr>
        <w:pStyle w:val="Compact"/>
        <w:numPr>
          <w:ilvl w:val="0"/>
          <w:numId w:val="1005"/>
        </w:numPr>
      </w:pPr>
      <w:r>
        <w:t xml:space="preserve">AI-native means “structured editability”: typed patches + diagnostics + semantic validation hooks, not embedded prompt text.</w:t>
      </w:r>
      <w:r>
        <w:t xml:space="preserve"> </w:t>
      </w:r>
      <w:hyperlink r:id="rId45">
        <w:r>
          <w:rPr>
            <w:rStyle w:val="Hyperlink"/>
          </w:rPr>
          <w:t xml:space="preserve">[112]</w:t>
        </w:r>
      </w:hyperlink>
    </w:p>
    <w:p>
      <w:pPr>
        <w:pStyle w:val="Compact"/>
        <w:numPr>
          <w:ilvl w:val="0"/>
          <w:numId w:val="1005"/>
        </w:numPr>
      </w:pPr>
      <w:r>
        <w:t xml:space="preserve">Prefer small, composable primitives and extension points over a giant catalog of special cases.</w:t>
      </w:r>
      <w:r>
        <w:t xml:space="preserve"> </w:t>
      </w:r>
      <w:hyperlink r:id="rId22">
        <w:r>
          <w:rPr>
            <w:rStyle w:val="Hyperlink"/>
          </w:rPr>
          <w:t xml:space="preserve">[113]</w:t>
        </w:r>
      </w:hyperlink>
    </w:p>
    <w:bookmarkEnd w:id="71"/>
    <w:bookmarkStart w:id="74" w:name="ten-underserved-capabilities"/>
    <w:p>
      <w:pPr>
        <w:pStyle w:val="Heading3"/>
      </w:pPr>
      <w:r>
        <w:t xml:space="preserve">Ten underserved capabilities</w:t>
      </w:r>
    </w:p>
    <w:p>
      <w:pPr>
        <w:pStyle w:val="Compact"/>
        <w:numPr>
          <w:ilvl w:val="0"/>
          <w:numId w:val="1006"/>
        </w:numPr>
      </w:pPr>
      <w:r>
        <w:t xml:space="preserve">Portable, standardized human-task lifecycle interoperability (most systems re-invent WS-HumanTask semantics without interchange).</w:t>
      </w:r>
      <w:r>
        <w:t xml:space="preserve"> </w:t>
      </w:r>
      <w:hyperlink r:id="rId23">
        <w:r>
          <w:rPr>
            <w:rStyle w:val="Hyperlink"/>
          </w:rPr>
          <w:t xml:space="preserve">[114]</w:t>
        </w:r>
      </w:hyperlink>
    </w:p>
    <w:p>
      <w:pPr>
        <w:pStyle w:val="Compact"/>
        <w:numPr>
          <w:ilvl w:val="0"/>
          <w:numId w:val="1006"/>
        </w:numPr>
      </w:pPr>
      <w:r>
        <w:t xml:space="preserve">Governed discretionary work as a structured primitive (CMMN shows the need; real governance is usually missing).</w:t>
      </w:r>
      <w:r>
        <w:t xml:space="preserve"> </w:t>
      </w:r>
      <w:hyperlink r:id="rId30">
        <w:r>
          <w:rPr>
            <w:rStyle w:val="Hyperlink"/>
          </w:rPr>
          <w:t xml:space="preserve">[115]</w:t>
        </w:r>
      </w:hyperlink>
    </w:p>
    <w:p>
      <w:pPr>
        <w:pStyle w:val="Compact"/>
        <w:numPr>
          <w:ilvl w:val="0"/>
          <w:numId w:val="1006"/>
        </w:numPr>
      </w:pPr>
      <w:r>
        <w:t xml:space="preserve">First-class evidence integrity and chain-of-custody links to decisions and overrides.</w:t>
      </w:r>
      <w:r>
        <w:t xml:space="preserve"> </w:t>
      </w:r>
      <w:hyperlink r:id="rId72">
        <w:r>
          <w:rPr>
            <w:rStyle w:val="Hyperlink"/>
          </w:rPr>
          <w:t xml:space="preserve">[116]</w:t>
        </w:r>
      </w:hyperlink>
    </w:p>
    <w:p>
      <w:pPr>
        <w:pStyle w:val="Compact"/>
        <w:numPr>
          <w:ilvl w:val="0"/>
          <w:numId w:val="1006"/>
        </w:numPr>
      </w:pPr>
      <w:r>
        <w:t xml:space="preserve">Standard explanation traces for decisions/policies (inputs used, rule hits, policy versions, authority references).</w:t>
      </w:r>
      <w:r>
        <w:t xml:space="preserve"> </w:t>
      </w:r>
      <w:hyperlink r:id="rId24">
        <w:r>
          <w:rPr>
            <w:rStyle w:val="Hyperlink"/>
          </w:rPr>
          <w:t xml:space="preserve">[117]</w:t>
        </w:r>
      </w:hyperlink>
    </w:p>
    <w:p>
      <w:pPr>
        <w:pStyle w:val="Compact"/>
        <w:numPr>
          <w:ilvl w:val="0"/>
          <w:numId w:val="1006"/>
        </w:numPr>
      </w:pPr>
      <w:r>
        <w:t xml:space="preserve">Interoperable audit logs that support multi-object cases (OCEL-style) instead of a single case-id trace.</w:t>
      </w:r>
      <w:r>
        <w:t xml:space="preserve"> </w:t>
      </w:r>
      <w:hyperlink r:id="rId73">
        <w:r>
          <w:rPr>
            <w:rStyle w:val="Hyperlink"/>
          </w:rPr>
          <w:t xml:space="preserve">[118]</w:t>
        </w:r>
      </w:hyperlink>
    </w:p>
    <w:p>
      <w:pPr>
        <w:pStyle w:val="Compact"/>
        <w:numPr>
          <w:ilvl w:val="0"/>
          <w:numId w:val="1006"/>
        </w:numPr>
      </w:pPr>
      <w:r>
        <w:t xml:space="preserve">Versioning/migration semantics for running workflows under replay constraints (a common deterministic-replay trap).</w:t>
      </w:r>
      <w:r>
        <w:t xml:space="preserve"> </w:t>
      </w:r>
      <w:hyperlink r:id="rId26">
        <w:r>
          <w:rPr>
            <w:rStyle w:val="Hyperlink"/>
          </w:rPr>
          <w:t xml:space="preserve">[119]</w:t>
        </w:r>
      </w:hyperlink>
    </w:p>
    <w:p>
      <w:pPr>
        <w:pStyle w:val="Compact"/>
        <w:numPr>
          <w:ilvl w:val="0"/>
          <w:numId w:val="1006"/>
        </w:numPr>
      </w:pPr>
      <w:r>
        <w:t xml:space="preserve">Explicit idempotency and dedup contracts for external side effects tied to correlation and history.</w:t>
      </w:r>
      <w:r>
        <w:t xml:space="preserve"> </w:t>
      </w:r>
      <w:hyperlink r:id="rId54">
        <w:r>
          <w:rPr>
            <w:rStyle w:val="Hyperlink"/>
          </w:rPr>
          <w:t xml:space="preserve">[120]</w:t>
        </w:r>
      </w:hyperlink>
    </w:p>
    <w:p>
      <w:pPr>
        <w:pStyle w:val="Compact"/>
        <w:numPr>
          <w:ilvl w:val="0"/>
          <w:numId w:val="1006"/>
        </w:numPr>
      </w:pPr>
      <w:r>
        <w:t xml:space="preserve">Simulation outputs standardized to be conformance-checked and audit-compatible (rare in standards).</w:t>
      </w:r>
      <w:r>
        <w:t xml:space="preserve"> </w:t>
      </w:r>
      <w:hyperlink r:id="rId22">
        <w:r>
          <w:rPr>
            <w:rStyle w:val="Hyperlink"/>
          </w:rPr>
          <w:t xml:space="preserve">[121]</w:t>
        </w:r>
      </w:hyperlink>
    </w:p>
    <w:p>
      <w:pPr>
        <w:pStyle w:val="Compact"/>
        <w:numPr>
          <w:ilvl w:val="0"/>
          <w:numId w:val="1006"/>
        </w:numPr>
      </w:pPr>
      <w:r>
        <w:t xml:space="preserve">A clear boundary between decision logic and workflow flow that still supports end-to-end testing.</w:t>
      </w:r>
      <w:r>
        <w:t xml:space="preserve"> </w:t>
      </w:r>
      <w:hyperlink r:id="rId24">
        <w:r>
          <w:rPr>
            <w:rStyle w:val="Hyperlink"/>
          </w:rPr>
          <w:t xml:space="preserve">[122]</w:t>
        </w:r>
      </w:hyperlink>
    </w:p>
    <w:p>
      <w:pPr>
        <w:pStyle w:val="Compact"/>
        <w:numPr>
          <w:ilvl w:val="0"/>
          <w:numId w:val="1006"/>
        </w:numPr>
      </w:pPr>
      <w:r>
        <w:t xml:space="preserve">Tooling protocols for structured authoring (LSP-style diagnostics) and typed refactoring operations for workflow definitions.</w:t>
      </w:r>
      <w:r>
        <w:t xml:space="preserve"> </w:t>
      </w:r>
      <w:hyperlink r:id="rId48">
        <w:r>
          <w:rPr>
            <w:rStyle w:val="Hyperlink"/>
          </w:rPr>
          <w:t xml:space="preserve">[123]</w:t>
        </w:r>
      </w:hyperlink>
    </w:p>
    <w:bookmarkEnd w:id="74"/>
    <w:bookmarkStart w:id="77" w:name="ten-traps-to-avoid"/>
    <w:p>
      <w:pPr>
        <w:pStyle w:val="Heading3"/>
      </w:pPr>
      <w:r>
        <w:t xml:space="preserve">Ten traps to avoid</w:t>
      </w:r>
    </w:p>
    <w:p>
      <w:pPr>
        <w:pStyle w:val="Compact"/>
        <w:numPr>
          <w:ilvl w:val="0"/>
          <w:numId w:val="1007"/>
        </w:numPr>
      </w:pPr>
      <w:r>
        <w:t xml:space="preserve">“One diagram/DSL to rule them all” that forces exceptions, policy, and evidence into opaque scripts.</w:t>
      </w:r>
      <w:r>
        <w:t xml:space="preserve"> </w:t>
      </w:r>
      <w:hyperlink r:id="rId21">
        <w:r>
          <w:rPr>
            <w:rStyle w:val="Hyperlink"/>
          </w:rPr>
          <w:t xml:space="preserve">[124]</w:t>
        </w:r>
      </w:hyperlink>
    </w:p>
    <w:p>
      <w:pPr>
        <w:pStyle w:val="Compact"/>
        <w:numPr>
          <w:ilvl w:val="0"/>
          <w:numId w:val="1007"/>
        </w:numPr>
      </w:pPr>
      <w:r>
        <w:t xml:space="preserve">Treating audit as log text instead of a portable, structured, append-only history with causal links.</w:t>
      </w:r>
      <w:r>
        <w:t xml:space="preserve"> </w:t>
      </w:r>
      <w:hyperlink r:id="rId75">
        <w:r>
          <w:rPr>
            <w:rStyle w:val="Hyperlink"/>
          </w:rPr>
          <w:t xml:space="preserve">[125]</w:t>
        </w:r>
      </w:hyperlink>
    </w:p>
    <w:p>
      <w:pPr>
        <w:pStyle w:val="Compact"/>
        <w:numPr>
          <w:ilvl w:val="0"/>
          <w:numId w:val="1007"/>
        </w:numPr>
      </w:pPr>
      <w:r>
        <w:t xml:space="preserve">Ignoring determinism/replay constraints and then discovering non-determinism failures in production.</w:t>
      </w:r>
      <w:r>
        <w:t xml:space="preserve"> </w:t>
      </w:r>
      <w:hyperlink r:id="rId26">
        <w:r>
          <w:rPr>
            <w:rStyle w:val="Hyperlink"/>
          </w:rPr>
          <w:t xml:space="preserve">[126]</w:t>
        </w:r>
      </w:hyperlink>
    </w:p>
    <w:p>
      <w:pPr>
        <w:pStyle w:val="Compact"/>
        <w:numPr>
          <w:ilvl w:val="0"/>
          <w:numId w:val="1007"/>
        </w:numPr>
      </w:pPr>
      <w:r>
        <w:t xml:space="preserve">Baking in one policy language rather than standardizing a policy interface and explanation envelope.</w:t>
      </w:r>
      <w:r>
        <w:t xml:space="preserve"> </w:t>
      </w:r>
      <w:hyperlink r:id="rId39">
        <w:r>
          <w:rPr>
            <w:rStyle w:val="Hyperlink"/>
          </w:rPr>
          <w:t xml:space="preserve">[127]</w:t>
        </w:r>
      </w:hyperlink>
    </w:p>
    <w:p>
      <w:pPr>
        <w:pStyle w:val="Compact"/>
        <w:numPr>
          <w:ilvl w:val="0"/>
          <w:numId w:val="1007"/>
        </w:numPr>
      </w:pPr>
      <w:r>
        <w:t xml:space="preserve">Failing to standardize correlation and idempotency expectations for external callbacks and side effects.</w:t>
      </w:r>
      <w:r>
        <w:t xml:space="preserve"> </w:t>
      </w:r>
      <w:hyperlink r:id="rId21">
        <w:r>
          <w:rPr>
            <w:rStyle w:val="Hyperlink"/>
          </w:rPr>
          <w:t xml:space="preserve">[128]</w:t>
        </w:r>
      </w:hyperlink>
    </w:p>
    <w:p>
      <w:pPr>
        <w:pStyle w:val="Compact"/>
        <w:numPr>
          <w:ilvl w:val="0"/>
          <w:numId w:val="1007"/>
        </w:numPr>
      </w:pPr>
      <w:r>
        <w:t xml:space="preserve">Over-standardizing UI and under-standardizing semantics (portability dies, semantics drift).</w:t>
      </w:r>
      <w:r>
        <w:t xml:space="preserve"> </w:t>
      </w:r>
      <w:hyperlink r:id="rId21">
        <w:r>
          <w:rPr>
            <w:rStyle w:val="Hyperlink"/>
          </w:rPr>
          <w:t xml:space="preserve">[73]</w:t>
        </w:r>
      </w:hyperlink>
    </w:p>
    <w:p>
      <w:pPr>
        <w:pStyle w:val="Compact"/>
        <w:numPr>
          <w:ilvl w:val="0"/>
          <w:numId w:val="1007"/>
        </w:numPr>
      </w:pPr>
      <w:r>
        <w:t xml:space="preserve">Making extension points so powerful that “portable core” becomes meaningless (the vendor extension trap).</w:t>
      </w:r>
      <w:r>
        <w:t xml:space="preserve"> </w:t>
      </w:r>
      <w:hyperlink r:id="rId21">
        <w:r>
          <w:rPr>
            <w:rStyle w:val="Hyperlink"/>
          </w:rPr>
          <w:t xml:space="preserve">[129]</w:t>
        </w:r>
      </w:hyperlink>
    </w:p>
    <w:p>
      <w:pPr>
        <w:pStyle w:val="Compact"/>
        <w:numPr>
          <w:ilvl w:val="0"/>
          <w:numId w:val="1007"/>
        </w:numPr>
      </w:pPr>
      <w:r>
        <w:t xml:space="preserve">Conflating observability traces with audit/provenance—both matter, but they answer different questions.</w:t>
      </w:r>
      <w:r>
        <w:t xml:space="preserve"> </w:t>
      </w:r>
      <w:hyperlink r:id="rId36">
        <w:r>
          <w:rPr>
            <w:rStyle w:val="Hyperlink"/>
          </w:rPr>
          <w:t xml:space="preserve">[130]</w:t>
        </w:r>
      </w:hyperlink>
    </w:p>
    <w:p>
      <w:pPr>
        <w:pStyle w:val="Compact"/>
        <w:numPr>
          <w:ilvl w:val="0"/>
          <w:numId w:val="1007"/>
        </w:numPr>
      </w:pPr>
      <w:r>
        <w:t xml:space="preserve">Using schemas alone as “validation” without semantic validation and conformance fixtures.</w:t>
      </w:r>
      <w:r>
        <w:t xml:space="preserve"> </w:t>
      </w:r>
      <w:hyperlink r:id="rId35">
        <w:r>
          <w:rPr>
            <w:rStyle w:val="Hyperlink"/>
          </w:rPr>
          <w:t xml:space="preserve">[131]</w:t>
        </w:r>
      </w:hyperlink>
    </w:p>
    <w:p>
      <w:pPr>
        <w:pStyle w:val="Compact"/>
        <w:numPr>
          <w:ilvl w:val="0"/>
          <w:numId w:val="1007"/>
        </w:numPr>
      </w:pPr>
      <w:r>
        <w:t xml:space="preserve">Neglecting the resource/people perspective (assignment, delegation, escalation) in favor of pure control-flow.</w:t>
      </w:r>
      <w:r>
        <w:t xml:space="preserve"> </w:t>
      </w:r>
      <w:hyperlink r:id="rId76">
        <w:r>
          <w:rPr>
            <w:rStyle w:val="Hyperlink"/>
          </w:rPr>
          <w:t xml:space="preserve">[132]</w:t>
        </w:r>
      </w:hyperlink>
    </w:p>
    <w:bookmarkEnd w:id="77"/>
    <w:bookmarkStart w:id="78" w:name="Xae3fd5436f8a4079e0fc3a2a044f96ceaa0c9fb"/>
    <w:p>
      <w:pPr>
        <w:pStyle w:val="Heading3"/>
      </w:pPr>
      <w:r>
        <w:t xml:space="preserve">Ten additional standards, papers, or models discovered during research that deserve special attention</w:t>
      </w:r>
    </w:p>
    <w:p>
      <w:pPr>
        <w:pStyle w:val="Compact"/>
        <w:numPr>
          <w:ilvl w:val="0"/>
          <w:numId w:val="1008"/>
        </w:numPr>
      </w:pPr>
      <w:r>
        <w:t xml:space="preserve">W3C PROV (PROV-DM + PROV-CONSTRAINTS) for a provenance/audit backbone.</w:t>
      </w:r>
      <w:r>
        <w:t xml:space="preserve"> </w:t>
      </w:r>
      <w:hyperlink r:id="rId25">
        <w:r>
          <w:rPr>
            <w:rStyle w:val="Hyperlink"/>
          </w:rPr>
          <w:t xml:space="preserve">[133]</w:t>
        </w:r>
      </w:hyperlink>
    </w:p>
    <w:p>
      <w:pPr>
        <w:pStyle w:val="Compact"/>
        <w:numPr>
          <w:ilvl w:val="0"/>
          <w:numId w:val="1008"/>
        </w:numPr>
      </w:pPr>
      <w:r>
        <w:t xml:space="preserve">XES and OCEL 2.0 for portable execution/audit log interchange (especially multi-object cases).</w:t>
      </w:r>
      <w:r>
        <w:t xml:space="preserve"> </w:t>
      </w:r>
      <w:hyperlink r:id="rId37">
        <w:r>
          <w:rPr>
            <w:rStyle w:val="Hyperlink"/>
          </w:rPr>
          <w:t xml:space="preserve">[134]</w:t>
        </w:r>
      </w:hyperlink>
    </w:p>
    <w:p>
      <w:pPr>
        <w:pStyle w:val="Compact"/>
        <w:numPr>
          <w:ilvl w:val="0"/>
          <w:numId w:val="1008"/>
        </w:numPr>
      </w:pPr>
      <w:r>
        <w:t xml:space="preserve">Durable Functions: Semantics for Stateful Serverless (formalizing replay-based durable orchestration).</w:t>
      </w:r>
      <w:r>
        <w:t xml:space="preserve"> </w:t>
      </w:r>
      <w:hyperlink r:id="rId42">
        <w:r>
          <w:rPr>
            <w:rStyle w:val="Hyperlink"/>
          </w:rPr>
          <w:t xml:space="preserve">[135]</w:t>
        </w:r>
      </w:hyperlink>
    </w:p>
    <w:p>
      <w:pPr>
        <w:pStyle w:val="Compact"/>
        <w:numPr>
          <w:ilvl w:val="0"/>
          <w:numId w:val="1008"/>
        </w:numPr>
      </w:pPr>
      <w:r>
        <w:t xml:space="preserve">Temporal Technologies</w:t>
      </w:r>
      <w:hyperlink r:id="rId23">
        <w:r>
          <w:rPr>
            <w:rStyle w:val="Hyperlink"/>
          </w:rPr>
          <w:t xml:space="preserve">[136]</w:t>
        </w:r>
      </w:hyperlink>
      <w:r>
        <w:t xml:space="preserve"> </w:t>
      </w:r>
      <w:r>
        <w:t xml:space="preserve">event-history and replay model documentation as a runtime semantics reference point.</w:t>
      </w:r>
      <w:r>
        <w:t xml:space="preserve"> </w:t>
      </w:r>
      <w:hyperlink r:id="rId75">
        <w:r>
          <w:rPr>
            <w:rStyle w:val="Hyperlink"/>
          </w:rPr>
          <w:t xml:space="preserve">[137]</w:t>
        </w:r>
      </w:hyperlink>
    </w:p>
    <w:p>
      <w:pPr>
        <w:pStyle w:val="Compact"/>
        <w:numPr>
          <w:ilvl w:val="0"/>
          <w:numId w:val="1008"/>
        </w:numPr>
      </w:pPr>
      <w:r>
        <w:t xml:space="preserve">Workflow Patterns (control-flow patterns) for capability taxonomy and conformance profiles.</w:t>
      </w:r>
      <w:r>
        <w:t xml:space="preserve"> </w:t>
      </w:r>
      <w:hyperlink r:id="rId58">
        <w:r>
          <w:rPr>
            <w:rStyle w:val="Hyperlink"/>
          </w:rPr>
          <w:t xml:space="preserve">[138]</w:t>
        </w:r>
      </w:hyperlink>
    </w:p>
    <w:p>
      <w:pPr>
        <w:pStyle w:val="Compact"/>
        <w:numPr>
          <w:ilvl w:val="0"/>
          <w:numId w:val="1008"/>
        </w:numPr>
      </w:pPr>
      <w:r>
        <w:t xml:space="preserve">Workflow Resource Patterns for assignment/delegation/escalation semantics that real systems need.</w:t>
      </w:r>
      <w:r>
        <w:t xml:space="preserve"> </w:t>
      </w:r>
      <w:hyperlink r:id="rId76">
        <w:r>
          <w:rPr>
            <w:rStyle w:val="Hyperlink"/>
          </w:rPr>
          <w:t xml:space="preserve">[139]</w:t>
        </w:r>
      </w:hyperlink>
    </w:p>
    <w:p>
      <w:pPr>
        <w:pStyle w:val="Compact"/>
        <w:numPr>
          <w:ilvl w:val="0"/>
          <w:numId w:val="1008"/>
        </w:numPr>
      </w:pPr>
      <w:r>
        <w:t xml:space="preserve">DECLARE (declarative constraint-based process modeling) as a flexibility layer complementing procedural flow.</w:t>
      </w:r>
      <w:r>
        <w:t xml:space="preserve"> </w:t>
      </w:r>
      <w:hyperlink r:id="rId59">
        <w:r>
          <w:rPr>
            <w:rStyle w:val="Hyperlink"/>
          </w:rPr>
          <w:t xml:space="preserve">[77]</w:t>
        </w:r>
      </w:hyperlink>
    </w:p>
    <w:p>
      <w:pPr>
        <w:pStyle w:val="Compact"/>
        <w:numPr>
          <w:ilvl w:val="0"/>
          <w:numId w:val="1008"/>
        </w:numPr>
      </w:pPr>
      <w:r>
        <w:t xml:space="preserve">XACML 3.0 obligations/advice + combining algorithms as a blueprint for policy conflict handling and “what must happen next.”</w:t>
      </w:r>
      <w:r>
        <w:t xml:space="preserve"> </w:t>
      </w:r>
      <w:hyperlink r:id="rId38">
        <w:r>
          <w:rPr>
            <w:rStyle w:val="Hyperlink"/>
          </w:rPr>
          <w:t xml:space="preserve">[140]</w:t>
        </w:r>
      </w:hyperlink>
    </w:p>
    <w:p>
      <w:pPr>
        <w:pStyle w:val="Compact"/>
        <w:numPr>
          <w:ilvl w:val="0"/>
          <w:numId w:val="1008"/>
        </w:numPr>
      </w:pPr>
      <w:r>
        <w:t xml:space="preserve">Cedar policy language (formal semantics + schema validation direction for analyzable policy).</w:t>
      </w:r>
      <w:r>
        <w:t xml:space="preserve"> </w:t>
      </w:r>
      <w:hyperlink r:id="rId40">
        <w:r>
          <w:rPr>
            <w:rStyle w:val="Hyperlink"/>
          </w:rPr>
          <w:t xml:space="preserve">[29]</w:t>
        </w:r>
      </w:hyperlink>
    </w:p>
    <w:p>
      <w:pPr>
        <w:pStyle w:val="Compact"/>
        <w:numPr>
          <w:ilvl w:val="0"/>
          <w:numId w:val="1008"/>
        </w:numPr>
      </w:pPr>
      <w:r>
        <w:t xml:space="preserve">Arazzo (OpenAPI workflows) for standardized API call sequences and dependencies within workflow integration subgraphs.</w:t>
      </w:r>
      <w:r>
        <w:t xml:space="preserve"> </w:t>
      </w:r>
      <w:hyperlink r:id="rId44">
        <w:r>
          <w:rPr>
            <w:rStyle w:val="Hyperlink"/>
          </w:rPr>
          <w:t xml:space="preserve">[33]</w:t>
        </w:r>
      </w:hyperlink>
    </w:p>
    <w:bookmarkEnd w:id="78"/>
    <w:bookmarkEnd w:id="79"/>
    <w:bookmarkEnd w:id="80"/>
    <w:bookmarkEnd w:id="81"/>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[14]</w:t>
        </w:r>
      </w:hyperlink>
      <w:r>
        <w:t xml:space="preserve"> </w:t>
      </w:r>
      <w:hyperlink r:id="rId21">
        <w:r>
          <w:rPr>
            <w:rStyle w:val="Hyperlink"/>
          </w:rPr>
          <w:t xml:space="preserve">[40]</w:t>
        </w:r>
      </w:hyperlink>
      <w:r>
        <w:t xml:space="preserve"> </w:t>
      </w:r>
      <w:hyperlink r:id="rId21">
        <w:r>
          <w:rPr>
            <w:rStyle w:val="Hyperlink"/>
          </w:rPr>
          <w:t xml:space="preserve">[45]</w:t>
        </w:r>
      </w:hyperlink>
      <w:r>
        <w:t xml:space="preserve"> </w:t>
      </w:r>
      <w:hyperlink r:id="rId21">
        <w:r>
          <w:rPr>
            <w:rStyle w:val="Hyperlink"/>
          </w:rPr>
          <w:t xml:space="preserve">[50]</w:t>
        </w:r>
      </w:hyperlink>
      <w:r>
        <w:t xml:space="preserve"> </w:t>
      </w:r>
      <w:hyperlink r:id="rId21">
        <w:r>
          <w:rPr>
            <w:rStyle w:val="Hyperlink"/>
          </w:rPr>
          <w:t xml:space="preserve">[64]</w:t>
        </w:r>
      </w:hyperlink>
      <w:r>
        <w:t xml:space="preserve"> </w:t>
      </w:r>
      <w:hyperlink r:id="rId21">
        <w:r>
          <w:rPr>
            <w:rStyle w:val="Hyperlink"/>
          </w:rPr>
          <w:t xml:space="preserve">[73]</w:t>
        </w:r>
      </w:hyperlink>
      <w:r>
        <w:t xml:space="preserve"> </w:t>
      </w:r>
      <w:hyperlink r:id="rId21">
        <w:r>
          <w:rPr>
            <w:rStyle w:val="Hyperlink"/>
          </w:rPr>
          <w:t xml:space="preserve">[74]</w:t>
        </w:r>
      </w:hyperlink>
      <w:r>
        <w:t xml:space="preserve"> </w:t>
      </w:r>
      <w:hyperlink r:id="rId21">
        <w:r>
          <w:rPr>
            <w:rStyle w:val="Hyperlink"/>
          </w:rPr>
          <w:t xml:space="preserve">[124]</w:t>
        </w:r>
      </w:hyperlink>
      <w:r>
        <w:t xml:space="preserve"> </w:t>
      </w:r>
      <w:hyperlink r:id="rId21">
        <w:r>
          <w:rPr>
            <w:rStyle w:val="Hyperlink"/>
          </w:rPr>
          <w:t xml:space="preserve">[128]</w:t>
        </w:r>
      </w:hyperlink>
      <w:r>
        <w:t xml:space="preserve"> </w:t>
      </w:r>
      <w:hyperlink r:id="rId21">
        <w:r>
          <w:rPr>
            <w:rStyle w:val="Hyperlink"/>
          </w:rPr>
          <w:t xml:space="preserve">[129]</w:t>
        </w:r>
      </w:hyperlink>
      <w:r>
        <w:t xml:space="preserve"> </w:t>
      </w:r>
      <w:r>
        <w:t xml:space="preserve">https://www.omg.org/spec/BPMN/2.0/PDF</w:t>
      </w:r>
    </w:p>
    <w:p>
      <w:pPr>
        <w:pStyle w:val="BodyText"/>
      </w:pPr>
      <w:hyperlink r:id="rId21">
        <w:r>
          <w:rPr>
            <w:rStyle w:val="Hyperlink"/>
          </w:rPr>
          <w:t xml:space="preserve">https://www.omg.org/spec/BPMN/2.0/PDF</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[17]</w:t>
        </w:r>
      </w:hyperlink>
      <w:r>
        <w:t xml:space="preserve"> </w:t>
      </w:r>
      <w:hyperlink r:id="rId22">
        <w:r>
          <w:rPr>
            <w:rStyle w:val="Hyperlink"/>
          </w:rPr>
          <w:t xml:space="preserve">[41]</w:t>
        </w:r>
      </w:hyperlink>
      <w:r>
        <w:t xml:space="preserve"> </w:t>
      </w:r>
      <w:hyperlink r:id="rId22">
        <w:r>
          <w:rPr>
            <w:rStyle w:val="Hyperlink"/>
          </w:rPr>
          <w:t xml:space="preserve">[52]</w:t>
        </w:r>
      </w:hyperlink>
      <w:r>
        <w:t xml:space="preserve"> </w:t>
      </w:r>
      <w:hyperlink r:id="rId22">
        <w:r>
          <w:rPr>
            <w:rStyle w:val="Hyperlink"/>
          </w:rPr>
          <w:t xml:space="preserve">[72]</w:t>
        </w:r>
      </w:hyperlink>
      <w:r>
        <w:t xml:space="preserve"> </w:t>
      </w:r>
      <w:hyperlink r:id="rId22">
        <w:r>
          <w:rPr>
            <w:rStyle w:val="Hyperlink"/>
          </w:rPr>
          <w:t xml:space="preserve">[87]</w:t>
        </w:r>
      </w:hyperlink>
      <w:r>
        <w:t xml:space="preserve"> </w:t>
      </w:r>
      <w:hyperlink r:id="rId22">
        <w:r>
          <w:rPr>
            <w:rStyle w:val="Hyperlink"/>
          </w:rPr>
          <w:t xml:space="preserve">[93]</w:t>
        </w:r>
      </w:hyperlink>
      <w:r>
        <w:t xml:space="preserve"> </w:t>
      </w:r>
      <w:hyperlink r:id="rId22">
        <w:r>
          <w:rPr>
            <w:rStyle w:val="Hyperlink"/>
          </w:rPr>
          <w:t xml:space="preserve">[101]</w:t>
        </w:r>
      </w:hyperlink>
      <w:r>
        <w:t xml:space="preserve"> </w:t>
      </w:r>
      <w:hyperlink r:id="rId22">
        <w:r>
          <w:rPr>
            <w:rStyle w:val="Hyperlink"/>
          </w:rPr>
          <w:t xml:space="preserve">[105]</w:t>
        </w:r>
      </w:hyperlink>
      <w:r>
        <w:t xml:space="preserve"> </w:t>
      </w:r>
      <w:hyperlink r:id="rId22">
        <w:r>
          <w:rPr>
            <w:rStyle w:val="Hyperlink"/>
          </w:rPr>
          <w:t xml:space="preserve">[113]</w:t>
        </w:r>
      </w:hyperlink>
      <w:r>
        <w:t xml:space="preserve"> </w:t>
      </w:r>
      <w:hyperlink r:id="rId22">
        <w:r>
          <w:rPr>
            <w:rStyle w:val="Hyperlink"/>
          </w:rPr>
          <w:t xml:space="preserve">[121]</w:t>
        </w:r>
      </w:hyperlink>
      <w:r>
        <w:t xml:space="preserve"> </w:t>
      </w:r>
      <w:r>
        <w:t xml:space="preserve">https://www.w3.org/TR/2015/REC-scxml-20150901/</w:t>
      </w:r>
    </w:p>
    <w:p>
      <w:pPr>
        <w:pStyle w:val="BodyText"/>
      </w:pPr>
      <w:hyperlink r:id="rId22">
        <w:r>
          <w:rPr>
            <w:rStyle w:val="Hyperlink"/>
          </w:rPr>
          <w:t xml:space="preserve">https://www.w3.org/TR/2015/REC-scxml-20150901/</w:t>
        </w:r>
      </w:hyperlink>
    </w:p>
    <w:p>
      <w:pPr>
        <w:pStyle w:val="BodyText"/>
      </w:pPr>
      <w:hyperlink r:id="rId23">
        <w:r>
          <w:rPr>
            <w:rStyle w:val="Hyperlink"/>
          </w:rPr>
          <w:t xml:space="preserve">[3]</w:t>
        </w:r>
      </w:hyperlink>
      <w:r>
        <w:t xml:space="preserve"> </w:t>
      </w:r>
      <w:hyperlink r:id="rId23">
        <w:r>
          <w:rPr>
            <w:rStyle w:val="Hyperlink"/>
          </w:rPr>
          <w:t xml:space="preserve">[12]</w:t>
        </w:r>
      </w:hyperlink>
      <w:r>
        <w:t xml:space="preserve"> </w:t>
      </w:r>
      <w:hyperlink r:id="rId23">
        <w:r>
          <w:rPr>
            <w:rStyle w:val="Hyperlink"/>
          </w:rPr>
          <w:t xml:space="preserve">[19]</w:t>
        </w:r>
      </w:hyperlink>
      <w:r>
        <w:t xml:space="preserve"> </w:t>
      </w:r>
      <w:hyperlink r:id="rId23">
        <w:r>
          <w:rPr>
            <w:rStyle w:val="Hyperlink"/>
          </w:rPr>
          <w:t xml:space="preserve">[42]</w:t>
        </w:r>
      </w:hyperlink>
      <w:r>
        <w:t xml:space="preserve"> </w:t>
      </w:r>
      <w:hyperlink r:id="rId23">
        <w:r>
          <w:rPr>
            <w:rStyle w:val="Hyperlink"/>
          </w:rPr>
          <w:t xml:space="preserve">[44]</w:t>
        </w:r>
      </w:hyperlink>
      <w:r>
        <w:t xml:space="preserve"> </w:t>
      </w:r>
      <w:hyperlink r:id="rId23">
        <w:r>
          <w:rPr>
            <w:rStyle w:val="Hyperlink"/>
          </w:rPr>
          <w:t xml:space="preserve">[54]</w:t>
        </w:r>
      </w:hyperlink>
      <w:r>
        <w:t xml:space="preserve"> </w:t>
      </w:r>
      <w:hyperlink r:id="rId23">
        <w:r>
          <w:rPr>
            <w:rStyle w:val="Hyperlink"/>
          </w:rPr>
          <w:t xml:space="preserve">[55]</w:t>
        </w:r>
      </w:hyperlink>
      <w:r>
        <w:t xml:space="preserve"> </w:t>
      </w:r>
      <w:hyperlink r:id="rId23">
        <w:r>
          <w:rPr>
            <w:rStyle w:val="Hyperlink"/>
          </w:rPr>
          <w:t xml:space="preserve">[56]</w:t>
        </w:r>
      </w:hyperlink>
      <w:r>
        <w:t xml:space="preserve"> </w:t>
      </w:r>
      <w:hyperlink r:id="rId23">
        <w:r>
          <w:rPr>
            <w:rStyle w:val="Hyperlink"/>
          </w:rPr>
          <w:t xml:space="preserve">[81]</w:t>
        </w:r>
      </w:hyperlink>
      <w:r>
        <w:t xml:space="preserve"> </w:t>
      </w:r>
      <w:hyperlink r:id="rId23">
        <w:r>
          <w:rPr>
            <w:rStyle w:val="Hyperlink"/>
          </w:rPr>
          <w:t xml:space="preserve">[89]</w:t>
        </w:r>
      </w:hyperlink>
      <w:r>
        <w:t xml:space="preserve"> </w:t>
      </w:r>
      <w:hyperlink r:id="rId23">
        <w:r>
          <w:rPr>
            <w:rStyle w:val="Hyperlink"/>
          </w:rPr>
          <w:t xml:space="preserve">[94]</w:t>
        </w:r>
      </w:hyperlink>
      <w:r>
        <w:t xml:space="preserve"> </w:t>
      </w:r>
      <w:hyperlink r:id="rId23">
        <w:r>
          <w:rPr>
            <w:rStyle w:val="Hyperlink"/>
          </w:rPr>
          <w:t xml:space="preserve">[100]</w:t>
        </w:r>
      </w:hyperlink>
      <w:r>
        <w:t xml:space="preserve"> </w:t>
      </w:r>
      <w:hyperlink r:id="rId23">
        <w:r>
          <w:rPr>
            <w:rStyle w:val="Hyperlink"/>
          </w:rPr>
          <w:t xml:space="preserve">[108]</w:t>
        </w:r>
      </w:hyperlink>
      <w:r>
        <w:t xml:space="preserve"> </w:t>
      </w:r>
      <w:hyperlink r:id="rId23">
        <w:r>
          <w:rPr>
            <w:rStyle w:val="Hyperlink"/>
          </w:rPr>
          <w:t xml:space="preserve">[114]</w:t>
        </w:r>
      </w:hyperlink>
      <w:r>
        <w:t xml:space="preserve"> </w:t>
      </w:r>
      <w:hyperlink r:id="rId23">
        <w:r>
          <w:rPr>
            <w:rStyle w:val="Hyperlink"/>
          </w:rPr>
          <w:t xml:space="preserve">[136]</w:t>
        </w:r>
      </w:hyperlink>
      <w:r>
        <w:t xml:space="preserve"> </w:t>
      </w:r>
      <w:r>
        <w:t xml:space="preserve">https://docs.oasis-open.org/bpel4people/ws-humantask-1.1-spec-cs-01.pdf</w:t>
      </w:r>
    </w:p>
    <w:p>
      <w:pPr>
        <w:pStyle w:val="BodyText"/>
      </w:pPr>
      <w:hyperlink r:id="rId23">
        <w:r>
          <w:rPr>
            <w:rStyle w:val="Hyperlink"/>
          </w:rPr>
          <w:t xml:space="preserve">https://docs.oasis-open.org/bpel4people/ws-humantask-1.1-spec-cs-01.pdf</w:t>
        </w:r>
      </w:hyperlink>
    </w:p>
    <w:p>
      <w:pPr>
        <w:pStyle w:val="BodyText"/>
      </w:pPr>
      <w:hyperlink r:id="rId24">
        <w:r>
          <w:rPr>
            <w:rStyle w:val="Hyperlink"/>
          </w:rPr>
          <w:t xml:space="preserve">[4]</w:t>
        </w:r>
      </w:hyperlink>
      <w:r>
        <w:t xml:space="preserve"> </w:t>
      </w:r>
      <w:hyperlink r:id="rId24">
        <w:r>
          <w:rPr>
            <w:rStyle w:val="Hyperlink"/>
          </w:rPr>
          <w:t xml:space="preserve">[43]</w:t>
        </w:r>
      </w:hyperlink>
      <w:r>
        <w:t xml:space="preserve"> </w:t>
      </w:r>
      <w:hyperlink r:id="rId24">
        <w:r>
          <w:rPr>
            <w:rStyle w:val="Hyperlink"/>
          </w:rPr>
          <w:t xml:space="preserve">[59]</w:t>
        </w:r>
      </w:hyperlink>
      <w:r>
        <w:t xml:space="preserve"> </w:t>
      </w:r>
      <w:hyperlink r:id="rId24">
        <w:r>
          <w:rPr>
            <w:rStyle w:val="Hyperlink"/>
          </w:rPr>
          <w:t xml:space="preserve">[60]</w:t>
        </w:r>
      </w:hyperlink>
      <w:r>
        <w:t xml:space="preserve"> </w:t>
      </w:r>
      <w:hyperlink r:id="rId24">
        <w:r>
          <w:rPr>
            <w:rStyle w:val="Hyperlink"/>
          </w:rPr>
          <w:t xml:space="preserve">[61]</w:t>
        </w:r>
      </w:hyperlink>
      <w:r>
        <w:t xml:space="preserve"> </w:t>
      </w:r>
      <w:hyperlink r:id="rId24">
        <w:r>
          <w:rPr>
            <w:rStyle w:val="Hyperlink"/>
          </w:rPr>
          <w:t xml:space="preserve">[75]</w:t>
        </w:r>
      </w:hyperlink>
      <w:r>
        <w:t xml:space="preserve"> </w:t>
      </w:r>
      <w:hyperlink r:id="rId24">
        <w:r>
          <w:rPr>
            <w:rStyle w:val="Hyperlink"/>
          </w:rPr>
          <w:t xml:space="preserve">[96]</w:t>
        </w:r>
      </w:hyperlink>
      <w:r>
        <w:t xml:space="preserve"> </w:t>
      </w:r>
      <w:hyperlink r:id="rId24">
        <w:r>
          <w:rPr>
            <w:rStyle w:val="Hyperlink"/>
          </w:rPr>
          <w:t xml:space="preserve">[103]</w:t>
        </w:r>
      </w:hyperlink>
      <w:r>
        <w:t xml:space="preserve"> </w:t>
      </w:r>
      <w:hyperlink r:id="rId24">
        <w:r>
          <w:rPr>
            <w:rStyle w:val="Hyperlink"/>
          </w:rPr>
          <w:t xml:space="preserve">[106]</w:t>
        </w:r>
      </w:hyperlink>
      <w:r>
        <w:t xml:space="preserve"> </w:t>
      </w:r>
      <w:hyperlink r:id="rId24">
        <w:r>
          <w:rPr>
            <w:rStyle w:val="Hyperlink"/>
          </w:rPr>
          <w:t xml:space="preserve">[117]</w:t>
        </w:r>
      </w:hyperlink>
      <w:r>
        <w:t xml:space="preserve"> </w:t>
      </w:r>
      <w:hyperlink r:id="rId24">
        <w:r>
          <w:rPr>
            <w:rStyle w:val="Hyperlink"/>
          </w:rPr>
          <w:t xml:space="preserve">[122]</w:t>
        </w:r>
      </w:hyperlink>
      <w:r>
        <w:t xml:space="preserve"> </w:t>
      </w:r>
      <w:r>
        <w:t xml:space="preserve">https://www.omg.org/spec/DMN/1.2/PDF</w:t>
      </w:r>
    </w:p>
    <w:p>
      <w:pPr>
        <w:pStyle w:val="BodyText"/>
      </w:pPr>
      <w:hyperlink r:id="rId24">
        <w:r>
          <w:rPr>
            <w:rStyle w:val="Hyperlink"/>
          </w:rPr>
          <w:t xml:space="preserve">https://www.omg.org/spec/DMN/1.2/PDF</w:t>
        </w:r>
      </w:hyperlink>
    </w:p>
    <w:p>
      <w:pPr>
        <w:pStyle w:val="BodyText"/>
      </w:pPr>
      <w:hyperlink r:id="rId25">
        <w:r>
          <w:rPr>
            <w:rStyle w:val="Hyperlink"/>
          </w:rPr>
          <w:t xml:space="preserve">[8]</w:t>
        </w:r>
      </w:hyperlink>
      <w:r>
        <w:t xml:space="preserve"> </w:t>
      </w:r>
      <w:hyperlink r:id="rId25">
        <w:r>
          <w:rPr>
            <w:rStyle w:val="Hyperlink"/>
          </w:rPr>
          <w:t xml:space="preserve">[24]</w:t>
        </w:r>
      </w:hyperlink>
      <w:r>
        <w:t xml:space="preserve"> </w:t>
      </w:r>
      <w:hyperlink r:id="rId25">
        <w:r>
          <w:rPr>
            <w:rStyle w:val="Hyperlink"/>
          </w:rPr>
          <w:t xml:space="preserve">[48]</w:t>
        </w:r>
      </w:hyperlink>
      <w:r>
        <w:t xml:space="preserve"> </w:t>
      </w:r>
      <w:hyperlink r:id="rId25">
        <w:r>
          <w:rPr>
            <w:rStyle w:val="Hyperlink"/>
          </w:rPr>
          <w:t xml:space="preserve">[79]</w:t>
        </w:r>
      </w:hyperlink>
      <w:r>
        <w:t xml:space="preserve"> </w:t>
      </w:r>
      <w:hyperlink r:id="rId25">
        <w:r>
          <w:rPr>
            <w:rStyle w:val="Hyperlink"/>
          </w:rPr>
          <w:t xml:space="preserve">[85]</w:t>
        </w:r>
      </w:hyperlink>
      <w:r>
        <w:t xml:space="preserve"> </w:t>
      </w:r>
      <w:hyperlink r:id="rId25">
        <w:r>
          <w:rPr>
            <w:rStyle w:val="Hyperlink"/>
          </w:rPr>
          <w:t xml:space="preserve">[133]</w:t>
        </w:r>
      </w:hyperlink>
      <w:r>
        <w:t xml:space="preserve"> </w:t>
      </w:r>
      <w:r>
        <w:t xml:space="preserve">https://www.w3.org/TR/prov-dm/</w:t>
      </w:r>
    </w:p>
    <w:p>
      <w:pPr>
        <w:pStyle w:val="BodyText"/>
      </w:pPr>
      <w:hyperlink r:id="rId25">
        <w:r>
          <w:rPr>
            <w:rStyle w:val="Hyperlink"/>
          </w:rPr>
          <w:t xml:space="preserve">https://www.w3.org/TR/prov-dm/</w:t>
        </w:r>
      </w:hyperlink>
    </w:p>
    <w:p>
      <w:pPr>
        <w:pStyle w:val="BodyText"/>
      </w:pPr>
      <w:hyperlink r:id="rId26">
        <w:r>
          <w:rPr>
            <w:rStyle w:val="Hyperlink"/>
          </w:rPr>
          <w:t xml:space="preserve">[9]</w:t>
        </w:r>
      </w:hyperlink>
      <w:r>
        <w:t xml:space="preserve"> </w:t>
      </w:r>
      <w:hyperlink r:id="rId26">
        <w:r>
          <w:rPr>
            <w:rStyle w:val="Hyperlink"/>
          </w:rPr>
          <w:t xml:space="preserve">[49]</w:t>
        </w:r>
      </w:hyperlink>
      <w:r>
        <w:t xml:space="preserve"> </w:t>
      </w:r>
      <w:hyperlink r:id="rId26">
        <w:r>
          <w:rPr>
            <w:rStyle w:val="Hyperlink"/>
          </w:rPr>
          <w:t xml:space="preserve">[67]</w:t>
        </w:r>
      </w:hyperlink>
      <w:r>
        <w:t xml:space="preserve"> </w:t>
      </w:r>
      <w:hyperlink r:id="rId26">
        <w:r>
          <w:rPr>
            <w:rStyle w:val="Hyperlink"/>
          </w:rPr>
          <w:t xml:space="preserve">[98]</w:t>
        </w:r>
      </w:hyperlink>
      <w:r>
        <w:t xml:space="preserve"> </w:t>
      </w:r>
      <w:hyperlink r:id="rId26">
        <w:r>
          <w:rPr>
            <w:rStyle w:val="Hyperlink"/>
          </w:rPr>
          <w:t xml:space="preserve">[109]</w:t>
        </w:r>
      </w:hyperlink>
      <w:r>
        <w:t xml:space="preserve"> </w:t>
      </w:r>
      <w:hyperlink r:id="rId26">
        <w:r>
          <w:rPr>
            <w:rStyle w:val="Hyperlink"/>
          </w:rPr>
          <w:t xml:space="preserve">[119]</w:t>
        </w:r>
      </w:hyperlink>
      <w:r>
        <w:t xml:space="preserve"> </w:t>
      </w:r>
      <w:hyperlink r:id="rId26">
        <w:r>
          <w:rPr>
            <w:rStyle w:val="Hyperlink"/>
          </w:rPr>
          <w:t xml:space="preserve">[126]</w:t>
        </w:r>
      </w:hyperlink>
      <w:r>
        <w:t xml:space="preserve"> </w:t>
      </w:r>
      <w:r>
        <w:t xml:space="preserve">https://learn.microsoft.com/en-us/azure/durable-task/common/durable-task-code-constraints</w:t>
      </w:r>
    </w:p>
    <w:p>
      <w:pPr>
        <w:pStyle w:val="BodyText"/>
      </w:pPr>
      <w:hyperlink r:id="rId26">
        <w:r>
          <w:rPr>
            <w:rStyle w:val="Hyperlink"/>
          </w:rPr>
          <w:t xml:space="preserve">https://learn.microsoft.com/en-us/azure/durable-task/common/durable-task-code-constraints</w:t>
        </w:r>
      </w:hyperlink>
    </w:p>
    <w:p>
      <w:pPr>
        <w:pStyle w:val="BodyText"/>
      </w:pPr>
      <w:hyperlink r:id="rId27">
        <w:r>
          <w:rPr>
            <w:rStyle w:val="Hyperlink"/>
          </w:rPr>
          <w:t xml:space="preserve">[11]</w:t>
        </w:r>
      </w:hyperlink>
      <w:r>
        <w:t xml:space="preserve"> </w:t>
      </w:r>
      <w:hyperlink r:id="rId27">
        <w:r>
          <w:rPr>
            <w:rStyle w:val="Hyperlink"/>
          </w:rPr>
          <w:t xml:space="preserve">[22]</w:t>
        </w:r>
      </w:hyperlink>
      <w:r>
        <w:t xml:space="preserve"> </w:t>
      </w:r>
      <w:hyperlink r:id="rId27">
        <w:r>
          <w:rPr>
            <w:rStyle w:val="Hyperlink"/>
          </w:rPr>
          <w:t xml:space="preserve">[47]</w:t>
        </w:r>
      </w:hyperlink>
      <w:r>
        <w:t xml:space="preserve"> </w:t>
      </w:r>
      <w:hyperlink r:id="rId27">
        <w:r>
          <w:rPr>
            <w:rStyle w:val="Hyperlink"/>
          </w:rPr>
          <w:t xml:space="preserve">[66]</w:t>
        </w:r>
      </w:hyperlink>
      <w:r>
        <w:t xml:space="preserve"> </w:t>
      </w:r>
      <w:hyperlink r:id="rId27">
        <w:r>
          <w:rPr>
            <w:rStyle w:val="Hyperlink"/>
          </w:rPr>
          <w:t xml:space="preserve">[84]</w:t>
        </w:r>
      </w:hyperlink>
      <w:r>
        <w:t xml:space="preserve"> </w:t>
      </w:r>
      <w:hyperlink r:id="rId27">
        <w:r>
          <w:rPr>
            <w:rStyle w:val="Hyperlink"/>
          </w:rPr>
          <w:t xml:space="preserve">[91]</w:t>
        </w:r>
      </w:hyperlink>
      <w:r>
        <w:t xml:space="preserve"> </w:t>
      </w:r>
      <w:hyperlink r:id="rId27">
        <w:r>
          <w:rPr>
            <w:rStyle w:val="Hyperlink"/>
          </w:rPr>
          <w:t xml:space="preserve">[104]</w:t>
        </w:r>
      </w:hyperlink>
      <w:r>
        <w:t xml:space="preserve"> </w:t>
      </w:r>
      <w:r>
        <w:t xml:space="preserve">https://github.com/cloudevents/spec</w:t>
      </w:r>
    </w:p>
    <w:p>
      <w:pPr>
        <w:pStyle w:val="BodyText"/>
      </w:pPr>
      <w:hyperlink r:id="rId27">
        <w:r>
          <w:rPr>
            <w:rStyle w:val="Hyperlink"/>
          </w:rPr>
          <w:t xml:space="preserve">https://github.com/cloudevents/spec</w:t>
        </w:r>
      </w:hyperlink>
    </w:p>
    <w:p>
      <w:pPr>
        <w:pStyle w:val="BodyText"/>
      </w:pPr>
      <w:hyperlink r:id="rId28">
        <w:r>
          <w:rPr>
            <w:rStyle w:val="Hyperlink"/>
          </w:rPr>
          <w:t xml:space="preserve">[13]</w:t>
        </w:r>
      </w:hyperlink>
      <w:r>
        <w:t xml:space="preserve"> </w:t>
      </w:r>
      <w:hyperlink r:id="rId28">
        <w:r>
          <w:rPr>
            <w:rStyle w:val="Hyperlink"/>
          </w:rPr>
          <w:t xml:space="preserve">[37]</w:t>
        </w:r>
      </w:hyperlink>
      <w:r>
        <w:t xml:space="preserve"> </w:t>
      </w:r>
      <w:hyperlink r:id="rId28">
        <w:r>
          <w:rPr>
            <w:rStyle w:val="Hyperlink"/>
          </w:rPr>
          <w:t xml:space="preserve">[110]</w:t>
        </w:r>
      </w:hyperlink>
      <w:r>
        <w:t xml:space="preserve"> </w:t>
      </w:r>
      <w:r>
        <w:t xml:space="preserve">https://www.rfc-editor.org/rfc/rfc8785</w:t>
      </w:r>
    </w:p>
    <w:p>
      <w:pPr>
        <w:pStyle w:val="BodyText"/>
      </w:pPr>
      <w:hyperlink r:id="rId28">
        <w:r>
          <w:rPr>
            <w:rStyle w:val="Hyperlink"/>
          </w:rPr>
          <w:t xml:space="preserve">https://www.rfc-editor.org/rfc/rfc8785</w:t>
        </w:r>
      </w:hyperlink>
    </w:p>
    <w:p>
      <w:pPr>
        <w:pStyle w:val="BodyText"/>
      </w:pPr>
      <w:hyperlink r:id="rId30">
        <w:r>
          <w:rPr>
            <w:rStyle w:val="Hyperlink"/>
          </w:rPr>
          <w:t xml:space="preserve">[15]</w:t>
        </w:r>
      </w:hyperlink>
      <w:r>
        <w:t xml:space="preserve"> </w:t>
      </w:r>
      <w:hyperlink r:id="rId30">
        <w:r>
          <w:rPr>
            <w:rStyle w:val="Hyperlink"/>
          </w:rPr>
          <w:t xml:space="preserve">[46]</w:t>
        </w:r>
      </w:hyperlink>
      <w:r>
        <w:t xml:space="preserve"> </w:t>
      </w:r>
      <w:hyperlink r:id="rId30">
        <w:r>
          <w:rPr>
            <w:rStyle w:val="Hyperlink"/>
          </w:rPr>
          <w:t xml:space="preserve">[57]</w:t>
        </w:r>
      </w:hyperlink>
      <w:r>
        <w:t xml:space="preserve"> </w:t>
      </w:r>
      <w:hyperlink r:id="rId30">
        <w:r>
          <w:rPr>
            <w:rStyle w:val="Hyperlink"/>
          </w:rPr>
          <w:t xml:space="preserve">[58]</w:t>
        </w:r>
      </w:hyperlink>
      <w:r>
        <w:t xml:space="preserve"> </w:t>
      </w:r>
      <w:hyperlink r:id="rId30">
        <w:r>
          <w:rPr>
            <w:rStyle w:val="Hyperlink"/>
          </w:rPr>
          <w:t xml:space="preserve">[69]</w:t>
        </w:r>
      </w:hyperlink>
      <w:r>
        <w:t xml:space="preserve"> </w:t>
      </w:r>
      <w:hyperlink r:id="rId30">
        <w:r>
          <w:rPr>
            <w:rStyle w:val="Hyperlink"/>
          </w:rPr>
          <w:t xml:space="preserve">[83]</w:t>
        </w:r>
      </w:hyperlink>
      <w:r>
        <w:t xml:space="preserve"> </w:t>
      </w:r>
      <w:hyperlink r:id="rId30">
        <w:r>
          <w:rPr>
            <w:rStyle w:val="Hyperlink"/>
          </w:rPr>
          <w:t xml:space="preserve">[88]</w:t>
        </w:r>
      </w:hyperlink>
      <w:r>
        <w:t xml:space="preserve"> </w:t>
      </w:r>
      <w:hyperlink r:id="rId30">
        <w:r>
          <w:rPr>
            <w:rStyle w:val="Hyperlink"/>
          </w:rPr>
          <w:t xml:space="preserve">[95]</w:t>
        </w:r>
      </w:hyperlink>
      <w:r>
        <w:t xml:space="preserve"> </w:t>
      </w:r>
      <w:hyperlink r:id="rId30">
        <w:r>
          <w:rPr>
            <w:rStyle w:val="Hyperlink"/>
          </w:rPr>
          <w:t xml:space="preserve">[102]</w:t>
        </w:r>
      </w:hyperlink>
      <w:r>
        <w:t xml:space="preserve"> </w:t>
      </w:r>
      <w:hyperlink r:id="rId30">
        <w:r>
          <w:rPr>
            <w:rStyle w:val="Hyperlink"/>
          </w:rPr>
          <w:t xml:space="preserve">[115]</w:t>
        </w:r>
      </w:hyperlink>
      <w:r>
        <w:t xml:space="preserve"> </w:t>
      </w:r>
      <w:r>
        <w:t xml:space="preserve">https://www.omg.org/spec/CMMN/1.1/PDF</w:t>
      </w:r>
    </w:p>
    <w:p>
      <w:pPr>
        <w:pStyle w:val="BodyText"/>
      </w:pPr>
      <w:hyperlink r:id="rId30">
        <w:r>
          <w:rPr>
            <w:rStyle w:val="Hyperlink"/>
          </w:rPr>
          <w:t xml:space="preserve">https://www.omg.org/spec/CMMN/1.1/PDF</w:t>
        </w:r>
      </w:hyperlink>
    </w:p>
    <w:p>
      <w:pPr>
        <w:pStyle w:val="BodyText"/>
      </w:pPr>
      <w:hyperlink r:id="rId31">
        <w:r>
          <w:rPr>
            <w:rStyle w:val="Hyperlink"/>
          </w:rPr>
          <w:t xml:space="preserve">[16]</w:t>
        </w:r>
      </w:hyperlink>
      <w:r>
        <w:t xml:space="preserve"> </w:t>
      </w:r>
      <w:r>
        <w:t xml:space="preserve">https://www.omg.org/spec/DMN/1.4/About-DMN</w:t>
      </w:r>
    </w:p>
    <w:p>
      <w:pPr>
        <w:pStyle w:val="BodyText"/>
      </w:pPr>
      <w:hyperlink r:id="rId31">
        <w:r>
          <w:rPr>
            <w:rStyle w:val="Hyperlink"/>
          </w:rPr>
          <w:t xml:space="preserve">https://www.omg.org/spec/DMN/1.4/About-DMN</w:t>
        </w:r>
      </w:hyperlink>
    </w:p>
    <w:p>
      <w:pPr>
        <w:pStyle w:val="BodyText"/>
      </w:pPr>
      <w:hyperlink r:id="rId32">
        <w:r>
          <w:rPr>
            <w:rStyle w:val="Hyperlink"/>
          </w:rPr>
          <w:t xml:space="preserve">[18]</w:t>
        </w:r>
      </w:hyperlink>
      <w:r>
        <w:t xml:space="preserve"> </w:t>
      </w:r>
      <w:r>
        <w:t xml:space="preserve">https://docs.oasis-open.org/wsbpel/2.0/OS/wsbpel-v2.0-OS.html</w:t>
      </w:r>
    </w:p>
    <w:p>
      <w:pPr>
        <w:pStyle w:val="BodyText"/>
      </w:pPr>
      <w:hyperlink r:id="rId32">
        <w:r>
          <w:rPr>
            <w:rStyle w:val="Hyperlink"/>
          </w:rPr>
          <w:t xml:space="preserve">https://docs.oasis-open.org/wsbpel/2.0/OS/wsbpel-v2.0-OS.html</w:t>
        </w:r>
      </w:hyperlink>
    </w:p>
    <w:p>
      <w:pPr>
        <w:pStyle w:val="BodyText"/>
      </w:pPr>
      <w:hyperlink r:id="rId33">
        <w:r>
          <w:rPr>
            <w:rStyle w:val="Hyperlink"/>
          </w:rPr>
          <w:t xml:space="preserve">[20]</w:t>
        </w:r>
      </w:hyperlink>
      <w:r>
        <w:t xml:space="preserve"> </w:t>
      </w:r>
      <w:r>
        <w:t xml:space="preserve">https://www.oasis-open.org/standard/ws-humantask-1-1/</w:t>
      </w:r>
    </w:p>
    <w:p>
      <w:pPr>
        <w:pStyle w:val="BodyText"/>
      </w:pPr>
      <w:hyperlink r:id="rId33">
        <w:r>
          <w:rPr>
            <w:rStyle w:val="Hyperlink"/>
          </w:rPr>
          <w:t xml:space="preserve">https://www.oasis-open.org/standard/ws-humantask-1-1/</w:t>
        </w:r>
      </w:hyperlink>
    </w:p>
    <w:p>
      <w:pPr>
        <w:pStyle w:val="BodyText"/>
      </w:pPr>
      <w:hyperlink r:id="rId34">
        <w:r>
          <w:rPr>
            <w:rStyle w:val="Hyperlink"/>
          </w:rPr>
          <w:t xml:space="preserve">[21]</w:t>
        </w:r>
      </w:hyperlink>
      <w:r>
        <w:t xml:space="preserve"> </w:t>
      </w:r>
      <w:r>
        <w:t xml:space="preserve">https://serverlessworkflow.io/</w:t>
      </w:r>
    </w:p>
    <w:p>
      <w:pPr>
        <w:pStyle w:val="BodyText"/>
      </w:pPr>
      <w:hyperlink r:id="rId34">
        <w:r>
          <w:rPr>
            <w:rStyle w:val="Hyperlink"/>
          </w:rPr>
          <w:t xml:space="preserve">https://serverlessworkflow.io/</w:t>
        </w:r>
      </w:hyperlink>
    </w:p>
    <w:p>
      <w:pPr>
        <w:pStyle w:val="BodyText"/>
      </w:pPr>
      <w:hyperlink r:id="rId35">
        <w:r>
          <w:rPr>
            <w:rStyle w:val="Hyperlink"/>
          </w:rPr>
          <w:t xml:space="preserve">[23]</w:t>
        </w:r>
      </w:hyperlink>
      <w:r>
        <w:t xml:space="preserve"> </w:t>
      </w:r>
      <w:hyperlink r:id="rId35">
        <w:r>
          <w:rPr>
            <w:rStyle w:val="Hyperlink"/>
          </w:rPr>
          <w:t xml:space="preserve">[97]</w:t>
        </w:r>
      </w:hyperlink>
      <w:r>
        <w:t xml:space="preserve"> </w:t>
      </w:r>
      <w:hyperlink r:id="rId35">
        <w:r>
          <w:rPr>
            <w:rStyle w:val="Hyperlink"/>
          </w:rPr>
          <w:t xml:space="preserve">[131]</w:t>
        </w:r>
      </w:hyperlink>
      <w:r>
        <w:t xml:space="preserve"> </w:t>
      </w:r>
      <w:r>
        <w:t xml:space="preserve">https://json-schema.org/draft/2020-12</w:t>
      </w:r>
    </w:p>
    <w:p>
      <w:pPr>
        <w:pStyle w:val="BodyText"/>
      </w:pPr>
      <w:hyperlink r:id="rId35">
        <w:r>
          <w:rPr>
            <w:rStyle w:val="Hyperlink"/>
          </w:rPr>
          <w:t xml:space="preserve">https://json-schema.org/draft/2020-12</w:t>
        </w:r>
      </w:hyperlink>
    </w:p>
    <w:p>
      <w:pPr>
        <w:pStyle w:val="BodyText"/>
      </w:pPr>
      <w:hyperlink r:id="rId36">
        <w:r>
          <w:rPr>
            <w:rStyle w:val="Hyperlink"/>
          </w:rPr>
          <w:t xml:space="preserve">[25]</w:t>
        </w:r>
      </w:hyperlink>
      <w:r>
        <w:t xml:space="preserve"> </w:t>
      </w:r>
      <w:hyperlink r:id="rId36">
        <w:r>
          <w:rPr>
            <w:rStyle w:val="Hyperlink"/>
          </w:rPr>
          <w:t xml:space="preserve">[130]</w:t>
        </w:r>
      </w:hyperlink>
      <w:r>
        <w:t xml:space="preserve"> </w:t>
      </w:r>
      <w:r>
        <w:t xml:space="preserve">https://opentelemetry.io/docs/specs/otel/</w:t>
      </w:r>
    </w:p>
    <w:p>
      <w:pPr>
        <w:pStyle w:val="BodyText"/>
      </w:pPr>
      <w:hyperlink r:id="rId36">
        <w:r>
          <w:rPr>
            <w:rStyle w:val="Hyperlink"/>
          </w:rPr>
          <w:t xml:space="preserve">https://opentelemetry.io/docs/specs/otel/</w:t>
        </w:r>
      </w:hyperlink>
    </w:p>
    <w:p>
      <w:pPr>
        <w:pStyle w:val="BodyText"/>
      </w:pPr>
      <w:hyperlink r:id="rId37">
        <w:r>
          <w:rPr>
            <w:rStyle w:val="Hyperlink"/>
          </w:rPr>
          <w:t xml:space="preserve">[26]</w:t>
        </w:r>
      </w:hyperlink>
      <w:r>
        <w:t xml:space="preserve"> </w:t>
      </w:r>
      <w:hyperlink r:id="rId37">
        <w:r>
          <w:rPr>
            <w:rStyle w:val="Hyperlink"/>
          </w:rPr>
          <w:t xml:space="preserve">[70]</w:t>
        </w:r>
      </w:hyperlink>
      <w:r>
        <w:t xml:space="preserve"> </w:t>
      </w:r>
      <w:hyperlink r:id="rId37">
        <w:r>
          <w:rPr>
            <w:rStyle w:val="Hyperlink"/>
          </w:rPr>
          <w:t xml:space="preserve">[134]</w:t>
        </w:r>
      </w:hyperlink>
      <w:r>
        <w:t xml:space="preserve"> </w:t>
      </w:r>
      <w:r>
        <w:t xml:space="preserve">https://www.tf-pm.org/resources/xes-standard/about-xes</w:t>
      </w:r>
    </w:p>
    <w:p>
      <w:pPr>
        <w:pStyle w:val="BodyText"/>
      </w:pPr>
      <w:hyperlink r:id="rId37">
        <w:r>
          <w:rPr>
            <w:rStyle w:val="Hyperlink"/>
          </w:rPr>
          <w:t xml:space="preserve">https://www.tf-pm.org/resources/xes-standard/about-xes</w:t>
        </w:r>
      </w:hyperlink>
    </w:p>
    <w:p>
      <w:pPr>
        <w:pStyle w:val="BodyText"/>
      </w:pPr>
      <w:hyperlink r:id="rId38">
        <w:r>
          <w:rPr>
            <w:rStyle w:val="Hyperlink"/>
          </w:rPr>
          <w:t xml:space="preserve">[27]</w:t>
        </w:r>
      </w:hyperlink>
      <w:r>
        <w:t xml:space="preserve"> </w:t>
      </w:r>
      <w:hyperlink r:id="rId38">
        <w:r>
          <w:rPr>
            <w:rStyle w:val="Hyperlink"/>
          </w:rPr>
          <w:t xml:space="preserve">[62]</w:t>
        </w:r>
      </w:hyperlink>
      <w:r>
        <w:t xml:space="preserve"> </w:t>
      </w:r>
      <w:hyperlink r:id="rId38">
        <w:r>
          <w:rPr>
            <w:rStyle w:val="Hyperlink"/>
          </w:rPr>
          <w:t xml:space="preserve">[78]</w:t>
        </w:r>
      </w:hyperlink>
      <w:r>
        <w:t xml:space="preserve"> </w:t>
      </w:r>
      <w:hyperlink r:id="rId38">
        <w:r>
          <w:rPr>
            <w:rStyle w:val="Hyperlink"/>
          </w:rPr>
          <w:t xml:space="preserve">[90]</w:t>
        </w:r>
      </w:hyperlink>
      <w:r>
        <w:t xml:space="preserve"> </w:t>
      </w:r>
      <w:hyperlink r:id="rId38">
        <w:r>
          <w:rPr>
            <w:rStyle w:val="Hyperlink"/>
          </w:rPr>
          <w:t xml:space="preserve">[140]</w:t>
        </w:r>
      </w:hyperlink>
      <w:r>
        <w:t xml:space="preserve"> </w:t>
      </w:r>
      <w:r>
        <w:t xml:space="preserve">https://docs.oasis-open.org/xacml/3.0/xacml-3.0-core-spec-os-en.pdf</w:t>
      </w:r>
    </w:p>
    <w:p>
      <w:pPr>
        <w:pStyle w:val="BodyText"/>
      </w:pPr>
      <w:hyperlink r:id="rId38">
        <w:r>
          <w:rPr>
            <w:rStyle w:val="Hyperlink"/>
          </w:rPr>
          <w:t xml:space="preserve">https://docs.oasis-open.org/xacml/3.0/xacml-3.0-core-spec-os-en.pdf</w:t>
        </w:r>
      </w:hyperlink>
    </w:p>
    <w:p>
      <w:pPr>
        <w:pStyle w:val="BodyText"/>
      </w:pPr>
      <w:hyperlink r:id="rId39">
        <w:r>
          <w:rPr>
            <w:rStyle w:val="Hyperlink"/>
          </w:rPr>
          <w:t xml:space="preserve">[28]</w:t>
        </w:r>
      </w:hyperlink>
      <w:r>
        <w:t xml:space="preserve"> </w:t>
      </w:r>
      <w:hyperlink r:id="rId39">
        <w:r>
          <w:rPr>
            <w:rStyle w:val="Hyperlink"/>
          </w:rPr>
          <w:t xml:space="preserve">[82]</w:t>
        </w:r>
      </w:hyperlink>
      <w:r>
        <w:t xml:space="preserve"> </w:t>
      </w:r>
      <w:hyperlink r:id="rId39">
        <w:r>
          <w:rPr>
            <w:rStyle w:val="Hyperlink"/>
          </w:rPr>
          <w:t xml:space="preserve">[111]</w:t>
        </w:r>
      </w:hyperlink>
      <w:r>
        <w:t xml:space="preserve"> </w:t>
      </w:r>
      <w:hyperlink r:id="rId39">
        <w:r>
          <w:rPr>
            <w:rStyle w:val="Hyperlink"/>
          </w:rPr>
          <w:t xml:space="preserve">[127]</w:t>
        </w:r>
      </w:hyperlink>
      <w:r>
        <w:t xml:space="preserve"> </w:t>
      </w:r>
      <w:r>
        <w:t xml:space="preserve">https://openpolicyagent.org/docs</w:t>
      </w:r>
    </w:p>
    <w:p>
      <w:pPr>
        <w:pStyle w:val="BodyText"/>
      </w:pPr>
      <w:hyperlink r:id="rId39">
        <w:r>
          <w:rPr>
            <w:rStyle w:val="Hyperlink"/>
          </w:rPr>
          <w:t xml:space="preserve">https://openpolicyagent.org/docs</w:t>
        </w:r>
      </w:hyperlink>
    </w:p>
    <w:p>
      <w:pPr>
        <w:pStyle w:val="BodyText"/>
      </w:pPr>
      <w:hyperlink r:id="rId40">
        <w:r>
          <w:rPr>
            <w:rStyle w:val="Hyperlink"/>
          </w:rPr>
          <w:t xml:space="preserve">[29]</w:t>
        </w:r>
      </w:hyperlink>
      <w:r>
        <w:t xml:space="preserve"> </w:t>
      </w:r>
      <w:r>
        <w:t xml:space="preserve">https://arxiv.org/pdf/2403.04651</w:t>
      </w:r>
    </w:p>
    <w:p>
      <w:pPr>
        <w:pStyle w:val="BodyText"/>
      </w:pPr>
      <w:hyperlink r:id="rId40">
        <w:r>
          <w:rPr>
            <w:rStyle w:val="Hyperlink"/>
          </w:rPr>
          <w:t xml:space="preserve">https://arxiv.org/pdf/2403.04651</w:t>
        </w:r>
      </w:hyperlink>
    </w:p>
    <w:p>
      <w:pPr>
        <w:pStyle w:val="BodyText"/>
      </w:pPr>
      <w:hyperlink r:id="rId41">
        <w:r>
          <w:rPr>
            <w:rStyle w:val="Hyperlink"/>
          </w:rPr>
          <w:t xml:space="preserve">[30]</w:t>
        </w:r>
      </w:hyperlink>
      <w:r>
        <w:t xml:space="preserve"> </w:t>
      </w:r>
      <w:r>
        <w:t xml:space="preserve">https://www.usenix.org/system/files/atc19-pang.pdf</w:t>
      </w:r>
    </w:p>
    <w:p>
      <w:pPr>
        <w:pStyle w:val="BodyText"/>
      </w:pPr>
      <w:hyperlink r:id="rId41">
        <w:r>
          <w:rPr>
            <w:rStyle w:val="Hyperlink"/>
          </w:rPr>
          <w:t xml:space="preserve">https://www.usenix.org/system/files/atc19-pang.pdf</w:t>
        </w:r>
      </w:hyperlink>
    </w:p>
    <w:p>
      <w:pPr>
        <w:pStyle w:val="BodyText"/>
      </w:pPr>
      <w:hyperlink r:id="rId42">
        <w:r>
          <w:rPr>
            <w:rStyle w:val="Hyperlink"/>
          </w:rPr>
          <w:t xml:space="preserve">[31]</w:t>
        </w:r>
      </w:hyperlink>
      <w:r>
        <w:t xml:space="preserve"> </w:t>
      </w:r>
      <w:hyperlink r:id="rId42">
        <w:r>
          <w:rPr>
            <w:rStyle w:val="Hyperlink"/>
          </w:rPr>
          <w:t xml:space="preserve">[135]</w:t>
        </w:r>
      </w:hyperlink>
      <w:r>
        <w:t xml:space="preserve"> </w:t>
      </w:r>
      <w:r>
        <w:t xml:space="preserve">https://angelhof.github.io/files/papers/durable-functions-2021-oopsla.pdf</w:t>
      </w:r>
    </w:p>
    <w:p>
      <w:pPr>
        <w:pStyle w:val="BodyText"/>
      </w:pPr>
      <w:hyperlink r:id="rId42">
        <w:r>
          <w:rPr>
            <w:rStyle w:val="Hyperlink"/>
          </w:rPr>
          <w:t xml:space="preserve">https://angelhof.github.io/files/papers/durable-functions-2021-oopsla.pdf</w:t>
        </w:r>
      </w:hyperlink>
    </w:p>
    <w:p>
      <w:pPr>
        <w:pStyle w:val="BodyText"/>
      </w:pPr>
      <w:hyperlink r:id="rId43">
        <w:r>
          <w:rPr>
            <w:rStyle w:val="Hyperlink"/>
          </w:rPr>
          <w:t xml:space="preserve">[32]</w:t>
        </w:r>
      </w:hyperlink>
      <w:r>
        <w:t xml:space="preserve"> </w:t>
      </w:r>
      <w:r>
        <w:t xml:space="preserve">https://states-language.net/</w:t>
      </w:r>
    </w:p>
    <w:p>
      <w:pPr>
        <w:pStyle w:val="BodyText"/>
      </w:pPr>
      <w:hyperlink r:id="rId43">
        <w:r>
          <w:rPr>
            <w:rStyle w:val="Hyperlink"/>
          </w:rPr>
          <w:t xml:space="preserve">https://states-language.net/</w:t>
        </w:r>
      </w:hyperlink>
    </w:p>
    <w:p>
      <w:pPr>
        <w:pStyle w:val="BodyText"/>
      </w:pPr>
      <w:hyperlink r:id="rId44">
        <w:r>
          <w:rPr>
            <w:rStyle w:val="Hyperlink"/>
          </w:rPr>
          <w:t xml:space="preserve">[33]</w:t>
        </w:r>
      </w:hyperlink>
      <w:r>
        <w:t xml:space="preserve"> </w:t>
      </w:r>
      <w:r>
        <w:t xml:space="preserve">https://www.openapis.org/arazzo-specification</w:t>
      </w:r>
    </w:p>
    <w:p>
      <w:pPr>
        <w:pStyle w:val="BodyText"/>
      </w:pPr>
      <w:hyperlink r:id="rId44">
        <w:r>
          <w:rPr>
            <w:rStyle w:val="Hyperlink"/>
          </w:rPr>
          <w:t xml:space="preserve">https://www.openapis.org/arazzo-specification</w:t>
        </w:r>
      </w:hyperlink>
    </w:p>
    <w:p>
      <w:pPr>
        <w:pStyle w:val="BodyText"/>
      </w:pPr>
      <w:hyperlink r:id="rId45">
        <w:r>
          <w:rPr>
            <w:rStyle w:val="Hyperlink"/>
          </w:rPr>
          <w:t xml:space="preserve">[34]</w:t>
        </w:r>
      </w:hyperlink>
      <w:r>
        <w:t xml:space="preserve"> </w:t>
      </w:r>
      <w:hyperlink r:id="rId45">
        <w:r>
          <w:rPr>
            <w:rStyle w:val="Hyperlink"/>
          </w:rPr>
          <w:t xml:space="preserve">[51]</w:t>
        </w:r>
      </w:hyperlink>
      <w:r>
        <w:t xml:space="preserve"> </w:t>
      </w:r>
      <w:hyperlink r:id="rId45">
        <w:r>
          <w:rPr>
            <w:rStyle w:val="Hyperlink"/>
          </w:rPr>
          <w:t xml:space="preserve">[71]</w:t>
        </w:r>
      </w:hyperlink>
      <w:r>
        <w:t xml:space="preserve"> </w:t>
      </w:r>
      <w:hyperlink r:id="rId45">
        <w:r>
          <w:rPr>
            <w:rStyle w:val="Hyperlink"/>
          </w:rPr>
          <w:t xml:space="preserve">[86]</w:t>
        </w:r>
      </w:hyperlink>
      <w:r>
        <w:t xml:space="preserve"> </w:t>
      </w:r>
      <w:hyperlink r:id="rId45">
        <w:r>
          <w:rPr>
            <w:rStyle w:val="Hyperlink"/>
          </w:rPr>
          <w:t xml:space="preserve">[112]</w:t>
        </w:r>
      </w:hyperlink>
      <w:r>
        <w:t xml:space="preserve"> </w:t>
      </w:r>
      <w:r>
        <w:t xml:space="preserve">https://datatracker.ietf.org/doc/html/rfc6902</w:t>
      </w:r>
    </w:p>
    <w:p>
      <w:pPr>
        <w:pStyle w:val="BodyText"/>
      </w:pPr>
      <w:hyperlink r:id="rId45">
        <w:r>
          <w:rPr>
            <w:rStyle w:val="Hyperlink"/>
          </w:rPr>
          <w:t xml:space="preserve">https://datatracker.ietf.org/doc/html/rfc6902</w:t>
        </w:r>
      </w:hyperlink>
    </w:p>
    <w:p>
      <w:pPr>
        <w:pStyle w:val="BodyText"/>
      </w:pPr>
      <w:hyperlink r:id="rId46">
        <w:r>
          <w:rPr>
            <w:rStyle w:val="Hyperlink"/>
          </w:rPr>
          <w:t xml:space="preserve">[35]</w:t>
        </w:r>
      </w:hyperlink>
      <w:r>
        <w:t xml:space="preserve"> </w:t>
      </w:r>
      <w:hyperlink r:id="rId46">
        <w:r>
          <w:rPr>
            <w:rStyle w:val="Hyperlink"/>
          </w:rPr>
          <w:t xml:space="preserve">[80]</w:t>
        </w:r>
      </w:hyperlink>
      <w:r>
        <w:t xml:space="preserve"> </w:t>
      </w:r>
      <w:r>
        <w:t xml:space="preserve">https://build.fhir.org/workflow-module.html</w:t>
      </w:r>
    </w:p>
    <w:p>
      <w:pPr>
        <w:pStyle w:val="BodyText"/>
      </w:pPr>
      <w:hyperlink r:id="rId46">
        <w:r>
          <w:rPr>
            <w:rStyle w:val="Hyperlink"/>
          </w:rPr>
          <w:t xml:space="preserve">https://build.fhir.org/workflow-module.html</w:t>
        </w:r>
      </w:hyperlink>
    </w:p>
    <w:p>
      <w:pPr>
        <w:pStyle w:val="BodyText"/>
      </w:pPr>
      <w:hyperlink r:id="rId47">
        <w:r>
          <w:rPr>
            <w:rStyle w:val="Hyperlink"/>
          </w:rPr>
          <w:t xml:space="preserve">[36]</w:t>
        </w:r>
      </w:hyperlink>
      <w:r>
        <w:t xml:space="preserve"> </w:t>
      </w:r>
      <w:r>
        <w:t xml:space="preserve">https://docs.oasis-open.org/niemopen/ndr/v6.0/ndr-v6.0.html</w:t>
      </w:r>
    </w:p>
    <w:p>
      <w:pPr>
        <w:pStyle w:val="BodyText"/>
      </w:pPr>
      <w:hyperlink r:id="rId47">
        <w:r>
          <w:rPr>
            <w:rStyle w:val="Hyperlink"/>
          </w:rPr>
          <w:t xml:space="preserve">https://docs.oasis-open.org/niemopen/ndr/v6.0/ndr-v6.0.html</w:t>
        </w:r>
      </w:hyperlink>
    </w:p>
    <w:p>
      <w:pPr>
        <w:pStyle w:val="BodyText"/>
      </w:pPr>
      <w:hyperlink r:id="rId48">
        <w:r>
          <w:rPr>
            <w:rStyle w:val="Hyperlink"/>
          </w:rPr>
          <w:t xml:space="preserve">[38]</w:t>
        </w:r>
      </w:hyperlink>
      <w:r>
        <w:t xml:space="preserve"> </w:t>
      </w:r>
      <w:hyperlink r:id="rId48">
        <w:r>
          <w:rPr>
            <w:rStyle w:val="Hyperlink"/>
          </w:rPr>
          <w:t xml:space="preserve">[123]</w:t>
        </w:r>
      </w:hyperlink>
      <w:r>
        <w:t xml:space="preserve"> </w:t>
      </w:r>
      <w:r>
        <w:t xml:space="preserve">https://microsoft.github.io/language-server-protocol/</w:t>
      </w:r>
    </w:p>
    <w:p>
      <w:pPr>
        <w:pStyle w:val="BodyText"/>
      </w:pPr>
      <w:hyperlink r:id="rId48">
        <w:r>
          <w:rPr>
            <w:rStyle w:val="Hyperlink"/>
          </w:rPr>
          <w:t xml:space="preserve">https://microsoft.github.io/language-server-protocol/</w:t>
        </w:r>
      </w:hyperlink>
    </w:p>
    <w:p>
      <w:pPr>
        <w:pStyle w:val="BodyText"/>
      </w:pPr>
      <w:hyperlink r:id="rId49">
        <w:r>
          <w:rPr>
            <w:rStyle w:val="Hyperlink"/>
          </w:rPr>
          <w:t xml:space="preserve">[39]</w:t>
        </w:r>
      </w:hyperlink>
      <w:r>
        <w:t xml:space="preserve"> </w:t>
      </w:r>
      <w:r>
        <w:t xml:space="preserve">https://datatracker.ietf.org/doc/html/rfc5545</w:t>
      </w:r>
    </w:p>
    <w:p>
      <w:pPr>
        <w:pStyle w:val="BodyText"/>
      </w:pPr>
      <w:hyperlink r:id="rId49">
        <w:r>
          <w:rPr>
            <w:rStyle w:val="Hyperlink"/>
          </w:rPr>
          <w:t xml:space="preserve">https://datatracker.ietf.org/doc/html/rfc5545</w:t>
        </w:r>
      </w:hyperlink>
    </w:p>
    <w:p>
      <w:pPr>
        <w:pStyle w:val="BodyText"/>
      </w:pPr>
      <w:hyperlink r:id="rId52">
        <w:r>
          <w:rPr>
            <w:rStyle w:val="Hyperlink"/>
          </w:rPr>
          <w:t xml:space="preserve">[53]</w:t>
        </w:r>
      </w:hyperlink>
      <w:r>
        <w:t xml:space="preserve"> </w:t>
      </w:r>
      <w:hyperlink r:id="rId52">
        <w:r>
          <w:rPr>
            <w:rStyle w:val="Hyperlink"/>
          </w:rPr>
          <w:t xml:space="preserve">[107]</w:t>
        </w:r>
      </w:hyperlink>
      <w:r>
        <w:t xml:space="preserve"> </w:t>
      </w:r>
      <w:r>
        <w:t xml:space="preserve">https://github.com/serverlessworkflow/specification/blob/main/dsl.md</w:t>
      </w:r>
    </w:p>
    <w:p>
      <w:pPr>
        <w:pStyle w:val="BodyText"/>
      </w:pPr>
      <w:hyperlink r:id="rId52">
        <w:r>
          <w:rPr>
            <w:rStyle w:val="Hyperlink"/>
          </w:rPr>
          <w:t xml:space="preserve">https://github.com/serverlessworkflow/specification/blob/main/dsl.md</w:t>
        </w:r>
      </w:hyperlink>
    </w:p>
    <w:p>
      <w:pPr>
        <w:pStyle w:val="BodyText"/>
      </w:pPr>
      <w:hyperlink r:id="rId53">
        <w:r>
          <w:rPr>
            <w:rStyle w:val="Hyperlink"/>
          </w:rPr>
          <w:t xml:space="preserve">[63]</w:t>
        </w:r>
      </w:hyperlink>
      <w:r>
        <w:t xml:space="preserve"> </w:t>
      </w:r>
      <w:r>
        <w:t xml:space="preserve">https://openpolicyagent.org/docs/policy-testing</w:t>
      </w:r>
    </w:p>
    <w:p>
      <w:pPr>
        <w:pStyle w:val="BodyText"/>
      </w:pPr>
      <w:hyperlink r:id="rId53">
        <w:r>
          <w:rPr>
            <w:rStyle w:val="Hyperlink"/>
          </w:rPr>
          <w:t xml:space="preserve">https://openpolicyagent.org/docs/policy-testing</w:t>
        </w:r>
      </w:hyperlink>
    </w:p>
    <w:p>
      <w:pPr>
        <w:pStyle w:val="BodyText"/>
      </w:pPr>
      <w:hyperlink r:id="rId54">
        <w:r>
          <w:rPr>
            <w:rStyle w:val="Hyperlink"/>
          </w:rPr>
          <w:t xml:space="preserve">[65]</w:t>
        </w:r>
      </w:hyperlink>
      <w:r>
        <w:t xml:space="preserve"> </w:t>
      </w:r>
      <w:hyperlink r:id="rId54">
        <w:r>
          <w:rPr>
            <w:rStyle w:val="Hyperlink"/>
          </w:rPr>
          <w:t xml:space="preserve">[120]</w:t>
        </w:r>
      </w:hyperlink>
      <w:r>
        <w:t xml:space="preserve"> </w:t>
      </w:r>
      <w:r>
        <w:t xml:space="preserve">https://datatracker.ietf.org/doc/html/draft-idempotency-header-01</w:t>
      </w:r>
    </w:p>
    <w:p>
      <w:pPr>
        <w:pStyle w:val="BodyText"/>
      </w:pPr>
      <w:hyperlink r:id="rId54">
        <w:r>
          <w:rPr>
            <w:rStyle w:val="Hyperlink"/>
          </w:rPr>
          <w:t xml:space="preserve">https://datatracker.ietf.org/doc/html/draft-idempotency-header-01</w:t>
        </w:r>
      </w:hyperlink>
    </w:p>
    <w:p>
      <w:pPr>
        <w:pStyle w:val="BodyText"/>
      </w:pPr>
      <w:hyperlink r:id="rId55">
        <w:r>
          <w:rPr>
            <w:rStyle w:val="Hyperlink"/>
          </w:rPr>
          <w:t xml:space="preserve">[68]</w:t>
        </w:r>
      </w:hyperlink>
      <w:r>
        <w:t xml:space="preserve"> </w:t>
      </w:r>
      <w:r>
        <w:t xml:space="preserve">https://www.cs.princeton.edu/techreports/1987/070.pdf</w:t>
      </w:r>
    </w:p>
    <w:p>
      <w:pPr>
        <w:pStyle w:val="BodyText"/>
      </w:pPr>
      <w:hyperlink r:id="rId55">
        <w:r>
          <w:rPr>
            <w:rStyle w:val="Hyperlink"/>
          </w:rPr>
          <w:t xml:space="preserve">https://www.cs.princeton.edu/techreports/1987/070.pdf</w:t>
        </w:r>
      </w:hyperlink>
    </w:p>
    <w:p>
      <w:pPr>
        <w:pStyle w:val="BodyText"/>
      </w:pPr>
      <w:hyperlink r:id="rId58">
        <w:r>
          <w:rPr>
            <w:rStyle w:val="Hyperlink"/>
          </w:rPr>
          <w:t xml:space="preserve">[76]</w:t>
        </w:r>
      </w:hyperlink>
      <w:r>
        <w:t xml:space="preserve"> </w:t>
      </w:r>
      <w:hyperlink r:id="rId58">
        <w:r>
          <w:rPr>
            <w:rStyle w:val="Hyperlink"/>
          </w:rPr>
          <w:t xml:space="preserve">[138]</w:t>
        </w:r>
      </w:hyperlink>
      <w:r>
        <w:t xml:space="preserve"> </w:t>
      </w:r>
      <w:r>
        <w:t xml:space="preserve">https://www.vdaalst.com/publications/p108.pdf</w:t>
      </w:r>
    </w:p>
    <w:p>
      <w:pPr>
        <w:pStyle w:val="BodyText"/>
      </w:pPr>
      <w:hyperlink r:id="rId58">
        <w:r>
          <w:rPr>
            <w:rStyle w:val="Hyperlink"/>
          </w:rPr>
          <w:t xml:space="preserve">https://www.vdaalst.com/publications/p108.pdf</w:t>
        </w:r>
      </w:hyperlink>
    </w:p>
    <w:p>
      <w:pPr>
        <w:pStyle w:val="BodyText"/>
      </w:pPr>
      <w:hyperlink r:id="rId59">
        <w:r>
          <w:rPr>
            <w:rStyle w:val="Hyperlink"/>
          </w:rPr>
          <w:t xml:space="preserve">[77]</w:t>
        </w:r>
      </w:hyperlink>
      <w:r>
        <w:t xml:space="preserve"> </w:t>
      </w:r>
      <w:r>
        <w:t xml:space="preserve">https://www.vdaalst.com/publications/p419.pdf</w:t>
      </w:r>
    </w:p>
    <w:p>
      <w:pPr>
        <w:pStyle w:val="BodyText"/>
      </w:pPr>
      <w:hyperlink r:id="rId59">
        <w:r>
          <w:rPr>
            <w:rStyle w:val="Hyperlink"/>
          </w:rPr>
          <w:t xml:space="preserve">https://www.vdaalst.com/publications/p419.pdf</w:t>
        </w:r>
      </w:hyperlink>
    </w:p>
    <w:p>
      <w:pPr>
        <w:pStyle w:val="BodyText"/>
      </w:pPr>
      <w:hyperlink r:id="rId63">
        <w:r>
          <w:rPr>
            <w:rStyle w:val="Hyperlink"/>
          </w:rPr>
          <w:t xml:space="preserve">[92]</w:t>
        </w:r>
      </w:hyperlink>
      <w:r>
        <w:t xml:space="preserve"> </w:t>
      </w:r>
      <w:r>
        <w:t xml:space="preserve">https://swagger.io/specification/</w:t>
      </w:r>
    </w:p>
    <w:p>
      <w:pPr>
        <w:pStyle w:val="BodyText"/>
      </w:pPr>
      <w:hyperlink r:id="rId63">
        <w:r>
          <w:rPr>
            <w:rStyle w:val="Hyperlink"/>
          </w:rPr>
          <w:t xml:space="preserve">https://swagger.io/specification/</w:t>
        </w:r>
      </w:hyperlink>
    </w:p>
    <w:p>
      <w:pPr>
        <w:pStyle w:val="BodyText"/>
      </w:pPr>
      <w:hyperlink r:id="rId67">
        <w:r>
          <w:rPr>
            <w:rStyle w:val="Hyperlink"/>
          </w:rPr>
          <w:t xml:space="preserve">[99]</w:t>
        </w:r>
      </w:hyperlink>
      <w:r>
        <w:t xml:space="preserve"> </w:t>
      </w:r>
      <w:r>
        <w:t xml:space="preserve">https://www.w3.org/TR/prov-constraints/</w:t>
      </w:r>
    </w:p>
    <w:p>
      <w:pPr>
        <w:pStyle w:val="BodyText"/>
      </w:pPr>
      <w:hyperlink r:id="rId67">
        <w:r>
          <w:rPr>
            <w:rStyle w:val="Hyperlink"/>
          </w:rPr>
          <w:t xml:space="preserve">https://www.w3.org/TR/prov-constraints/</w:t>
        </w:r>
      </w:hyperlink>
    </w:p>
    <w:p>
      <w:pPr>
        <w:pStyle w:val="BodyText"/>
      </w:pPr>
      <w:hyperlink r:id="rId72">
        <w:r>
          <w:rPr>
            <w:rStyle w:val="Hyperlink"/>
          </w:rPr>
          <w:t xml:space="preserve">[116]</w:t>
        </w:r>
      </w:hyperlink>
      <w:r>
        <w:t xml:space="preserve"> </w:t>
      </w:r>
      <w:r>
        <w:t xml:space="preserve">https://www.w3.org/TR/vc-data-integrity/</w:t>
      </w:r>
    </w:p>
    <w:p>
      <w:pPr>
        <w:pStyle w:val="BodyText"/>
      </w:pPr>
      <w:hyperlink r:id="rId72">
        <w:r>
          <w:rPr>
            <w:rStyle w:val="Hyperlink"/>
          </w:rPr>
          <w:t xml:space="preserve">https://www.w3.org/TR/vc-data-integrity/</w:t>
        </w:r>
      </w:hyperlink>
    </w:p>
    <w:p>
      <w:pPr>
        <w:pStyle w:val="BodyText"/>
      </w:pPr>
      <w:hyperlink r:id="rId73">
        <w:r>
          <w:rPr>
            <w:rStyle w:val="Hyperlink"/>
          </w:rPr>
          <w:t xml:space="preserve">[118]</w:t>
        </w:r>
      </w:hyperlink>
      <w:r>
        <w:t xml:space="preserve"> </w:t>
      </w:r>
      <w:r>
        <w:t xml:space="preserve">https://ocel-standard.org/2.0/ocel20_specification.pdf</w:t>
      </w:r>
    </w:p>
    <w:p>
      <w:pPr>
        <w:pStyle w:val="BodyText"/>
      </w:pPr>
      <w:hyperlink r:id="rId73">
        <w:r>
          <w:rPr>
            <w:rStyle w:val="Hyperlink"/>
          </w:rPr>
          <w:t xml:space="preserve">https://ocel-standard.org/2.0/ocel20_specification.pdf</w:t>
        </w:r>
      </w:hyperlink>
    </w:p>
    <w:p>
      <w:pPr>
        <w:pStyle w:val="BodyText"/>
      </w:pPr>
      <w:hyperlink r:id="rId75">
        <w:r>
          <w:rPr>
            <w:rStyle w:val="Hyperlink"/>
          </w:rPr>
          <w:t xml:space="preserve">[125]</w:t>
        </w:r>
      </w:hyperlink>
      <w:r>
        <w:t xml:space="preserve"> </w:t>
      </w:r>
      <w:hyperlink r:id="rId75">
        <w:r>
          <w:rPr>
            <w:rStyle w:val="Hyperlink"/>
          </w:rPr>
          <w:t xml:space="preserve">[137]</w:t>
        </w:r>
      </w:hyperlink>
      <w:r>
        <w:t xml:space="preserve"> </w:t>
      </w:r>
      <w:r>
        <w:t xml:space="preserve">https://docs.temporal.io/workflow-execution/event</w:t>
      </w:r>
    </w:p>
    <w:p>
      <w:pPr>
        <w:pStyle w:val="BodyText"/>
      </w:pPr>
      <w:hyperlink r:id="rId75">
        <w:r>
          <w:rPr>
            <w:rStyle w:val="Hyperlink"/>
          </w:rPr>
          <w:t xml:space="preserve">https://docs.temporal.io/workflow-execution/event</w:t>
        </w:r>
      </w:hyperlink>
    </w:p>
    <w:p>
      <w:pPr>
        <w:pStyle w:val="BodyText"/>
      </w:pPr>
      <w:hyperlink r:id="rId76">
        <w:r>
          <w:rPr>
            <w:rStyle w:val="Hyperlink"/>
          </w:rPr>
          <w:t xml:space="preserve">[132]</w:t>
        </w:r>
      </w:hyperlink>
      <w:r>
        <w:t xml:space="preserve"> </w:t>
      </w:r>
      <w:hyperlink r:id="rId76">
        <w:r>
          <w:rPr>
            <w:rStyle w:val="Hyperlink"/>
          </w:rPr>
          <w:t xml:space="preserve">[139]</w:t>
        </w:r>
      </w:hyperlink>
      <w:r>
        <w:t xml:space="preserve"> </w:t>
      </w:r>
      <w:r>
        <w:t xml:space="preserve">https://www.vdaalst.com/publications/p250.pdf</w:t>
      </w:r>
    </w:p>
    <w:p>
      <w:pPr>
        <w:pStyle w:val="BodyText"/>
      </w:pPr>
      <w:hyperlink r:id="rId76">
        <w:r>
          <w:rPr>
            <w:rStyle w:val="Hyperlink"/>
          </w:rPr>
          <w:t xml:space="preserve">https://www.vdaalst.com/publications/p250.pdf</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angelhof.github.io/files/papers/durable-functions-2021-oopsla.pdf" TargetMode="External" /><Relationship Type="http://schemas.openxmlformats.org/officeDocument/2006/relationships/hyperlink" Id="rId40" Target="https://arxiv.org/pdf/2403.04651" TargetMode="External" /><Relationship Type="http://schemas.openxmlformats.org/officeDocument/2006/relationships/hyperlink" Id="rId46" Target="https://build.fhir.org/workflow-module.html" TargetMode="External" /><Relationship Type="http://schemas.openxmlformats.org/officeDocument/2006/relationships/hyperlink" Id="rId54" Target="https://datatracker.ietf.org/doc/html/draft-idempotency-header-01" TargetMode="External" /><Relationship Type="http://schemas.openxmlformats.org/officeDocument/2006/relationships/hyperlink" Id="rId49" Target="https://datatracker.ietf.org/doc/html/rfc5545" TargetMode="External" /><Relationship Type="http://schemas.openxmlformats.org/officeDocument/2006/relationships/hyperlink" Id="rId45" Target="https://datatracker.ietf.org/doc/html/rfc6902" TargetMode="External" /><Relationship Type="http://schemas.openxmlformats.org/officeDocument/2006/relationships/hyperlink" Id="rId23" Target="https://docs.oasis-open.org/bpel4people/ws-humantask-1.1-spec-cs-01.pdf" TargetMode="External" /><Relationship Type="http://schemas.openxmlformats.org/officeDocument/2006/relationships/hyperlink" Id="rId47" Target="https://docs.oasis-open.org/niemopen/ndr/v6.0/ndr-v6.0.html" TargetMode="External" /><Relationship Type="http://schemas.openxmlformats.org/officeDocument/2006/relationships/hyperlink" Id="rId32" Target="https://docs.oasis-open.org/wsbpel/2.0/OS/wsbpel-v2.0-OS.html" TargetMode="External" /><Relationship Type="http://schemas.openxmlformats.org/officeDocument/2006/relationships/hyperlink" Id="rId38" Target="https://docs.oasis-open.org/xacml/3.0/xacml-3.0-core-spec-os-en.pdf" TargetMode="External" /><Relationship Type="http://schemas.openxmlformats.org/officeDocument/2006/relationships/hyperlink" Id="rId75" Target="https://docs.temporal.io/workflow-execution/event" TargetMode="External" /><Relationship Type="http://schemas.openxmlformats.org/officeDocument/2006/relationships/hyperlink" Id="rId27" Target="https://github.com/cloudevents/spec" TargetMode="External" /><Relationship Type="http://schemas.openxmlformats.org/officeDocument/2006/relationships/hyperlink" Id="rId52" Target="https://github.com/serverlessworkflow/specification/blob/main/dsl.md" TargetMode="External" /><Relationship Type="http://schemas.openxmlformats.org/officeDocument/2006/relationships/hyperlink" Id="rId35" Target="https://json-schema.org/draft/2020-12" TargetMode="External" /><Relationship Type="http://schemas.openxmlformats.org/officeDocument/2006/relationships/hyperlink" Id="rId26" Target="https://learn.microsoft.com/en-us/azure/durable-task/common/durable-task-code-constraints" TargetMode="External" /><Relationship Type="http://schemas.openxmlformats.org/officeDocument/2006/relationships/hyperlink" Id="rId48" Target="https://microsoft.github.io/language-server-protocol/" TargetMode="External" /><Relationship Type="http://schemas.openxmlformats.org/officeDocument/2006/relationships/hyperlink" Id="rId73" Target="https://ocel-standard.org/2.0/ocel20_specification.pdf" TargetMode="External" /><Relationship Type="http://schemas.openxmlformats.org/officeDocument/2006/relationships/hyperlink" Id="rId39" Target="https://openpolicyagent.org/docs" TargetMode="External" /><Relationship Type="http://schemas.openxmlformats.org/officeDocument/2006/relationships/hyperlink" Id="rId53" Target="https://openpolicyagent.org/docs/policy-testing" TargetMode="External" /><Relationship Type="http://schemas.openxmlformats.org/officeDocument/2006/relationships/hyperlink" Id="rId36" Target="https://opentelemetry.io/docs/specs/otel/" TargetMode="External" /><Relationship Type="http://schemas.openxmlformats.org/officeDocument/2006/relationships/hyperlink" Id="rId34" Target="https://serverlessworkflow.io/" TargetMode="External" /><Relationship Type="http://schemas.openxmlformats.org/officeDocument/2006/relationships/hyperlink" Id="rId43" Target="https://states-language.net/" TargetMode="External" /><Relationship Type="http://schemas.openxmlformats.org/officeDocument/2006/relationships/hyperlink" Id="rId63" Target="https://swagger.io/specification/" TargetMode="External" /><Relationship Type="http://schemas.openxmlformats.org/officeDocument/2006/relationships/hyperlink" Id="rId55" Target="https://www.cs.princeton.edu/techreports/1987/070.pdf" TargetMode="External" /><Relationship Type="http://schemas.openxmlformats.org/officeDocument/2006/relationships/hyperlink" Id="rId33" Target="https://www.oasis-open.org/standard/ws-humantask-1-1/" TargetMode="External" /><Relationship Type="http://schemas.openxmlformats.org/officeDocument/2006/relationships/hyperlink" Id="rId21" Target="https://www.omg.org/spec/BPMN/2.0/PDF" TargetMode="External" /><Relationship Type="http://schemas.openxmlformats.org/officeDocument/2006/relationships/hyperlink" Id="rId30" Target="https://www.omg.org/spec/CMMN/1.1/PDF" TargetMode="External" /><Relationship Type="http://schemas.openxmlformats.org/officeDocument/2006/relationships/hyperlink" Id="rId24" Target="https://www.omg.org/spec/DMN/1.2/PDF" TargetMode="External" /><Relationship Type="http://schemas.openxmlformats.org/officeDocument/2006/relationships/hyperlink" Id="rId31" Target="https://www.omg.org/spec/DMN/1.4/About-DMN" TargetMode="External" /><Relationship Type="http://schemas.openxmlformats.org/officeDocument/2006/relationships/hyperlink" Id="rId44" Target="https://www.openapis.org/arazzo-specification" TargetMode="External" /><Relationship Type="http://schemas.openxmlformats.org/officeDocument/2006/relationships/hyperlink" Id="rId28" Target="https://www.rfc-editor.org/rfc/rfc8785" TargetMode="External" /><Relationship Type="http://schemas.openxmlformats.org/officeDocument/2006/relationships/hyperlink" Id="rId37" Target="https://www.tf-pm.org/resources/xes-standard/about-xes" TargetMode="External" /><Relationship Type="http://schemas.openxmlformats.org/officeDocument/2006/relationships/hyperlink" Id="rId41" Target="https://www.usenix.org/system/files/atc19-pang.pdf" TargetMode="External" /><Relationship Type="http://schemas.openxmlformats.org/officeDocument/2006/relationships/hyperlink" Id="rId58" Target="https://www.vdaalst.com/publications/p108.pdf" TargetMode="External" /><Relationship Type="http://schemas.openxmlformats.org/officeDocument/2006/relationships/hyperlink" Id="rId76" Target="https://www.vdaalst.com/publications/p250.pdf" TargetMode="External" /><Relationship Type="http://schemas.openxmlformats.org/officeDocument/2006/relationships/hyperlink" Id="rId59" Target="https://www.vdaalst.com/publications/p419.pdf" TargetMode="External" /><Relationship Type="http://schemas.openxmlformats.org/officeDocument/2006/relationships/hyperlink" Id="rId22" Target="https://www.w3.org/TR/2015/REC-scxml-20150901/" TargetMode="External" /><Relationship Type="http://schemas.openxmlformats.org/officeDocument/2006/relationships/hyperlink" Id="rId67" Target="https://www.w3.org/TR/prov-constraints/" TargetMode="External" /><Relationship Type="http://schemas.openxmlformats.org/officeDocument/2006/relationships/hyperlink" Id="rId25" Target="https://www.w3.org/TR/prov-dm/" TargetMode="External" /><Relationship Type="http://schemas.openxmlformats.org/officeDocument/2006/relationships/hyperlink" Id="rId72" Target="https://www.w3.org/TR/vc-data-integrity/" TargetMode="External" /></Relationships>
</file>

<file path=word/_rels/footnotes.xml.rels><?xml version="1.0" encoding="UTF-8"?><Relationships xmlns="http://schemas.openxmlformats.org/package/2006/relationships"><Relationship Type="http://schemas.openxmlformats.org/officeDocument/2006/relationships/hyperlink" Id="rId42" Target="https://angelhof.github.io/files/papers/durable-functions-2021-oopsla.pdf" TargetMode="External" /><Relationship Type="http://schemas.openxmlformats.org/officeDocument/2006/relationships/hyperlink" Id="rId40" Target="https://arxiv.org/pdf/2403.04651" TargetMode="External" /><Relationship Type="http://schemas.openxmlformats.org/officeDocument/2006/relationships/hyperlink" Id="rId46" Target="https://build.fhir.org/workflow-module.html" TargetMode="External" /><Relationship Type="http://schemas.openxmlformats.org/officeDocument/2006/relationships/hyperlink" Id="rId54" Target="https://datatracker.ietf.org/doc/html/draft-idempotency-header-01" TargetMode="External" /><Relationship Type="http://schemas.openxmlformats.org/officeDocument/2006/relationships/hyperlink" Id="rId49" Target="https://datatracker.ietf.org/doc/html/rfc5545" TargetMode="External" /><Relationship Type="http://schemas.openxmlformats.org/officeDocument/2006/relationships/hyperlink" Id="rId45" Target="https://datatracker.ietf.org/doc/html/rfc6902" TargetMode="External" /><Relationship Type="http://schemas.openxmlformats.org/officeDocument/2006/relationships/hyperlink" Id="rId23" Target="https://docs.oasis-open.org/bpel4people/ws-humantask-1.1-spec-cs-01.pdf" TargetMode="External" /><Relationship Type="http://schemas.openxmlformats.org/officeDocument/2006/relationships/hyperlink" Id="rId47" Target="https://docs.oasis-open.org/niemopen/ndr/v6.0/ndr-v6.0.html" TargetMode="External" /><Relationship Type="http://schemas.openxmlformats.org/officeDocument/2006/relationships/hyperlink" Id="rId32" Target="https://docs.oasis-open.org/wsbpel/2.0/OS/wsbpel-v2.0-OS.html" TargetMode="External" /><Relationship Type="http://schemas.openxmlformats.org/officeDocument/2006/relationships/hyperlink" Id="rId38" Target="https://docs.oasis-open.org/xacml/3.0/xacml-3.0-core-spec-os-en.pdf" TargetMode="External" /><Relationship Type="http://schemas.openxmlformats.org/officeDocument/2006/relationships/hyperlink" Id="rId75" Target="https://docs.temporal.io/workflow-execution/event" TargetMode="External" /><Relationship Type="http://schemas.openxmlformats.org/officeDocument/2006/relationships/hyperlink" Id="rId27" Target="https://github.com/cloudevents/spec" TargetMode="External" /><Relationship Type="http://schemas.openxmlformats.org/officeDocument/2006/relationships/hyperlink" Id="rId52" Target="https://github.com/serverlessworkflow/specification/blob/main/dsl.md" TargetMode="External" /><Relationship Type="http://schemas.openxmlformats.org/officeDocument/2006/relationships/hyperlink" Id="rId35" Target="https://json-schema.org/draft/2020-12" TargetMode="External" /><Relationship Type="http://schemas.openxmlformats.org/officeDocument/2006/relationships/hyperlink" Id="rId26" Target="https://learn.microsoft.com/en-us/azure/durable-task/common/durable-task-code-constraints" TargetMode="External" /><Relationship Type="http://schemas.openxmlformats.org/officeDocument/2006/relationships/hyperlink" Id="rId48" Target="https://microsoft.github.io/language-server-protocol/" TargetMode="External" /><Relationship Type="http://schemas.openxmlformats.org/officeDocument/2006/relationships/hyperlink" Id="rId73" Target="https://ocel-standard.org/2.0/ocel20_specification.pdf" TargetMode="External" /><Relationship Type="http://schemas.openxmlformats.org/officeDocument/2006/relationships/hyperlink" Id="rId39" Target="https://openpolicyagent.org/docs" TargetMode="External" /><Relationship Type="http://schemas.openxmlformats.org/officeDocument/2006/relationships/hyperlink" Id="rId53" Target="https://openpolicyagent.org/docs/policy-testing" TargetMode="External" /><Relationship Type="http://schemas.openxmlformats.org/officeDocument/2006/relationships/hyperlink" Id="rId36" Target="https://opentelemetry.io/docs/specs/otel/" TargetMode="External" /><Relationship Type="http://schemas.openxmlformats.org/officeDocument/2006/relationships/hyperlink" Id="rId34" Target="https://serverlessworkflow.io/" TargetMode="External" /><Relationship Type="http://schemas.openxmlformats.org/officeDocument/2006/relationships/hyperlink" Id="rId43" Target="https://states-language.net/" TargetMode="External" /><Relationship Type="http://schemas.openxmlformats.org/officeDocument/2006/relationships/hyperlink" Id="rId63" Target="https://swagger.io/specification/" TargetMode="External" /><Relationship Type="http://schemas.openxmlformats.org/officeDocument/2006/relationships/hyperlink" Id="rId55" Target="https://www.cs.princeton.edu/techreports/1987/070.pdf" TargetMode="External" /><Relationship Type="http://schemas.openxmlformats.org/officeDocument/2006/relationships/hyperlink" Id="rId33" Target="https://www.oasis-open.org/standard/ws-humantask-1-1/" TargetMode="External" /><Relationship Type="http://schemas.openxmlformats.org/officeDocument/2006/relationships/hyperlink" Id="rId21" Target="https://www.omg.org/spec/BPMN/2.0/PDF" TargetMode="External" /><Relationship Type="http://schemas.openxmlformats.org/officeDocument/2006/relationships/hyperlink" Id="rId30" Target="https://www.omg.org/spec/CMMN/1.1/PDF" TargetMode="External" /><Relationship Type="http://schemas.openxmlformats.org/officeDocument/2006/relationships/hyperlink" Id="rId24" Target="https://www.omg.org/spec/DMN/1.2/PDF" TargetMode="External" /><Relationship Type="http://schemas.openxmlformats.org/officeDocument/2006/relationships/hyperlink" Id="rId31" Target="https://www.omg.org/spec/DMN/1.4/About-DMN" TargetMode="External" /><Relationship Type="http://schemas.openxmlformats.org/officeDocument/2006/relationships/hyperlink" Id="rId44" Target="https://www.openapis.org/arazzo-specification" TargetMode="External" /><Relationship Type="http://schemas.openxmlformats.org/officeDocument/2006/relationships/hyperlink" Id="rId28" Target="https://www.rfc-editor.org/rfc/rfc8785" TargetMode="External" /><Relationship Type="http://schemas.openxmlformats.org/officeDocument/2006/relationships/hyperlink" Id="rId37" Target="https://www.tf-pm.org/resources/xes-standard/about-xes" TargetMode="External" /><Relationship Type="http://schemas.openxmlformats.org/officeDocument/2006/relationships/hyperlink" Id="rId41" Target="https://www.usenix.org/system/files/atc19-pang.pdf" TargetMode="External" /><Relationship Type="http://schemas.openxmlformats.org/officeDocument/2006/relationships/hyperlink" Id="rId58" Target="https://www.vdaalst.com/publications/p108.pdf" TargetMode="External" /><Relationship Type="http://schemas.openxmlformats.org/officeDocument/2006/relationships/hyperlink" Id="rId76" Target="https://www.vdaalst.com/publications/p250.pdf" TargetMode="External" /><Relationship Type="http://schemas.openxmlformats.org/officeDocument/2006/relationships/hyperlink" Id="rId59" Target="https://www.vdaalst.com/publications/p419.pdf" TargetMode="External" /><Relationship Type="http://schemas.openxmlformats.org/officeDocument/2006/relationships/hyperlink" Id="rId22" Target="https://www.w3.org/TR/2015/REC-scxml-20150901/" TargetMode="External" /><Relationship Type="http://schemas.openxmlformats.org/officeDocument/2006/relationships/hyperlink" Id="rId67" Target="https://www.w3.org/TR/prov-constraints/" TargetMode="External" /><Relationship Type="http://schemas.openxmlformats.org/officeDocument/2006/relationships/hyperlink" Id="rId25" Target="https://www.w3.org/TR/prov-dm/" TargetMode="External" /><Relationship Type="http://schemas.openxmlformats.org/officeDocument/2006/relationships/hyperlink" Id="rId72" Target="https://www.w3.org/TR/vc-data-integ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2026-04-09T18:19:07Z</dcterms:created>
  <dcterms:modified xsi:type="dcterms:W3CDTF">2026-04-09T18:19:07Z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