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2.xml.rels" ContentType="application/vnd.openxmlformats-package.relationships+xml"/>
  <Override PartName="/word/_rels/footer3.xml.rels" ContentType="application/vnd.openxmlformats-package.relationships+xml"/>
  <Override PartName="/word/_rels/footer4.xml.rels" ContentType="application/vnd.openxmlformats-package.relationships+xml"/>
  <Override PartName="/word/footer5.xml" ContentType="application/vnd.openxmlformats-officedocument.wordprocessingml.footer+xml"/>
  <Override PartName="/word/media/image12.png" ContentType="image/png"/>
  <Override PartName="/word/media/image3.png" ContentType="image/png"/>
  <Override PartName="/word/media/image13.png" ContentType="image/png"/>
  <Override PartName="/word/media/image4.png" ContentType="image/png"/>
  <Override PartName="/word/media/image9.png" ContentType="image/png"/>
  <Override PartName="/word/media/image7.jpeg" ContentType="image/jpeg"/>
  <Override PartName="/word/media/image18.png" ContentType="image/png"/>
  <Override PartName="/word/media/image20.png" ContentType="image/png"/>
  <Override PartName="/word/media/image11.png" ContentType="image/png"/>
  <Override PartName="/word/media/image2.png" ContentType="image/png"/>
  <Override PartName="/word/media/image10.png" ContentType="image/png"/>
  <Override PartName="/word/media/image1.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9.jpeg" ContentType="image/jpeg"/>
  <Override PartName="/word/media/image21.jpeg" ContentType="image/jpeg"/>
  <Override PartName="/word/media/image17.png" ContentType="image/png"/>
  <Override PartName="/word/media/image16.png" ContentType="image/png"/>
  <Override PartName="/word/media/image14.png" ContentType="image/png"/>
  <Override PartName="/word/media/image5.png" ContentType="image/png"/>
  <Override PartName="/word/media/image8.jpeg" ContentType="image/jpeg"/>
  <Override PartName="/word/media/image6.png" ContentType="image/png"/>
  <Override PartName="/word/media/image15.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5"/>
        <w:rPr/>
      </w:pPr>
      <w:r>
        <w:rPr/>
      </w:r>
    </w:p>
    <w:p>
      <w:pPr>
        <w:pStyle w:val="Style5"/>
        <w:rPr/>
      </w:pPr>
      <w:r>
        <w:rPr/>
      </w:r>
    </w:p>
    <w:p>
      <w:pPr>
        <w:pStyle w:val="Style5"/>
        <w:rPr>
          <w:lang w:val="sr-Latn-RS"/>
        </w:rPr>
      </w:pPr>
      <w:r>
        <w:rPr>
          <w:lang w:val="sr-Latn-RS"/>
        </w:rPr>
        <w:t>SHUTDOWN KOLO</w:t>
      </w:r>
    </w:p>
    <w:p>
      <w:pPr>
        <w:pStyle w:val="Style5"/>
        <w:rPr>
          <w:lang w:val="sr-RS"/>
        </w:rPr>
      </w:pPr>
      <w:r>
        <w:rPr>
          <w:lang w:val="sr-RS"/>
        </w:rPr>
        <w:t>-</w:t>
      </w:r>
      <w:r>
        <w:rPr>
          <w:lang w:val="sr-Latn-RS"/>
        </w:rPr>
        <w:t>IZVEŠTAJ O RADU</w:t>
      </w:r>
      <w:r>
        <w:rPr>
          <w:lang w:val="sr-RS"/>
        </w:rPr>
        <w:t>-</w:t>
      </w:r>
    </w:p>
    <w:tbl>
      <w:tblPr>
        <w:tblStyle w:val="Svetlakoordinatnamreatabele"/>
        <w:tblpPr w:vertAnchor="page" w:horzAnchor="text" w:leftFromText="180" w:rightFromText="180" w:tblpX="0" w:tblpY="3391"/>
        <w:tblW w:w="1045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065"/>
        <w:gridCol w:w="8390"/>
      </w:tblGrid>
      <w:tr>
        <w:trPr>
          <w:trHeight w:val="350" w:hRule="atLeast"/>
        </w:trPr>
        <w:tc>
          <w:tcPr>
            <w:tcW w:w="10455" w:type="dxa"/>
            <w:gridSpan w:val="2"/>
            <w:tcBorders/>
          </w:tcPr>
          <w:p>
            <w:pPr>
              <w:pStyle w:val="Normal"/>
              <w:widowControl/>
              <w:suppressAutoHyphens w:val="true"/>
              <w:spacing w:before="0" w:after="0"/>
              <w:jc w:val="center"/>
              <w:rPr>
                <w:rFonts w:cs="Times New Roman"/>
                <w:b/>
                <w:bCs/>
                <w:lang w:val="sr-Latn-RS"/>
              </w:rPr>
            </w:pPr>
            <w:r>
              <w:rPr>
                <w:rFonts w:eastAsia="Aptos" w:cs="Times New Roman"/>
                <w:b/>
                <w:bCs/>
                <w:kern w:val="2"/>
                <w:sz w:val="24"/>
                <w:szCs w:val="24"/>
                <w:lang w:val="sr-Latn-RS" w:eastAsia="en-US" w:bidi="ar-SA"/>
              </w:rPr>
              <w:t>PODACI O ČLANU</w:t>
            </w:r>
          </w:p>
        </w:tc>
      </w:tr>
      <w:tr>
        <w:trPr>
          <w:trHeight w:val="440" w:hRule="atLeast"/>
        </w:trPr>
        <w:tc>
          <w:tcPr>
            <w:tcW w:w="2065"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Ime i prezime</w:t>
            </w:r>
            <w:r>
              <w:rPr>
                <w:rFonts w:eastAsia="Aptos" w:cs="Times New Roman"/>
                <w:b/>
                <w:bCs/>
                <w:kern w:val="2"/>
                <w:sz w:val="24"/>
                <w:szCs w:val="24"/>
                <w:lang w:val="sr-RS" w:eastAsia="en-US" w:bidi="ar-SA"/>
              </w:rPr>
              <w:t xml:space="preserve"> :</w:t>
            </w:r>
          </w:p>
        </w:tc>
        <w:tc>
          <w:tcPr>
            <w:tcW w:w="8390"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Ivan Berenić</w:t>
            </w:r>
          </w:p>
        </w:tc>
      </w:tr>
      <w:tr>
        <w:trPr>
          <w:trHeight w:val="440" w:hRule="atLeast"/>
        </w:trPr>
        <w:tc>
          <w:tcPr>
            <w:tcW w:w="2065"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 xml:space="preserve">Podtim </w:t>
            </w:r>
            <w:r>
              <w:rPr>
                <w:rFonts w:eastAsia="Aptos" w:cs="Times New Roman"/>
                <w:b/>
                <w:bCs/>
                <w:kern w:val="2"/>
                <w:sz w:val="24"/>
                <w:szCs w:val="24"/>
                <w:lang w:val="en-US" w:eastAsia="en-US" w:bidi="ar-SA"/>
              </w:rPr>
              <w:t>:</w:t>
            </w:r>
          </w:p>
        </w:tc>
        <w:tc>
          <w:tcPr>
            <w:tcW w:w="8390"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Niskonaponska elektronika</w:t>
            </w:r>
            <w:r>
              <w:fldChar w:fldCharType="begin"/>
            </w:r>
            <w:r>
              <w:rPr>
                <w:sz w:val="24"/>
                <w:kern w:val="2"/>
                <w:szCs w:val="24"/>
                <w:rFonts w:eastAsia="Aptos" w:cs="Times New Roman"/>
                <w:lang w:val="sr-Latn-RS" w:eastAsia="en-US" w:bidi="ar-SA"/>
              </w:rPr>
              <w:instrText xml:space="preserve"> XE "(naziv podtima): : : : : : " </w:instrText>
            </w:r>
            <w:r>
              <w:rPr>
                <w:sz w:val="24"/>
                <w:kern w:val="2"/>
                <w:szCs w:val="24"/>
                <w:rFonts w:eastAsia="Aptos" w:cs="Times New Roman"/>
                <w:lang w:val="sr-Latn-RS" w:eastAsia="en-US" w:bidi="ar-SA"/>
              </w:rPr>
              <w:fldChar w:fldCharType="separate"/>
            </w:r>
            <w:r>
              <w:rPr>
                <w:rFonts w:eastAsia="Aptos" w:cs="Times New Roman"/>
                <w:kern w:val="2"/>
                <w:sz w:val="24"/>
                <w:szCs w:val="24"/>
                <w:lang w:val="sr-Latn-RS" w:eastAsia="en-US" w:bidi="ar-SA"/>
              </w:rPr>
            </w:r>
            <w:r>
              <w:rPr>
                <w:sz w:val="24"/>
                <w:kern w:val="2"/>
                <w:szCs w:val="24"/>
                <w:rFonts w:eastAsia="Aptos" w:cs="Times New Roman"/>
                <w:lang w:val="sr-Latn-RS" w:eastAsia="en-US" w:bidi="ar-SA"/>
              </w:rPr>
              <w:fldChar w:fldCharType="end"/>
            </w:r>
          </w:p>
        </w:tc>
      </w:tr>
      <w:tr>
        <w:trPr>
          <w:trHeight w:val="440" w:hRule="atLeast"/>
        </w:trPr>
        <w:tc>
          <w:tcPr>
            <w:tcW w:w="2065"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 xml:space="preserve">Podlider(i) </w:t>
            </w:r>
            <w:r>
              <w:rPr>
                <w:rFonts w:eastAsia="Aptos" w:cs="Times New Roman"/>
                <w:b/>
                <w:bCs/>
                <w:kern w:val="2"/>
                <w:sz w:val="24"/>
                <w:szCs w:val="24"/>
                <w:lang w:val="en-US" w:eastAsia="en-US" w:bidi="ar-SA"/>
              </w:rPr>
              <w:t>:</w:t>
            </w:r>
          </w:p>
        </w:tc>
        <w:tc>
          <w:tcPr>
            <w:tcW w:w="8390"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Ivan Berenić</w:t>
            </w:r>
          </w:p>
        </w:tc>
      </w:tr>
    </w:tbl>
    <w:p>
      <w:pPr>
        <w:pStyle w:val="Normal"/>
        <w:rPr/>
      </w:pPr>
      <w:r>
        <w:rPr/>
      </w:r>
    </w:p>
    <w:p>
      <w:pPr>
        <w:pStyle w:val="Style6"/>
        <w:numPr>
          <w:ilvl w:val="0"/>
          <w:numId w:val="0"/>
        </w:numPr>
        <w:ind w:hanging="0" w:left="0"/>
        <w:rPr/>
      </w:pPr>
      <w:r>
        <w:rPr/>
      </w:r>
    </w:p>
    <w:tbl>
      <w:tblPr>
        <w:tblStyle w:val="Svetlakoordinatnamreatabele"/>
        <w:tblW w:w="104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49"/>
        <w:gridCol w:w="8306"/>
      </w:tblGrid>
      <w:tr>
        <w:trPr>
          <w:trHeight w:val="350" w:hRule="atLeast"/>
        </w:trPr>
        <w:tc>
          <w:tcPr>
            <w:tcW w:w="10455" w:type="dxa"/>
            <w:gridSpan w:val="2"/>
            <w:tcBorders/>
          </w:tcPr>
          <w:p>
            <w:pPr>
              <w:pStyle w:val="Normal"/>
              <w:widowControl/>
              <w:suppressAutoHyphens w:val="true"/>
              <w:spacing w:before="0" w:after="0"/>
              <w:jc w:val="center"/>
              <w:rPr>
                <w:rFonts w:cs="Times New Roman"/>
                <w:b/>
                <w:bCs/>
                <w:lang w:val="sr-Latn-RS"/>
              </w:rPr>
            </w:pPr>
            <w:r>
              <w:rPr>
                <w:rFonts w:eastAsia="Aptos" w:cs="Times New Roman"/>
                <w:b/>
                <w:bCs/>
                <w:kern w:val="2"/>
                <w:sz w:val="24"/>
                <w:szCs w:val="24"/>
                <w:lang w:val="sr-Latn-RS" w:eastAsia="en-US" w:bidi="ar-SA"/>
              </w:rPr>
              <w:t>APSTRAKT</w:t>
            </w:r>
          </w:p>
        </w:tc>
      </w:tr>
      <w:tr>
        <w:trPr>
          <w:trHeight w:val="692" w:hRule="atLeast"/>
        </w:trPr>
        <w:tc>
          <w:tcPr>
            <w:tcW w:w="2149"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Opis problema</w:t>
            </w:r>
            <w:r>
              <w:rPr>
                <w:rFonts w:eastAsia="Aptos" w:cs="Times New Roman"/>
                <w:b/>
                <w:bCs/>
                <w:kern w:val="2"/>
                <w:sz w:val="24"/>
                <w:szCs w:val="24"/>
                <w:lang w:val="en-US" w:eastAsia="en-US" w:bidi="ar-SA"/>
              </w:rPr>
              <w:t xml:space="preserve"> :</w:t>
            </w:r>
          </w:p>
        </w:tc>
        <w:tc>
          <w:tcPr>
            <w:tcW w:w="8306" w:type="dxa"/>
            <w:tcBorders/>
          </w:tcPr>
          <w:p>
            <w:pPr>
              <w:pStyle w:val="Normal"/>
              <w:widowControl/>
              <w:suppressAutoHyphens w:val="true"/>
              <w:spacing w:before="0" w:after="0"/>
              <w:rPr>
                <w:rFonts w:cs="Times New Roman"/>
                <w:lang w:val="sr-Latn-RS"/>
              </w:rPr>
            </w:pPr>
            <w:r>
              <w:rPr>
                <w:rFonts w:eastAsia="Aptos" w:cs="Times New Roman"/>
                <w:kern w:val="2"/>
                <w:sz w:val="24"/>
                <w:szCs w:val="24"/>
                <w:lang w:val="sr-Latn-RS" w:eastAsia="en-US" w:bidi="ar-SA"/>
              </w:rPr>
              <w:t>Električna Formula Student vozila zahtevaju pouzdan sistem za brzo isključivanje tractive sistema u slučaju opasnih stanja ili kvara. Nedostatak efikasnog shutdown kola (SDC) može ugroziti bezbednost vozača, tima i okoline, kao i integritet električnih komponenti vozila.</w:t>
            </w:r>
          </w:p>
        </w:tc>
      </w:tr>
      <w:tr>
        <w:trPr>
          <w:trHeight w:val="440" w:hRule="atLeast"/>
        </w:trPr>
        <w:tc>
          <w:tcPr>
            <w:tcW w:w="2149"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Opis rešenja</w:t>
            </w:r>
            <w:r>
              <w:rPr>
                <w:rFonts w:eastAsia="Aptos" w:cs="Times New Roman"/>
                <w:b/>
                <w:bCs/>
                <w:kern w:val="2"/>
                <w:sz w:val="24"/>
                <w:szCs w:val="24"/>
                <w:lang w:val="en-US" w:eastAsia="en-US" w:bidi="ar-SA"/>
              </w:rPr>
              <w:t xml:space="preserve"> :</w:t>
            </w:r>
          </w:p>
        </w:tc>
        <w:tc>
          <w:tcPr>
            <w:tcW w:w="8306" w:type="dxa"/>
            <w:tcBorders/>
          </w:tcPr>
          <w:p>
            <w:pPr>
              <w:pStyle w:val="Normal"/>
              <w:widowControl/>
              <w:suppressAutoHyphens w:val="true"/>
              <w:spacing w:before="0" w:after="0"/>
              <w:jc w:val="left"/>
              <w:rPr>
                <w:rFonts w:cs="Times New Roman"/>
                <w:lang w:val="sr-Latn-RS"/>
              </w:rPr>
            </w:pPr>
            <w:r>
              <w:rPr>
                <w:rFonts w:eastAsia="Aptos" w:cs="Times New Roman"/>
                <w:kern w:val="2"/>
                <w:sz w:val="24"/>
                <w:szCs w:val="24"/>
                <w:lang w:val="sr-Latn-RS" w:eastAsia="en-US" w:bidi="ar-SA"/>
              </w:rPr>
              <w:t>Implementiran je serijski shutdown sistem koji obuhvata LVMS, TSMS, tri ručna shutdown prekidača, BOTS, inercioni prekidač, BSPD, IMD, AMS, TSAL i sve neophodne interlock linije. Svaka komponenta može samostalno otvoriti SDC u slučaju nebezbednog stanja. Logika lečovanja AMS, BSPD i IMD signala koristi AND i NAND čipove i flip-flop, dok TSAL otvara kolo u slučaju mehaničke greške na AIR-u.</w:t>
            </w:r>
          </w:p>
        </w:tc>
      </w:tr>
      <w:tr>
        <w:trPr>
          <w:trHeight w:val="350" w:hRule="atLeast"/>
        </w:trPr>
        <w:tc>
          <w:tcPr>
            <w:tcW w:w="2149"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Cilj izveštaja</w:t>
            </w:r>
            <w:r>
              <w:rPr>
                <w:rFonts w:eastAsia="Aptos" w:cs="Times New Roman"/>
                <w:b/>
                <w:bCs/>
                <w:kern w:val="2"/>
                <w:sz w:val="24"/>
                <w:szCs w:val="24"/>
                <w:lang w:val="en-US" w:eastAsia="en-US" w:bidi="ar-SA"/>
              </w:rPr>
              <w:t xml:space="preserve"> :</w:t>
            </w:r>
          </w:p>
        </w:tc>
        <w:tc>
          <w:tcPr>
            <w:tcW w:w="8306" w:type="dxa"/>
            <w:tcBorders/>
          </w:tcPr>
          <w:p>
            <w:pPr>
              <w:pStyle w:val="Normal"/>
              <w:widowControl/>
              <w:suppressAutoHyphens w:val="true"/>
              <w:spacing w:before="0" w:after="0"/>
              <w:rPr>
                <w:rFonts w:cs="Times New Roman"/>
                <w:lang w:val="sr-Latn-RS"/>
              </w:rPr>
            </w:pPr>
            <w:r>
              <w:rPr>
                <w:rFonts w:eastAsia="Aptos" w:cs="Times New Roman"/>
                <w:kern w:val="2"/>
                <w:sz w:val="24"/>
                <w:szCs w:val="24"/>
                <w:lang w:val="sr-Latn-RS" w:eastAsia="en-US" w:bidi="ar-SA"/>
              </w:rPr>
              <w:t>Cilj izveštaja je detaljna analiza, opis implementacije i verifikacija funkcionalnosti shutdown kola u električnom Formula Student vozilu, sa naglaskom na bezbednost, pouzdanost i usklađenost sa relevantnim pravilima.</w:t>
            </w:r>
          </w:p>
        </w:tc>
      </w:tr>
      <w:tr>
        <w:trPr>
          <w:trHeight w:val="350" w:hRule="atLeast"/>
        </w:trPr>
        <w:tc>
          <w:tcPr>
            <w:tcW w:w="2149" w:type="dxa"/>
            <w:tcBorders/>
          </w:tcPr>
          <w:p>
            <w:pPr>
              <w:pStyle w:val="Normal"/>
              <w:widowControl/>
              <w:suppressAutoHyphens w:val="true"/>
              <w:spacing w:before="0" w:after="0"/>
              <w:jc w:val="right"/>
              <w:rPr>
                <w:rFonts w:cs="Times New Roman"/>
                <w:b/>
                <w:bCs/>
                <w:lang w:val="sr-RS"/>
              </w:rPr>
            </w:pPr>
            <w:r>
              <w:rPr>
                <w:rFonts w:eastAsia="Aptos" w:cs="Times New Roman"/>
                <w:b/>
                <w:bCs/>
                <w:kern w:val="2"/>
                <w:sz w:val="24"/>
                <w:szCs w:val="24"/>
                <w:lang w:val="sr-Latn-RS" w:eastAsia="en-US" w:bidi="ar-SA"/>
              </w:rPr>
              <w:t>Datum kreiranja</w:t>
            </w:r>
            <w:r>
              <w:rPr>
                <w:rFonts w:eastAsia="Aptos" w:cs="Times New Roman"/>
                <w:b/>
                <w:bCs/>
                <w:kern w:val="2"/>
                <w:sz w:val="24"/>
                <w:szCs w:val="24"/>
                <w:lang w:val="sr-RS" w:eastAsia="en-US" w:bidi="ar-SA"/>
              </w:rPr>
              <w:t xml:space="preserve"> :</w:t>
            </w:r>
          </w:p>
        </w:tc>
        <w:tc>
          <w:tcPr>
            <w:tcW w:w="8306"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14.3.2026.</w:t>
            </w:r>
          </w:p>
        </w:tc>
      </w:tr>
      <w:tr>
        <w:trPr>
          <w:trHeight w:val="350" w:hRule="atLeast"/>
        </w:trPr>
        <w:tc>
          <w:tcPr>
            <w:tcW w:w="2149" w:type="dxa"/>
            <w:tcBorders/>
          </w:tcPr>
          <w:p>
            <w:pPr>
              <w:pStyle w:val="Normal"/>
              <w:widowControl/>
              <w:suppressAutoHyphens w:val="true"/>
              <w:spacing w:before="0" w:after="0"/>
              <w:jc w:val="right"/>
              <w:rPr>
                <w:rFonts w:cs="Times New Roman"/>
                <w:b/>
                <w:bCs/>
                <w:lang w:val="sr-RS"/>
              </w:rPr>
            </w:pPr>
            <w:r>
              <w:rPr>
                <w:rFonts w:eastAsia="Aptos" w:cs="Times New Roman"/>
                <w:b/>
                <w:bCs/>
                <w:kern w:val="2"/>
                <w:sz w:val="24"/>
                <w:szCs w:val="24"/>
                <w:lang w:val="sr-Latn-RS" w:eastAsia="en-US" w:bidi="ar-SA"/>
              </w:rPr>
              <w:t>Datum poslednje izmene</w:t>
            </w:r>
            <w:r>
              <w:rPr>
                <w:rFonts w:eastAsia="Aptos" w:cs="Times New Roman"/>
                <w:b/>
                <w:bCs/>
                <w:kern w:val="2"/>
                <w:sz w:val="24"/>
                <w:szCs w:val="24"/>
                <w:lang w:val="sr-RS" w:eastAsia="en-US" w:bidi="ar-SA"/>
              </w:rPr>
              <w:t xml:space="preserve"> :</w:t>
            </w:r>
          </w:p>
        </w:tc>
        <w:tc>
          <w:tcPr>
            <w:tcW w:w="8306"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6.5.2026.</w:t>
            </w:r>
          </w:p>
        </w:tc>
      </w:tr>
      <w:tr>
        <w:trPr>
          <w:trHeight w:val="350" w:hRule="atLeast"/>
        </w:trPr>
        <w:tc>
          <w:tcPr>
            <w:tcW w:w="2149" w:type="dxa"/>
            <w:tcBorders/>
          </w:tcPr>
          <w:p>
            <w:pPr>
              <w:pStyle w:val="Normal"/>
              <w:widowControl/>
              <w:suppressAutoHyphens w:val="true"/>
              <w:spacing w:before="0" w:after="0"/>
              <w:jc w:val="right"/>
              <w:rPr>
                <w:rFonts w:cs="Times New Roman"/>
                <w:b/>
                <w:bCs/>
                <w:lang w:val="sr-RS"/>
              </w:rPr>
            </w:pPr>
            <w:r>
              <w:rPr>
                <w:rFonts w:eastAsia="Aptos" w:cs="Times New Roman"/>
                <w:b/>
                <w:bCs/>
                <w:kern w:val="2"/>
                <w:sz w:val="24"/>
                <w:szCs w:val="24"/>
                <w:lang w:val="sr-Latn-RS" w:eastAsia="en-US" w:bidi="ar-SA"/>
              </w:rPr>
              <w:t>Sezona</w:t>
            </w:r>
            <w:r>
              <w:rPr>
                <w:rFonts w:eastAsia="Aptos" w:cs="Times New Roman"/>
                <w:b/>
                <w:bCs/>
                <w:kern w:val="2"/>
                <w:sz w:val="24"/>
                <w:szCs w:val="24"/>
                <w:lang w:val="sr-RS" w:eastAsia="en-US" w:bidi="ar-SA"/>
              </w:rPr>
              <w:t>:</w:t>
            </w:r>
          </w:p>
        </w:tc>
        <w:tc>
          <w:tcPr>
            <w:tcW w:w="8306" w:type="dxa"/>
            <w:tcBorders/>
          </w:tcPr>
          <w:p>
            <w:pPr>
              <w:pStyle w:val="Normal"/>
              <w:widowControl/>
              <w:suppressAutoHyphens w:val="true"/>
              <w:spacing w:before="0" w:after="0"/>
              <w:jc w:val="right"/>
              <w:rPr>
                <w:rFonts w:cs="Times New Roman"/>
                <w:lang w:val="sr-RS"/>
              </w:rPr>
            </w:pPr>
            <w:r>
              <w:rPr>
                <w:rFonts w:eastAsia="Aptos" w:cs="Times New Roman"/>
                <w:kern w:val="2"/>
                <w:sz w:val="24"/>
                <w:szCs w:val="24"/>
                <w:lang w:val="sr-RS" w:eastAsia="en-US" w:bidi="ar-SA"/>
              </w:rPr>
              <w:t>2025/2026</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0" w:top="720" w:footer="720" w:bottom="777"/>
          <w:pgNumType w:fmt="decimal"/>
          <w:formProt w:val="false"/>
          <w:titlePg/>
          <w:textDirection w:val="lrTb"/>
          <w:docGrid w:type="default" w:linePitch="360" w:charSpace="0"/>
        </w:sectPr>
      </w:pPr>
    </w:p>
    <w:p>
      <w:pPr>
        <w:pStyle w:val="Style6"/>
        <w:numPr>
          <w:ilvl w:val="0"/>
          <w:numId w:val="1"/>
        </w:numPr>
        <w:rPr/>
      </w:pPr>
      <w:r>
        <w:rPr>
          <w:lang w:val="sr-Latn-RS"/>
        </w:rPr>
        <w:t>Uvod</w:t>
      </w:r>
    </w:p>
    <w:p>
      <w:pPr>
        <w:pStyle w:val="Normal"/>
        <w:rPr>
          <w:lang w:val="sr-Latn-RS"/>
        </w:rPr>
      </w:pPr>
      <w:r>
        <w:rPr>
          <w:rFonts w:eastAsia="Times New Roman" w:cs="Times New Roman"/>
          <w:b/>
          <w:bCs/>
          <w:kern w:val="0"/>
          <w:lang w:eastAsia="sr-Latn-RS"/>
          <w14:ligatures w14:val="none"/>
        </w:rPr>
        <w:t>Shutdown Circuit (SDC)</w:t>
      </w:r>
      <w:r>
        <w:rPr>
          <w:rFonts w:eastAsia="Times New Roman" w:cs="Times New Roman"/>
          <w:kern w:val="0"/>
          <w:lang w:eastAsia="sr-Latn-RS"/>
          <w14:ligatures w14:val="none"/>
        </w:rPr>
        <w:t xml:space="preserve"> predstavlja jedan od najvažnijih bezbednosnih sistema na električnom Formula</w:t>
      </w:r>
      <w:r>
        <w:rPr>
          <w:rFonts w:eastAsia="Times New Roman" w:cs="Times New Roman"/>
          <w:kern w:val="0"/>
          <w:lang w:val="sr-Latn-RS" w:eastAsia="sr-Latn-RS"/>
          <w14:ligatures w14:val="none"/>
        </w:rPr>
        <w:t xml:space="preserve"> </w:t>
      </w:r>
      <w:r>
        <w:rPr>
          <w:lang w:val="sr-Latn-RS"/>
        </w:rPr>
        <w:t>Student vozilu. Njegova osnovna funkcija je da omogući trenutno i pouzdano isključivanje tractive sistema (TS) u slučaju opasnih stanja ili kvarova, čime se obezbeđuje sigurnost vozača, tima i svih osoba u blizini vozila. SDC direktno kontroliše napajanje kalemova glavnih kontaktora (AIR) i pre-charge kola, pa svako njegovo otvaranje dovodi do prekida napajanja visokonaponskog sistema i brzog smanjenja napona na bezbedan nivo.</w:t>
      </w:r>
    </w:p>
    <w:p>
      <w:pPr>
        <w:pStyle w:val="Normal"/>
        <w:rPr>
          <w:lang w:val="sr-Latn-RS"/>
        </w:rPr>
      </w:pPr>
      <w:r>
        <w:rPr>
          <w:lang w:val="sr-Latn-RS"/>
        </w:rPr>
        <w:t>Prema pravilima Formula Student Electric kategorije, SDC je realizovan kao serijska veza više sigurnosnih elemenata koji nadgledaju različite kritične uslove rada vozila. U ovu serijsku vezu spadaju:</w:t>
      </w:r>
    </w:p>
    <w:p>
      <w:pPr>
        <w:pStyle w:val="ListParagraph"/>
        <w:numPr>
          <w:ilvl w:val="0"/>
          <w:numId w:val="8"/>
        </w:numPr>
        <w:rPr>
          <w:lang w:val="sr-Latn-RS"/>
        </w:rPr>
      </w:pPr>
      <w:r>
        <w:rPr>
          <w:lang w:val="sr-Latn-RS"/>
        </w:rPr>
        <w:t xml:space="preserve">najmanje dva master prekidača, </w:t>
      </w:r>
    </w:p>
    <w:p>
      <w:pPr>
        <w:pStyle w:val="ListParagraph"/>
        <w:numPr>
          <w:ilvl w:val="0"/>
          <w:numId w:val="8"/>
        </w:numPr>
        <w:rPr>
          <w:lang w:val="sr-Latn-RS"/>
        </w:rPr>
      </w:pPr>
      <w:r>
        <w:rPr>
          <w:lang w:val="sr-Latn-RS"/>
        </w:rPr>
        <w:t xml:space="preserve">tri shutdown dugmeta, </w:t>
      </w:r>
    </w:p>
    <w:p>
      <w:pPr>
        <w:pStyle w:val="ListParagraph"/>
        <w:numPr>
          <w:ilvl w:val="0"/>
          <w:numId w:val="8"/>
        </w:numPr>
        <w:rPr>
          <w:lang w:val="sr-Latn-RS"/>
        </w:rPr>
      </w:pPr>
      <w:r>
        <w:rPr>
          <w:lang w:val="sr-Latn-RS"/>
        </w:rPr>
        <w:t xml:space="preserve">Brake Over-Travel Switch (BOTS), </w:t>
      </w:r>
    </w:p>
    <w:p>
      <w:pPr>
        <w:pStyle w:val="ListParagraph"/>
        <w:numPr>
          <w:ilvl w:val="0"/>
          <w:numId w:val="8"/>
        </w:numPr>
        <w:rPr>
          <w:lang w:val="sr-Latn-RS"/>
        </w:rPr>
      </w:pPr>
      <w:r>
        <w:rPr>
          <w:lang w:val="sr-Latn-RS"/>
        </w:rPr>
        <w:t xml:space="preserve">Insulation Monitoring Device (IMD), </w:t>
      </w:r>
    </w:p>
    <w:p>
      <w:pPr>
        <w:pStyle w:val="ListParagraph"/>
        <w:numPr>
          <w:ilvl w:val="0"/>
          <w:numId w:val="8"/>
        </w:numPr>
        <w:rPr>
          <w:lang w:val="sr-Latn-RS"/>
        </w:rPr>
      </w:pPr>
      <w:r>
        <w:rPr>
          <w:lang w:val="sr-Latn-RS"/>
        </w:rPr>
        <w:t xml:space="preserve">inercioni prekidač, </w:t>
      </w:r>
    </w:p>
    <w:p>
      <w:pPr>
        <w:pStyle w:val="ListParagraph"/>
        <w:numPr>
          <w:ilvl w:val="0"/>
          <w:numId w:val="8"/>
        </w:numPr>
        <w:rPr>
          <w:lang w:val="sr-Latn-RS"/>
        </w:rPr>
      </w:pPr>
      <w:r>
        <w:rPr>
          <w:lang w:val="sr-Latn-RS"/>
        </w:rPr>
        <w:t xml:space="preserve">Brake System Plausibility Device (BSPD), </w:t>
      </w:r>
    </w:p>
    <w:p>
      <w:pPr>
        <w:pStyle w:val="ListParagraph"/>
        <w:numPr>
          <w:ilvl w:val="0"/>
          <w:numId w:val="8"/>
        </w:numPr>
        <w:rPr>
          <w:lang w:val="sr-Latn-RS"/>
        </w:rPr>
      </w:pPr>
      <w:r>
        <w:rPr>
          <w:lang w:val="sr-Latn-RS"/>
        </w:rPr>
        <w:t xml:space="preserve">svi potrebni interlockovi i </w:t>
      </w:r>
    </w:p>
    <w:p>
      <w:pPr>
        <w:pStyle w:val="ListParagraph"/>
        <w:numPr>
          <w:ilvl w:val="0"/>
          <w:numId w:val="8"/>
        </w:numPr>
        <w:rPr>
          <w:lang w:val="sr-Latn-RS"/>
        </w:rPr>
      </w:pPr>
      <w:r>
        <w:rPr>
          <w:lang w:val="sr-Latn-RS"/>
        </w:rPr>
        <w:t xml:space="preserve">Accumulator Management System (AMS). </w:t>
      </w:r>
    </w:p>
    <w:p>
      <w:pPr>
        <w:pStyle w:val="Normal"/>
        <w:rPr>
          <w:lang w:val="sr-Latn-RS"/>
        </w:rPr>
      </w:pPr>
      <w:r>
        <w:rPr>
          <w:lang w:val="sr-Latn-RS"/>
        </w:rPr>
        <w:t>Svaki od ovih elemenata ima mogućnost da samostalno otvori SDC u slučaju detekcije nebezbednog stanja.</w:t>
      </w:r>
    </w:p>
    <w:p>
      <w:pPr>
        <w:pStyle w:val="Normal"/>
        <w:rPr>
          <w:lang w:val="sr-Latn-RS"/>
        </w:rPr>
      </w:pPr>
      <w:r>
        <w:rPr>
          <w:lang w:val="sr-Latn-RS"/>
        </w:rPr>
        <w:t xml:space="preserve">U ovom rešenju, kao deo SDC-a uključen je i Tracative System Active Light (TSAL). Razlog za uključivanje objašnjen je u podeljku </w:t>
      </w:r>
      <w:r>
        <w:rPr>
          <w:i/>
          <w:iCs/>
          <w:lang w:val="sr-Latn-RS"/>
        </w:rPr>
        <w:t>Detalji implementacije</w:t>
      </w:r>
      <w:r>
        <w:rPr>
          <w:lang w:val="sr-Latn-RS"/>
        </w:rPr>
        <w:t>.</w:t>
      </w:r>
    </w:p>
    <w:p>
      <w:pPr>
        <w:pStyle w:val="Normal"/>
        <w:jc w:val="center"/>
        <w:rPr>
          <w:rFonts w:cs="Times New Roman"/>
          <w:lang w:val="sr-Latn-RS"/>
        </w:rPr>
      </w:pPr>
      <w:r>
        <w:rPr>
          <w:rFonts w:cs="Times New Roman"/>
          <w:lang w:val="sr-Latn-RS"/>
        </w:rP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5012055" cy="4140200"/>
            <wp:effectExtent l="0" t="0" r="0" b="0"/>
            <wp:wrapTopAndBottom/>
            <wp:docPr id="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 descr=""/>
                    <pic:cNvPicPr>
                      <a:picLocks noChangeAspect="1" noChangeArrowheads="1"/>
                    </pic:cNvPicPr>
                  </pic:nvPicPr>
                  <pic:blipFill>
                    <a:blip r:embed="rId8"/>
                    <a:stretch>
                      <a:fillRect/>
                    </a:stretch>
                  </pic:blipFill>
                  <pic:spPr bwMode="auto">
                    <a:xfrm>
                      <a:off x="0" y="0"/>
                      <a:ext cx="5012055" cy="4140200"/>
                    </a:xfrm>
                    <a:prstGeom prst="rect">
                      <a:avLst/>
                    </a:prstGeom>
                  </pic:spPr>
                </pic:pic>
              </a:graphicData>
            </a:graphic>
          </wp:anchor>
        </w:drawing>
      </w:r>
    </w:p>
    <w:p>
      <w:pPr>
        <w:pStyle w:val="Normal"/>
        <w:jc w:val="center"/>
        <w:rPr>
          <w:rFonts w:cs="Times New Roman"/>
          <w:lang w:val="sr-Latn-RS"/>
        </w:rPr>
      </w:pPr>
      <w:r>
        <w:rPr>
          <w:rFonts w:cs="Times New Roman"/>
          <w:lang w:val="sr-Latn-RS"/>
        </w:rPr>
        <w:t>Slika 1.1 Blok dijagram SDC pločice</w:t>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Style6"/>
        <w:numPr>
          <w:ilvl w:val="0"/>
          <w:numId w:val="1"/>
        </w:numPr>
        <w:rPr/>
      </w:pPr>
      <w:r>
        <w:rPr>
          <w:lang w:val="sr-Latn-RS"/>
        </w:rPr>
        <w:t>Pravilnik</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0"/>
        <w:gridCol w:w="8765"/>
      </w:tblGrid>
      <w:tr>
        <w:trPr/>
        <w:tc>
          <w:tcPr>
            <w:tcW w:w="1690" w:type="dxa"/>
            <w:tcBorders/>
          </w:tcPr>
          <w:p>
            <w:pPr>
              <w:pStyle w:val="Normal"/>
              <w:widowControl/>
              <w:suppressAutoHyphens w:val="true"/>
              <w:spacing w:lineRule="auto" w:line="276" w:before="0" w:after="0"/>
              <w:jc w:val="center"/>
              <w:rPr>
                <w:rFonts w:cs="Times New Roman"/>
                <w:b/>
                <w:bCs/>
                <w:lang w:val="sr-Latn-RS"/>
              </w:rPr>
            </w:pPr>
            <w:r>
              <w:rPr>
                <w:rFonts w:cs="Times New Roman"/>
                <w:b/>
                <w:bCs/>
                <w:lang w:val="sr-Latn-RS"/>
              </w:rPr>
            </w:r>
          </w:p>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EV4.5.10</w:t>
            </w:r>
          </w:p>
        </w:tc>
        <w:tc>
          <w:tcPr>
            <w:tcW w:w="8765"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Svaki TS konektor koji se nalazi izvan TS kućišta mora sadržati pilot kontakt / interlock liniju koja je deo SDC-a. TS kućišta koja se koriste samo da bi se izbegli interlockovi nisu dozvoljena.</w:t>
            </w:r>
          </w:p>
        </w:tc>
      </w:tr>
      <w:tr>
        <w:trPr>
          <w:trHeight w:val="707" w:hRule="atLeast"/>
        </w:trPr>
        <w:tc>
          <w:tcPr>
            <w:tcW w:w="1690"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EV4.11.4</w:t>
            </w:r>
          </w:p>
        </w:tc>
        <w:tc>
          <w:tcPr>
            <w:tcW w:w="8765"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Zatvaranje SDC-a bilo kojim delom definisanim u EV6.1.2 ne sme ponovo aktivirati TS. Za aktivaciju mora biti potrebna dodatna radnja.</w:t>
            </w:r>
          </w:p>
        </w:tc>
      </w:tr>
      <w:tr>
        <w:trPr/>
        <w:tc>
          <w:tcPr>
            <w:tcW w:w="1690"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EV4.11.8</w:t>
            </w:r>
          </w:p>
        </w:tc>
        <w:tc>
          <w:tcPr>
            <w:tcW w:w="8765"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R2D režim mora se odmah napustiti kada se SDC otvori.</w:t>
            </w:r>
          </w:p>
        </w:tc>
      </w:tr>
      <w:tr>
        <w:trPr/>
        <w:tc>
          <w:tcPr>
            <w:tcW w:w="1690"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EV5.8.7</w:t>
            </w:r>
          </w:p>
        </w:tc>
        <w:tc>
          <w:tcPr>
            <w:tcW w:w="8765"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AMS mora otvoriti SDC ako se kritična vrednost napona, temperature ili struje, prema specifikaciji proizvođača ćelije ili ovim pravilima, pojavljuje kontinuirano duže od 500 ms za napon i struju, a 1 s za temperaturu. Tačnost merenja, šum i frekvencija uzorkovanja moraju se uzeti u obzir.</w:t>
            </w:r>
          </w:p>
        </w:tc>
      </w:tr>
      <w:tr>
        <w:trPr/>
        <w:tc>
          <w:tcPr>
            <w:tcW w:w="1690"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EV5.8.9</w:t>
            </w:r>
          </w:p>
        </w:tc>
        <w:tc>
          <w:tcPr>
            <w:tcW w:w="8765"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Crvena indikatorska lampica u kokpitu, jasno vidljiva iznutra i spolja čak i na jakom suncu, označena natpisom „AMS“, mora da se uključi ako i samo ako AMS otvori SDC. Lampica mora ostati uključena dok se stanje greške ručno ne resetuje. Signali koji upravljaju ovom lampicom su SCS.</w:t>
            </w:r>
          </w:p>
        </w:tc>
      </w:tr>
      <w:tr>
        <w:trPr/>
        <w:tc>
          <w:tcPr>
            <w:tcW w:w="1690" w:type="dxa"/>
            <w:tcBorders/>
          </w:tcPr>
          <w:p>
            <w:pPr>
              <w:pStyle w:val="Normal"/>
              <w:widowControl/>
              <w:suppressAutoHyphens w:val="true"/>
              <w:spacing w:lineRule="auto" w:line="276" w:before="0" w:after="160"/>
              <w:jc w:val="center"/>
              <w:rPr>
                <w:rFonts w:cs="Times New Roman"/>
                <w:lang w:val="sr-Latn-RS"/>
              </w:rPr>
            </w:pPr>
            <w:r>
              <w:rPr>
                <w:rFonts w:eastAsia="Aptos" w:cs="Times New Roman"/>
                <w:b/>
                <w:bCs/>
                <w:kern w:val="2"/>
                <w:sz w:val="24"/>
                <w:szCs w:val="24"/>
                <w:lang w:val="sr-Latn-RS" w:eastAsia="en-US" w:bidi="ar-SA"/>
              </w:rPr>
              <w:t>EV5.8.10</w:t>
            </w:r>
          </w:p>
        </w:tc>
        <w:tc>
          <w:tcPr>
            <w:tcW w:w="8765"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Signali AMS-a su System Critical Signals. Gubitak mernog voda mora rezultovati otvaranjem SDC-a.</w:t>
            </w:r>
          </w:p>
        </w:tc>
      </w:tr>
      <w:tr>
        <w:trPr/>
        <w:tc>
          <w:tcPr>
            <w:tcW w:w="1690"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EV6.1.1</w:t>
            </w:r>
          </w:p>
        </w:tc>
        <w:tc>
          <w:tcPr>
            <w:tcW w:w="8765"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Shutdown Circuit (SDC) direktno vodi napajanje za AIR kontaktore i pre-charge kolo.</w:t>
            </w:r>
          </w:p>
        </w:tc>
      </w:tr>
      <w:tr>
        <w:trPr/>
        <w:tc>
          <w:tcPr>
            <w:tcW w:w="1690"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EV6.1.2</w:t>
            </w:r>
          </w:p>
        </w:tc>
        <w:tc>
          <w:tcPr>
            <w:tcW w:w="8765"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SDC je definisan kao serijska veza sledećih elemenata najmanje dva master prekidača, tri shutdown dugmeta, BOTS, IMD, inercijski prekidač, BSPD, svi potrebni interlockovi i AMS.</w:t>
            </w:r>
          </w:p>
        </w:tc>
      </w:tr>
      <w:tr>
        <w:trPr/>
        <w:tc>
          <w:tcPr>
            <w:tcW w:w="1690"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EV6.1.3</w:t>
            </w:r>
          </w:p>
        </w:tc>
        <w:tc>
          <w:tcPr>
            <w:tcW w:w="8765"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Svi delovi SDC-a iz EV6.1.2 moraju biti na high-side vezi napajanja AIR kalemova i pre-charge kola.</w:t>
            </w:r>
          </w:p>
        </w:tc>
      </w:tr>
      <w:tr>
        <w:trPr/>
        <w:tc>
          <w:tcPr>
            <w:tcW w:w="1690"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EV6.1.4</w:t>
            </w:r>
          </w:p>
          <w:p>
            <w:pPr>
              <w:pStyle w:val="Normal"/>
              <w:widowControl/>
              <w:suppressAutoHyphens w:val="true"/>
              <w:spacing w:lineRule="auto" w:line="276" w:before="0" w:after="0"/>
              <w:jc w:val="center"/>
              <w:rPr>
                <w:rFonts w:cs="Times New Roman"/>
                <w:b/>
                <w:bCs/>
                <w:lang w:val="sr-Latn-RS"/>
              </w:rPr>
            </w:pPr>
            <w:r>
              <w:rPr>
                <w:rFonts w:cs="Times New Roman"/>
                <w:b/>
                <w:bCs/>
                <w:lang w:val="sr-Latn-RS"/>
              </w:rPr>
            </w:r>
          </w:p>
        </w:tc>
        <w:tc>
          <w:tcPr>
            <w:tcW w:w="8765"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TSMS mora biti poslednji prekidač pre AIR-ova, osim pre-charge kola i hardverskih interlockova.</w:t>
            </w:r>
          </w:p>
        </w:tc>
      </w:tr>
      <w:tr>
        <w:trPr/>
        <w:tc>
          <w:tcPr>
            <w:tcW w:w="1690"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lang w:val="sr-Latn-RS"/>
              </w:rPr>
            </w:pPr>
            <w:r>
              <w:rPr>
                <w:rFonts w:eastAsia="Aptos" w:cs="Times New Roman"/>
                <w:b/>
                <w:bCs/>
                <w:kern w:val="2"/>
                <w:sz w:val="24"/>
                <w:szCs w:val="24"/>
                <w:lang w:val="sr-Latn-RS" w:eastAsia="en-US" w:bidi="ar-SA"/>
              </w:rPr>
              <w:t>EV6.1.5</w:t>
            </w:r>
          </w:p>
        </w:tc>
        <w:tc>
          <w:tcPr>
            <w:tcW w:w="8765"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Ako se SDC otvori, TS mora biti ugašen otvaranjem svih AIR kontaktora i otvaranjem pre-charge releja. Napon u TS mora pasti ispod 60 VDC i 50 VAC RMS za manje od 5 s. Sva struja iz TS akumulatora mora odmah prestati. Otvaranje AIR-ova može biti odloženo najviše 250 ms kako bi se signal poslao kontrolerima motora i smanjila struja pre prekidanja. Napajanje AIR-ova mora biti naglo prekinuto pre nego što napon padne ispod minimalnog radnog napona kontaktora.</w:t>
            </w:r>
          </w:p>
        </w:tc>
      </w:tr>
      <w:tr>
        <w:trPr/>
        <w:tc>
          <w:tcPr>
            <w:tcW w:w="1690"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lang w:val="sr-Latn-RS"/>
              </w:rPr>
            </w:pPr>
            <w:r>
              <w:rPr>
                <w:rFonts w:eastAsia="Aptos" w:cs="Times New Roman"/>
                <w:b/>
                <w:bCs/>
                <w:kern w:val="2"/>
                <w:sz w:val="24"/>
                <w:szCs w:val="24"/>
                <w:lang w:val="sr-Latn-RS" w:eastAsia="en-US" w:bidi="ar-SA"/>
              </w:rPr>
              <w:t>EV6.1.6</w:t>
            </w:r>
          </w:p>
        </w:tc>
        <w:tc>
          <w:tcPr>
            <w:tcW w:w="8765" w:type="dxa"/>
            <w:tcBorders/>
          </w:tcPr>
          <w:p>
            <w:pPr>
              <w:pStyle w:val="Normal"/>
              <w:widowControl/>
              <w:suppressAutoHyphens w:val="true"/>
              <w:spacing w:lineRule="auto" w:line="276" w:before="0" w:after="160"/>
              <w:jc w:val="left"/>
              <w:rPr>
                <w:rFonts w:cs="Times New Roman"/>
                <w:lang w:val="sr-Latn-RS"/>
              </w:rPr>
            </w:pPr>
            <w:r>
              <w:rPr>
                <w:rFonts w:eastAsia="Aptos" w:cs="Times New Roman"/>
                <w:kern w:val="2"/>
                <w:sz w:val="24"/>
                <w:szCs w:val="24"/>
                <w:lang w:val="sr-Latn-RS" w:eastAsia="en-US" w:bidi="ar-SA"/>
              </w:rPr>
              <w:t>Ako SDC otvori AMS ili IMD, on mora ostati zaključan u otvorenom stanju (lečovan) putem neprogramabilne logike. Resetovanje je moguće samo ručno od strane osobe kod vozila koja nije vozač.</w:t>
            </w:r>
          </w:p>
        </w:tc>
      </w:tr>
      <w:tr>
        <w:trPr/>
        <w:tc>
          <w:tcPr>
            <w:tcW w:w="1690" w:type="dxa"/>
            <w:tcBorders/>
          </w:tcPr>
          <w:p>
            <w:pPr>
              <w:pStyle w:val="Normal"/>
              <w:widowControl/>
              <w:suppressAutoHyphens w:val="true"/>
              <w:spacing w:lineRule="auto" w:line="276" w:before="0" w:after="0"/>
              <w:rPr>
                <w:rFonts w:cs="Times New Roman"/>
                <w:b/>
                <w:bCs/>
                <w:lang w:val="sr-Latn-RS"/>
              </w:rPr>
            </w:pPr>
            <w:r>
              <w:rPr>
                <w:rFonts w:cs="Times New Roman"/>
                <w:b/>
                <w:bCs/>
                <w:lang w:val="sr-Latn-RS"/>
              </w:rPr>
            </w:r>
          </w:p>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EV6.1.7</w:t>
            </w:r>
          </w:p>
        </w:tc>
        <w:tc>
          <w:tcPr>
            <w:tcW w:w="8765" w:type="dxa"/>
            <w:tcBorders/>
          </w:tcPr>
          <w:p>
            <w:pPr>
              <w:pStyle w:val="Normal"/>
              <w:widowControl/>
              <w:suppressAutoHyphens w:val="true"/>
              <w:spacing w:lineRule="auto" w:line="276" w:before="0" w:after="160"/>
              <w:jc w:val="left"/>
              <w:rPr>
                <w:rFonts w:cs="Times New Roman"/>
                <w:lang w:val="sr-Latn-RS"/>
              </w:rPr>
            </w:pPr>
            <w:r>
              <w:rPr>
                <w:rFonts w:eastAsia="Aptos" w:cs="Times New Roman"/>
                <w:kern w:val="2"/>
                <w:sz w:val="24"/>
                <w:szCs w:val="24"/>
                <w:lang w:val="sr-Latn-RS" w:eastAsia="en-US" w:bidi="ar-SA"/>
              </w:rPr>
              <w:t>Sva kola koja su deo SDC-a moraju biti projektovana tako da u nepobuđenom ili odspojenom stanju otvaraju SDC.</w:t>
            </w:r>
          </w:p>
        </w:tc>
      </w:tr>
      <w:tr>
        <w:trPr>
          <w:trHeight w:val="707" w:hRule="atLeast"/>
        </w:trPr>
        <w:tc>
          <w:tcPr>
            <w:tcW w:w="1690"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EV6.1.8</w:t>
            </w:r>
          </w:p>
        </w:tc>
        <w:tc>
          <w:tcPr>
            <w:tcW w:w="8765" w:type="dxa"/>
            <w:tcBorders/>
          </w:tcPr>
          <w:p>
            <w:pPr>
              <w:pStyle w:val="Normal"/>
              <w:widowControl/>
              <w:suppressAutoHyphens w:val="true"/>
              <w:spacing w:lineRule="auto" w:line="276" w:before="0" w:after="160"/>
              <w:jc w:val="left"/>
              <w:rPr>
                <w:rFonts w:cs="Times New Roman"/>
                <w:lang w:val="sr-Latn-RS"/>
              </w:rPr>
            </w:pPr>
            <w:r>
              <w:rPr>
                <w:rFonts w:eastAsia="Aptos" w:cs="Times New Roman"/>
                <w:kern w:val="2"/>
                <w:sz w:val="24"/>
                <w:szCs w:val="24"/>
                <w:lang w:val="sr-Latn-RS" w:eastAsia="en-US" w:bidi="ar-SA"/>
              </w:rPr>
              <w:t>Mora biti moguće demonstrirati da sve funkcije SDC-a rade ispravno, uključujući sve interlockove.</w:t>
            </w:r>
          </w:p>
        </w:tc>
      </w:tr>
    </w:tbl>
    <w:p>
      <w:pPr>
        <w:pStyle w:val="Normal"/>
        <w:spacing w:lineRule="auto" w:line="276"/>
        <w:jc w:val="left"/>
        <w:rPr>
          <w:rFonts w:cs="Times New Roman"/>
          <w:lang w:val="sr-Latn-RS"/>
        </w:rPr>
      </w:pPr>
      <w:r>
        <w:rPr>
          <w:rFonts w:cs="Times New Roman"/>
          <w:lang w:val="sr-Latn-RS"/>
        </w:rPr>
      </w:r>
    </w:p>
    <w:p>
      <w:pPr>
        <w:pStyle w:val="Normal"/>
        <w:spacing w:lineRule="auto" w:line="276"/>
        <w:jc w:val="left"/>
        <w:rPr>
          <w:rFonts w:cs="Times New Roman"/>
          <w:lang w:val="sr-Latn-RS"/>
        </w:rPr>
      </w:pPr>
      <w:r>
        <w:rPr>
          <w:rFonts w:cs="Times New Roman"/>
          <w:lang w:val="sr-Latn-RS"/>
        </w:rPr>
      </w:r>
    </w:p>
    <w:tbl>
      <w:tblPr>
        <w:tblStyle w:val="Koordinatnamreatabele"/>
        <w:tblW w:w="192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8759"/>
        <w:gridCol w:w="8761"/>
      </w:tblGrid>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EV6.1.9</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Svaki sistem koji mora ili može otvoriti SDC mora imati sopstveni neprogramabilni izlazni stepen (power stage). Taj stepen mora moći da podnese SDC struju (npr. inrush struju AIR-a) i  biti projektovan tako da kvar ne može vratiti električnu energiju u SDC.</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br/>
              <w:t>EV6.1.10</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Sledeći elementi ne smeju delovati preko power stage-a:  shutdown dugmad, BOTS, TSMS i svi interlockovi.</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EV6.1.11</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Svi signali koji utiču na SDC su System Critical Signals (SCS).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EV6.2.2</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en-US" w:eastAsia="en-US" w:bidi="ar-SA"/>
              </w:rPr>
              <w:t>TSMS mora biti opremljen mogućnošću „lockout/tagout” zaključavanja kako bi se sprečilo slučajno aktiviranje TS-a.</w:t>
            </w:r>
          </w:p>
        </w:tc>
        <w:tc>
          <w:tcPr>
            <w:tcW w:w="8761" w:type="dxa"/>
            <w:tcBorders/>
          </w:tcPr>
          <w:p>
            <w:pPr>
              <w:pStyle w:val="Normal"/>
              <w:widowControl/>
              <w:suppressAutoHyphens w:val="true"/>
              <w:spacing w:lineRule="auto" w:line="276" w:before="0" w:after="0"/>
              <w:jc w:val="left"/>
              <w:rPr>
                <w:rFonts w:cs="Times New Roman"/>
                <w:lang w:val="sr-Latn-RS"/>
              </w:rPr>
            </w:pPr>
            <w:r>
              <w:rPr>
                <w:rFonts w:cs="Times New Roman"/>
                <w:lang w:val="sr-Latn-RS"/>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EV6.2.3</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TSMS mora biti montiran u sredini potpuno narandžaste kružne površine prečnika ≥ 50 mm, postavljene na pozadini visokog kontrasta.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EV6.2.4</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en-US" w:eastAsia="en-US" w:bidi="ar-SA"/>
              </w:rPr>
              <w:t>TSMS mora biti označen oznakom „TS” i simbolom prema standardu ISO 7010-W012</w:t>
              <w:br/>
              <w:t>(trougao sa crnom munjom na žutoj pozadini).</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EV6.3.6</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Jedna IMD linija za merenje uzemljenja šasije mora biti povezana sa uzemljenim TSAC kućištem ili odgovarajućim uzemljenim TS kućištem IMD-a. Druga linija mora biti povezana sa main hoop-om. Svaka veza mora koristiti poseban provodnik dimenzionisan za maksimalni TS napon. Prekid bilo koje od ovih veza mora rezultovati otvaranjem SDC.</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EV6.3.7</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U slučaju kvara izolacije ili kvara IMD-a, IMD mora otvoriti SDC. To mora biti urađeno bez uticaja bilo kakve programabilne logike.</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EV6.3.8</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Crvena indikaciona lampica „IMD“ u kokpitu mora da se uključi ako i samo ako IMD otvori SDC. Mora ostati uključena dok se greška ručno ne resetuje. Signali su SCS.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T6.2.1</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BOTS mora biti instaliran na vozilu kao deo SDC-a. U slučaju kvara u bar jednom kočionom krugu, prekomerni hod papučice kočnice mora otvoriti SDC. To mora raditi za sve moguće podešavanja balansa kočnica.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T6.2.2</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Ponovljeno aktiviranje BOTS-a ne sme zatvoriti SDC i vozač ne sme moći resetovati prekidač.</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T6.2.3</w:t>
            </w:r>
          </w:p>
        </w:tc>
        <w:tc>
          <w:tcPr>
            <w:tcW w:w="8759" w:type="dxa"/>
            <w:tcBorders/>
          </w:tcPr>
          <w:p>
            <w:pPr>
              <w:pStyle w:val="Normal"/>
              <w:widowControl/>
              <w:suppressAutoHyphens w:val="true"/>
              <w:spacing w:lineRule="auto" w:line="276" w:before="0" w:after="160"/>
              <w:rPr>
                <w:rFonts w:cs="Times New Roman"/>
                <w:bCs/>
                <w:lang w:val="sr-Latn-RS"/>
              </w:rPr>
            </w:pPr>
            <w:r>
              <w:rPr>
                <w:rFonts w:eastAsia="Aptos" w:cs="Times New Roman"/>
                <w:bCs/>
                <w:kern w:val="2"/>
                <w:sz w:val="24"/>
                <w:szCs w:val="24"/>
                <w:lang w:val="sr-Latn-RS" w:eastAsia="en-US" w:bidi="ar-SA"/>
              </w:rPr>
              <w:t>BOTS mora biti mehanički prekidač tipa push-pull, push-rotate ili flip. Može biti realizovan kao serijska veza više prekidača.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rPr>
            </w:pPr>
            <w:r>
              <w:rPr>
                <w:rFonts w:cs="Times New Roman"/>
                <w:b/>
                <w:bCs/>
              </w:rPr>
            </w:r>
          </w:p>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T11.2.1</w:t>
            </w:r>
          </w:p>
        </w:tc>
        <w:tc>
          <w:tcPr>
            <w:tcW w:w="8759" w:type="dxa"/>
            <w:tcBorders/>
          </w:tcPr>
          <w:p>
            <w:pPr>
              <w:pStyle w:val="Normal"/>
              <w:widowControl/>
              <w:suppressAutoHyphens w:val="true"/>
              <w:spacing w:lineRule="auto" w:line="276" w:before="0" w:after="0"/>
              <w:rPr>
                <w:rFonts w:cs="Times New Roman"/>
                <w:bCs/>
                <w:lang w:val="sr-Latn-RS"/>
              </w:rPr>
            </w:pPr>
            <w:r>
              <w:rPr>
                <w:rFonts w:eastAsia="Aptos" w:cs="Times New Roman"/>
                <w:bCs/>
                <w:kern w:val="2"/>
                <w:sz w:val="24"/>
                <w:szCs w:val="24"/>
                <w:lang w:val="sr-Latn-RS" w:eastAsia="en-US" w:bidi="ar-SA"/>
              </w:rPr>
              <w:t>Glavni prekidači, vidi T11.3, EV6.2 i T14.5, moraju biti mehanički prekidači rotacionog tipa sa crvenom, uklonjivom ručicom. Ručica mora imati širinu najmanje 50 mm i sme se ukloniti samo kada je prekidač u električno otvorenom položaju. Moraju biti direktnog dejstva, tj. ne smeju delovati preko releja ili logike.</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T11.2.2</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en-US" w:eastAsia="en-US" w:bidi="ar-SA"/>
              </w:rPr>
              <w:t>Glavni prekidači moraju biti postavljeni na desnoj strani vozila, u blizini glavnog luka (main hoop), na visini ramena vozača iz 95. percentila, kako je definisano u T4.3, i moraju biti lako dostupni za aktiviranje spolja izvan vozila. Centar bilo kog glavnog prekidača ne sme biti postavljen niže od vertikalne udaljenosti centra srednjeg kruga šablona (template) do tla pomnožene sa 0,8.</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T11.2.3</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en-US" w:eastAsia="en-US" w:bidi="ar-SA"/>
              </w:rPr>
              <w:t>Položaj „ON“ prekidača mora biti horizontalan i mora biti odgovarajuće označen.</w:t>
              <w:br/>
              <w:t>Položaj „OFF“ glavnog prekidača takođe mora biti jasno označen.</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T11.2.4</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Glavni prekidači moraju biti čvrsto montirani na vozilo i ne smeju se uklanjati tokom održavanja.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T11.2.5</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Glavni prekidači moraju biti postavljeni jedan pored drugog.</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T11.3.1</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LVMS, u skladu sa T11.2, mora u potpunosti isključiti napajanje niskonaponskog LVS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rPr>
            </w:pPr>
            <w:r>
              <w:rPr>
                <w:rFonts w:eastAsia="Aptos" w:cs="Times New Roman"/>
                <w:b/>
                <w:bCs/>
                <w:kern w:val="2"/>
                <w:sz w:val="24"/>
                <w:szCs w:val="24"/>
                <w:lang w:val="en-US" w:eastAsia="en-US" w:bidi="ar-SA"/>
              </w:rPr>
              <w:t>T11.3.2</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LVMS mora biti montiran u sredini potpuno crvene kružne površine prečnika ≥ 50 mm, postavljene na pozadini visokog kontrasta.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rPr>
            </w:pPr>
            <w:r>
              <w:rPr>
                <w:rFonts w:eastAsia="Aptos" w:cs="Times New Roman"/>
                <w:b/>
                <w:bCs/>
                <w:kern w:val="2"/>
                <w:sz w:val="24"/>
                <w:szCs w:val="24"/>
                <w:lang w:val="en-US" w:eastAsia="en-US" w:bidi="ar-SA"/>
              </w:rPr>
              <w:t>T11.3.3</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LVMS mora biti označen oznakom „LV“ i simbolom koji prikazuje crvenu varnicu u plavom trouglu sa belom ivicom.</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T11.4.1</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Vozilo mora imati tri shutdown dugmeta.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T11.4.2</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Svako shutdown dugme mora biti mehanički emergency prekidač tipa push-pull ili push-rotate. Pritiskom mora otvoriti SDC.</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T11.4.3</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Dva shutdown dugmeta moraju biti po jedno sa svake strane vozila, iza vozača, približno u visini glave vozača. Minimalni prečnik: 40 mm.</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T11.4.4</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Treće shutdown dugme je u kokpitu i mora imati prečnik ≥ 24 mm, biti dostupno vozaču sa vezanim pojasevima, biti pored volana i ne sme biti zaklonjeno.</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T11.4.5</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Pored svakog shutdown dugmeta mora biti međunarodni simbol električne opasnosti (crvena varnica u plavom trouglu sa belim ivicama).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T11.4.6</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Shutdown dugmad moraju biti čvrsto montirana i ne smeju se skidati tokom održavanja.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T11.4.7</w:t>
            </w:r>
          </w:p>
        </w:tc>
        <w:tc>
          <w:tcPr>
            <w:tcW w:w="8759" w:type="dxa"/>
            <w:tcBorders/>
          </w:tcPr>
          <w:p>
            <w:pPr>
              <w:pStyle w:val="Normal"/>
              <w:widowControl/>
              <w:suppressAutoHyphens w:val="true"/>
              <w:spacing w:lineRule="auto" w:line="276" w:before="0" w:after="160"/>
              <w:jc w:val="left"/>
              <w:rPr>
                <w:rFonts w:cs="Times New Roman"/>
                <w:lang w:val="sr-Latn-RS"/>
              </w:rPr>
            </w:pPr>
            <w:r>
              <w:rPr>
                <w:rFonts w:eastAsia="Aptos" w:cs="Times New Roman"/>
                <w:kern w:val="2"/>
                <w:sz w:val="24"/>
                <w:szCs w:val="24"/>
                <w:lang w:val="sr-Latn-RS" w:eastAsia="en-US" w:bidi="ar-SA"/>
              </w:rPr>
              <w:t>Shutdown dugmad moraju biti crvene boje.</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T11.5.1</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Inercijski prekidač mora biti deo SDC-a i pri sudaru mora otvoriti SDC. Mora ostati zaključan dok se ručno ne resetuje.</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T11.5.2</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Inercijski prekidač se mora aktivirati pri uzdužnom udaru koji uzrokuje usporenje između ≤8 g i ≤11 g, u zavisnosti od trajanja.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T11.5.3</w:t>
            </w:r>
          </w:p>
        </w:tc>
        <w:tc>
          <w:tcPr>
            <w:tcW w:w="8759" w:type="dxa"/>
            <w:tcBorders/>
          </w:tcPr>
          <w:p>
            <w:pPr>
              <w:pStyle w:val="Normal"/>
              <w:widowControl/>
              <w:suppressAutoHyphens w:val="true"/>
              <w:spacing w:lineRule="auto" w:line="276" w:before="0" w:after="160"/>
              <w:jc w:val="left"/>
              <w:rPr>
                <w:rFonts w:cs="Times New Roman"/>
                <w:lang w:val="sr-Latn-RS"/>
              </w:rPr>
            </w:pPr>
            <w:r>
              <w:rPr>
                <w:rFonts w:eastAsia="Aptos" w:cs="Times New Roman"/>
                <w:kern w:val="2"/>
                <w:sz w:val="24"/>
                <w:szCs w:val="24"/>
                <w:lang w:val="sr-Latn-RS" w:eastAsia="en-US" w:bidi="ar-SA"/>
              </w:rPr>
              <w:t>Inercijski prekidač ne sme sadržati poluprovodničke komponente.</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T11.5.4</w:t>
            </w:r>
          </w:p>
        </w:tc>
        <w:tc>
          <w:tcPr>
            <w:tcW w:w="8759" w:type="dxa"/>
            <w:tcBorders/>
          </w:tcPr>
          <w:p>
            <w:pPr>
              <w:pStyle w:val="Normal"/>
              <w:widowControl/>
              <w:suppressAutoHyphens w:val="true"/>
              <w:spacing w:lineRule="auto" w:line="276" w:before="0" w:after="0"/>
              <w:jc w:val="left"/>
              <w:rPr>
                <w:rFonts w:cs="Times New Roman"/>
                <w:lang w:val="sr-Latn-RS"/>
              </w:rPr>
            </w:pPr>
            <w:r>
              <w:rPr>
                <w:rFonts w:eastAsia="Aptos" w:cs="Times New Roman"/>
                <w:kern w:val="2"/>
                <w:sz w:val="24"/>
                <w:szCs w:val="24"/>
                <w:lang w:val="sr-Latn-RS" w:eastAsia="en-US" w:bidi="ar-SA"/>
              </w:rPr>
              <w:t>Inercijski prekidač mora biti čvrsto montiran prema specifikaciji proizvođača i mora biti moguće skinuti ga radi testiranja.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T11.6.1</w:t>
            </w:r>
          </w:p>
        </w:tc>
        <w:tc>
          <w:tcPr>
            <w:tcW w:w="8759" w:type="dxa"/>
            <w:tcBorders/>
          </w:tcPr>
          <w:p>
            <w:pPr>
              <w:pStyle w:val="Normal"/>
              <w:widowControl/>
              <w:suppressAutoHyphens w:val="true"/>
              <w:spacing w:lineRule="auto" w:line="276" w:before="0" w:after="0"/>
              <w:jc w:val="left"/>
              <w:rPr>
                <w:rFonts w:cs="Times New Roman"/>
                <w:lang w:val="sr-Latn-RS"/>
              </w:rPr>
            </w:pPr>
            <w:r>
              <w:rPr>
                <w:rFonts w:eastAsia="Aptos" w:cs="Times New Roman"/>
                <w:kern w:val="2"/>
                <w:sz w:val="24"/>
                <w:szCs w:val="24"/>
                <w:lang w:val="sr-Latn-RS" w:eastAsia="en-US" w:bidi="ar-SA"/>
              </w:rPr>
              <w:t>BSPD je samostalno, neprogramabilno kolo koje mora otvoriti SDC kada dođe do jakog kočenja dok se daje pogon. Za EV vozila uslov je da motor prima ≥ 5 kW snage. SDC mora ostati otvoren dok se ne isključi i uključi LVMS ili BSPD se sam resetuje ako stanje nestane duže od 10 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T11.6.2</w:t>
            </w:r>
          </w:p>
        </w:tc>
        <w:tc>
          <w:tcPr>
            <w:tcW w:w="8759" w:type="dxa"/>
            <w:tcBorders/>
          </w:tcPr>
          <w:p>
            <w:pPr>
              <w:pStyle w:val="Normal"/>
              <w:widowControl/>
              <w:suppressAutoHyphens w:val="true"/>
              <w:spacing w:lineRule="auto" w:line="276" w:before="0" w:after="0"/>
              <w:jc w:val="left"/>
              <w:rPr>
                <w:rFonts w:cs="Times New Roman"/>
                <w:lang w:val="sr-Latn-RS"/>
              </w:rPr>
            </w:pPr>
            <w:r>
              <w:rPr>
                <w:rFonts w:eastAsia="Aptos" w:cs="Times New Roman"/>
                <w:kern w:val="2"/>
                <w:sz w:val="24"/>
                <w:szCs w:val="24"/>
                <w:lang w:val="sr-Latn-RS" w:eastAsia="en-US" w:bidi="ar-SA"/>
              </w:rPr>
              <w:t>BSPD: Otvaranje SDC-a mora se desiti ako je neverodostojno stanje prisutno više od 500 ms.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T11.6.3</w:t>
            </w:r>
          </w:p>
        </w:tc>
        <w:tc>
          <w:tcPr>
            <w:tcW w:w="8759" w:type="dxa"/>
            <w:tcBorders/>
          </w:tcPr>
          <w:p>
            <w:pPr>
              <w:pStyle w:val="Normal"/>
              <w:widowControl/>
              <w:suppressAutoHyphens w:val="true"/>
              <w:spacing w:lineRule="auto" w:line="276" w:before="0" w:after="0"/>
              <w:jc w:val="left"/>
              <w:rPr>
                <w:rFonts w:cs="Times New Roman"/>
                <w:lang w:val="sr-Latn-RS"/>
              </w:rPr>
            </w:pPr>
            <w:r>
              <w:rPr>
                <w:rFonts w:eastAsia="Aptos" w:cs="Times New Roman"/>
                <w:kern w:val="2"/>
                <w:sz w:val="24"/>
                <w:szCs w:val="24"/>
                <w:lang w:val="sr-Latn-RS" w:eastAsia="en-US" w:bidi="ar-SA"/>
              </w:rPr>
              <w:t>BSPD mora biti direktno napajan iz LVMS-a.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T11.6.8</w:t>
            </w:r>
          </w:p>
        </w:tc>
        <w:tc>
          <w:tcPr>
            <w:tcW w:w="8759" w:type="dxa"/>
            <w:tcBorders/>
          </w:tcPr>
          <w:p>
            <w:pPr>
              <w:pStyle w:val="Normal"/>
              <w:widowControl/>
              <w:suppressAutoHyphens w:val="true"/>
              <w:spacing w:lineRule="auto" w:line="276" w:before="0" w:after="0"/>
              <w:jc w:val="left"/>
              <w:rPr>
                <w:rFonts w:cs="Times New Roman"/>
                <w:lang w:val="sr-Latn-RS"/>
              </w:rPr>
            </w:pPr>
            <w:r>
              <w:rPr>
                <w:rFonts w:eastAsia="Aptos" w:cs="Times New Roman"/>
                <w:kern w:val="2"/>
                <w:sz w:val="24"/>
                <w:szCs w:val="24"/>
                <w:lang w:val="sr-Latn-RS" w:eastAsia="en-US" w:bidi="ar-SA"/>
              </w:rPr>
              <w:t>BSPD signali su SCS.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bl>
    <w:p>
      <w:pPr>
        <w:pStyle w:val="Normal"/>
        <w:spacing w:lineRule="auto" w:line="276"/>
        <w:jc w:val="left"/>
        <w:rPr>
          <w:rFonts w:cs="Times New Roman"/>
          <w:lang w:val="sr-Latn-RS"/>
        </w:rPr>
      </w:pPr>
      <w:r>
        <w:rPr>
          <w:rFonts w:cs="Times New Roman"/>
          <w:lang w:val="sr-Latn-RS"/>
        </w:rPr>
      </w:r>
    </w:p>
    <w:p>
      <w:pPr>
        <w:pStyle w:val="Normal"/>
        <w:spacing w:lineRule="auto" w:line="276"/>
        <w:jc w:val="left"/>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jc w:val="center"/>
        <w:rPr>
          <w:lang w:val="sr-Latn-RS"/>
        </w:rPr>
      </w:pPr>
      <w:r>
        <w:rPr/>
      </w:r>
    </w:p>
    <w:p>
      <w:pPr>
        <w:pStyle w:val="Style6"/>
        <w:numPr>
          <w:ilvl w:val="0"/>
          <w:numId w:val="1"/>
        </w:numPr>
        <w:rPr>
          <w:lang w:val="sr-Latn-RS"/>
        </w:rPr>
      </w:pPr>
      <w:r>
        <w:rPr>
          <w:lang w:val="sr-Latn-RS"/>
        </w:rPr>
        <w:t>Detalji implementacije</w:t>
      </w:r>
    </w:p>
    <w:p>
      <w:pPr>
        <w:pStyle w:val="Normal"/>
        <w:rPr>
          <w:color w:val="FF0000"/>
        </w:rPr>
      </w:pPr>
      <w:r>
        <w:rPr>
          <w:color w:val="FF0000"/>
          <w:lang w:val="sr-Latn-RS"/>
        </w:rPr>
        <w:t>Na Slici 3.1 prikazana je kompletna šema SD kola sa svim relejima, prekidačima i interlokovima.</w:t>
      </w:r>
    </w:p>
    <w:p>
      <w:pPr>
        <w:pStyle w:val="Normal"/>
        <w:rPr>
          <w:lang w:val="sr-Latn-RS"/>
        </w:rPr>
      </w:pPr>
      <w:r>
        <w:rPr/>
        <w:drawing>
          <wp:inline distT="0" distB="0" distL="0" distR="0">
            <wp:extent cx="6645910" cy="2747645"/>
            <wp:effectExtent l="0" t="0" r="0" b="0"/>
            <wp:docPr id="7" name="Slik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ka 1" descr=""/>
                    <pic:cNvPicPr>
                      <a:picLocks noChangeAspect="1" noChangeArrowheads="1"/>
                    </pic:cNvPicPr>
                  </pic:nvPicPr>
                  <pic:blipFill>
                    <a:blip r:embed="rId9"/>
                    <a:stretch>
                      <a:fillRect/>
                    </a:stretch>
                  </pic:blipFill>
                  <pic:spPr bwMode="auto">
                    <a:xfrm>
                      <a:off x="0" y="0"/>
                      <a:ext cx="6645910" cy="2747645"/>
                    </a:xfrm>
                    <a:prstGeom prst="rect">
                      <a:avLst/>
                    </a:prstGeom>
                  </pic:spPr>
                </pic:pic>
              </a:graphicData>
            </a:graphic>
          </wp:inline>
        </w:drawing>
      </w:r>
    </w:p>
    <w:p>
      <w:pPr>
        <w:pStyle w:val="Normal"/>
        <w:jc w:val="center"/>
        <w:rPr>
          <w:lang w:val="sr-Latn-RS"/>
        </w:rPr>
      </w:pPr>
      <w:r>
        <w:rPr>
          <w:color w:val="C9211E"/>
          <w:lang w:val="sr-Latn-RS"/>
        </w:rPr>
        <w:t>Slika 3.1 SDC</w:t>
      </w:r>
      <w:r>
        <w:rPr>
          <w:lang w:val="sr-Latn-RS"/>
        </w:rPr>
        <w:t xml:space="preserve"> </w:t>
      </w:r>
    </w:p>
    <w:p>
      <w:pPr>
        <w:pStyle w:val="BodyText"/>
        <w:rPr/>
      </w:pPr>
      <w:r>
        <w:rPr/>
        <w:t xml:space="preserve">Kako bi se obezbedila kompaktna i pouzdana integracija različitih sigurnosnih sistema (AMS, IMD, BSPD i TSAL) u jednu serijsku liniju, dizajnirana je namenska štampana pločica pod nazivom </w:t>
      </w:r>
      <w:r>
        <w:rPr>
          <w:b/>
        </w:rPr>
        <w:t>"Shutdown Circuit Board"</w:t>
      </w:r>
      <w:r>
        <w:rPr/>
        <w:t>. Ova pločica služi kao centralni čvorište koje procesira signale kritičnih sistema i upravlja radom SDC releja (Slika 3.</w:t>
      </w:r>
      <w:r>
        <w:rPr>
          <w:i/>
        </w:rPr>
        <w:t>2</w:t>
      </w:r>
      <w:r>
        <w:rPr/>
        <w:t>).</w:t>
      </w:r>
    </w:p>
    <w:p>
      <w:pPr>
        <w:pStyle w:val="BodyText"/>
        <w:jc w:val="center"/>
        <w:rPr>
          <w:color w:val="000000"/>
        </w:rPr>
      </w:pPr>
      <w: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6645910" cy="4532630"/>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0"/>
                    <a:stretch>
                      <a:fillRect/>
                    </a:stretch>
                  </pic:blipFill>
                  <pic:spPr bwMode="auto">
                    <a:xfrm>
                      <a:off x="0" y="0"/>
                      <a:ext cx="6645910" cy="4532630"/>
                    </a:xfrm>
                    <a:prstGeom prst="rect">
                      <a:avLst/>
                    </a:prstGeom>
                  </pic:spPr>
                </pic:pic>
              </a:graphicData>
            </a:graphic>
          </wp:anchor>
        </w:drawing>
      </w:r>
      <w:r>
        <w:rPr>
          <w:b w:val="false"/>
          <w:bCs w:val="false"/>
          <w:color w:val="000000"/>
          <w:lang w:val="sr-Latn-RS"/>
        </w:rPr>
        <w:t>3.2a Šematik SDC kontrolne pločice (Shutdown Circuit Board)</w:t>
      </w:r>
    </w:p>
    <w:p>
      <w:pPr>
        <w:pStyle w:val="BodyText"/>
        <w:jc w:val="left"/>
        <w:rPr/>
      </w:pPr>
      <w:r>
        <w:rPr/>
      </w:r>
    </w:p>
    <w:p>
      <w:pPr>
        <w:pStyle w:val="BodyText"/>
        <w:jc w:val="left"/>
        <w:rPr/>
      </w:pPr>
      <w:r>
        <w:rPr/>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4695825" cy="6743700"/>
            <wp:effectExtent l="0" t="0" r="0" b="0"/>
            <wp:wrapSquare wrapText="largest"/>
            <wp:docPr id="9"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7" descr=""/>
                    <pic:cNvPicPr>
                      <a:picLocks noChangeAspect="1" noChangeArrowheads="1"/>
                    </pic:cNvPicPr>
                  </pic:nvPicPr>
                  <pic:blipFill>
                    <a:blip r:embed="rId11"/>
                    <a:stretch>
                      <a:fillRect/>
                    </a:stretch>
                  </pic:blipFill>
                  <pic:spPr bwMode="auto">
                    <a:xfrm>
                      <a:off x="0" y="0"/>
                      <a:ext cx="4695825" cy="6743700"/>
                    </a:xfrm>
                    <a:prstGeom prst="rect">
                      <a:avLst/>
                    </a:prstGeom>
                  </pic:spPr>
                </pic:pic>
              </a:graphicData>
            </a:graphic>
          </wp:anchor>
        </w:drawing>
      </w:r>
    </w:p>
    <w:p>
      <w:pPr>
        <w:pStyle w:val="BodyText"/>
        <w:jc w:val="left"/>
        <w:rPr/>
      </w:pPr>
      <w:r>
        <w:rPr/>
      </w:r>
    </w:p>
    <w:p>
      <w:pPr>
        <w:pStyle w:val="BodyText"/>
        <w:jc w:val="left"/>
        <w:rPr/>
      </w:pPr>
      <w:r>
        <w:rPr/>
        <w:b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center"/>
        <w:rPr>
          <w:color w:val="000000"/>
        </w:rPr>
      </w:pPr>
      <w:r>
        <w:rPr>
          <w:b w:val="false"/>
          <w:bCs w:val="false"/>
          <w:color w:val="000000"/>
          <w:lang w:val="sr-Latn-RS"/>
        </w:rPr>
        <w:t>3.2b Layout SDC pločice (dvoslojni)</w:t>
      </w:r>
    </w:p>
    <w:p>
      <w:pPr>
        <w:pStyle w:val="BodyText"/>
        <w:jc w:val="center"/>
        <w:rPr>
          <w:color w:val="000000"/>
        </w:rPr>
      </w:pPr>
      <w:r>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6645910" cy="7112635"/>
            <wp:effectExtent l="0" t="0" r="0" b="0"/>
            <wp:wrapSquare wrapText="largest"/>
            <wp:docPr id="10"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8" descr=""/>
                    <pic:cNvPicPr>
                      <a:picLocks noChangeAspect="1" noChangeArrowheads="1"/>
                    </pic:cNvPicPr>
                  </pic:nvPicPr>
                  <pic:blipFill>
                    <a:blip r:embed="rId12"/>
                    <a:stretch>
                      <a:fillRect/>
                    </a:stretch>
                  </pic:blipFill>
                  <pic:spPr bwMode="auto">
                    <a:xfrm>
                      <a:off x="0" y="0"/>
                      <a:ext cx="6645910" cy="7112635"/>
                    </a:xfrm>
                    <a:prstGeom prst="rect">
                      <a:avLst/>
                    </a:prstGeom>
                  </pic:spPr>
                </pic:pic>
              </a:graphicData>
            </a:graphic>
          </wp:anchor>
        </w:drawing>
      </w:r>
      <w:r>
        <w:rPr>
          <w:b w:val="false"/>
          <w:bCs w:val="false"/>
          <w:color w:val="000000"/>
          <w:lang w:val="sr-Latn-RS"/>
        </w:rPr>
        <w:t>Slika 3.2c PCB</w:t>
      </w:r>
    </w:p>
    <w:p>
      <w:pPr>
        <w:pStyle w:val="BodyText"/>
        <w:jc w:val="left"/>
        <w:rPr/>
      </w:pPr>
      <w:r>
        <w:rPr/>
        <w:t>Glavne funkcije ove pločice su:</w:t>
      </w:r>
    </w:p>
    <w:p>
      <w:pPr>
        <w:pStyle w:val="BodyText"/>
        <w:numPr>
          <w:ilvl w:val="0"/>
          <w:numId w:val="12"/>
        </w:numPr>
        <w:tabs>
          <w:tab w:val="clear" w:pos="720"/>
          <w:tab w:val="left" w:pos="0" w:leader="none"/>
        </w:tabs>
        <w:ind w:hanging="283" w:left="709"/>
        <w:rPr/>
      </w:pPr>
      <w:r>
        <w:rPr>
          <w:b/>
        </w:rPr>
        <w:t>Logička obrada i lečovanje:</w:t>
      </w:r>
      <w:r>
        <w:rPr/>
        <w:t xml:space="preserve"> Implementacija neprogramabilne logike pomoću</w:t>
      </w:r>
      <w:r>
        <w:rPr>
          <w:i/>
          <w:iCs/>
        </w:rPr>
        <w:t xml:space="preserve"> CD4081 AND</w:t>
      </w:r>
      <w:r>
        <w:rPr>
          <w:i w:val="false"/>
          <w:iCs w:val="false"/>
        </w:rPr>
        <w:t xml:space="preserve"> kapije, </w:t>
      </w:r>
      <w:r>
        <w:rPr>
          <w:i/>
        </w:rPr>
        <w:t>CD4093 NAND</w:t>
      </w:r>
      <w:r>
        <w:rPr/>
        <w:t xml:space="preserve"> kapije sa Šmitovim okidačima i </w:t>
      </w:r>
      <w:r>
        <w:rPr>
          <w:i/>
        </w:rPr>
        <w:t>CD4013 D-FlipFlopa</w:t>
      </w:r>
      <w:r>
        <w:rPr/>
        <w:t xml:space="preserve"> kako bi se ispunilo pravilo </w:t>
      </w:r>
      <w:r>
        <w:rPr>
          <w:b/>
        </w:rPr>
        <w:t>EV6.1.6</w:t>
      </w:r>
      <w:r>
        <w:rPr/>
        <w:t>. Ovo omogućava da greške sa BSPD-a, AMS-a ili IMD-a trajno otvore SDC dok se ne izvrši ručni reset. Reset taster je namerno lociran van same pločice kako bi bio dostupan na eksterijeru vozila.</w:t>
      </w:r>
    </w:p>
    <w:p>
      <w:pPr>
        <w:pStyle w:val="BodyText"/>
        <w:numPr>
          <w:ilvl w:val="0"/>
          <w:numId w:val="12"/>
        </w:numPr>
        <w:tabs>
          <w:tab w:val="clear" w:pos="720"/>
          <w:tab w:val="left" w:pos="0" w:leader="none"/>
        </w:tabs>
        <w:ind w:hanging="283" w:left="709"/>
        <w:rPr/>
      </w:pPr>
      <w:r>
        <w:rPr>
          <w:b/>
        </w:rPr>
        <w:t>Upravljanje relejima:</w:t>
      </w:r>
      <w:r>
        <w:rPr/>
        <w:t xml:space="preserve"> Na pločici se nalaze dva </w:t>
      </w:r>
      <w:r>
        <w:rPr>
          <w:i/>
        </w:rPr>
        <w:t>G5Q-1</w:t>
      </w:r>
      <w:r>
        <w:rPr/>
        <w:t xml:space="preserve"> releja. Jedan je pod kontrolom lečovane logike (AMS/IMD/BSPD), dok je drugi direktno kontrolisan od strane TSAL signala greške. </w:t>
      </w:r>
    </w:p>
    <w:p>
      <w:pPr>
        <w:pStyle w:val="BodyText"/>
        <w:numPr>
          <w:ilvl w:val="0"/>
          <w:numId w:val="12"/>
        </w:numPr>
        <w:tabs>
          <w:tab w:val="clear" w:pos="720"/>
          <w:tab w:val="left" w:pos="0" w:leader="none"/>
        </w:tabs>
        <w:ind w:hanging="283" w:left="709"/>
        <w:rPr/>
      </w:pPr>
      <w:r>
        <w:rPr>
          <w:b/>
        </w:rPr>
        <w:t>Vizuelna indikacija:</w:t>
      </w:r>
      <w:r>
        <w:rPr/>
        <w:t xml:space="preserve"> Pločica sadrži statusne LED diode za brzu dijagnostiku stanja napajanja i detekciju konkretnog izvora greške (posebne diode za AMS i IMD greške). Pored toga, signal o stanju AMS-a i IMD-a se šalje na dashboard.</w:t>
      </w:r>
    </w:p>
    <w:p>
      <w:pPr>
        <w:pStyle w:val="BodyText"/>
        <w:numPr>
          <w:ilvl w:val="0"/>
          <w:numId w:val="12"/>
        </w:numPr>
        <w:tabs>
          <w:tab w:val="clear" w:pos="720"/>
          <w:tab w:val="left" w:pos="0" w:leader="none"/>
        </w:tabs>
        <w:ind w:hanging="283" w:left="709"/>
        <w:rPr/>
      </w:pPr>
      <w:r>
        <w:rPr>
          <w:b/>
        </w:rPr>
        <w:t>Standardizacija konekcija:</w:t>
      </w:r>
      <w:r>
        <w:rPr/>
        <w:t xml:space="preserve"> Korišćenjem </w:t>
      </w:r>
      <w:r>
        <w:rPr>
          <w:i/>
        </w:rPr>
        <w:t>Conn_01x04</w:t>
      </w:r>
      <w:r>
        <w:rPr>
          <w:i w:val="false"/>
          <w:iCs w:val="false"/>
        </w:rPr>
        <w:t xml:space="preserve"> </w:t>
      </w:r>
      <w:r>
        <w:rPr>
          <w:i/>
          <w:iCs/>
        </w:rPr>
        <w:t>Molex_Micro-Fit</w:t>
      </w:r>
      <w:r>
        <w:rPr>
          <w:i w:val="false"/>
          <w:iCs w:val="false"/>
        </w:rPr>
        <w:t xml:space="preserve"> </w:t>
      </w:r>
      <w:r>
        <w:rPr/>
        <w:t>konektora omogućeno je lako povezivanje sa ostatkom ožičenja u vozilu, čime se smanjuje mogućnost greške pri montaži i olakšava testiranje sistema.</w:t>
      </w:r>
    </w:p>
    <w:p>
      <w:pPr>
        <w:pStyle w:val="Normal"/>
        <w:rPr>
          <w:lang w:val="sr-Latn-RS"/>
        </w:rPr>
      </w:pPr>
      <w:r>
        <w:rPr>
          <w:lang w:val="sr-Latn-RS"/>
        </w:rPr>
        <w:t>U nastavku će biti objašnjena svaka komponenta, počevši od LVMS, pa do TSMS.</w:t>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Style6"/>
        <w:numPr>
          <w:ilvl w:val="1"/>
          <w:numId w:val="1"/>
        </w:numPr>
        <w:rPr>
          <w:i w:val="false"/>
          <w:i w:val="false"/>
          <w:iCs/>
          <w:lang w:val="sr-Latn-RS"/>
        </w:rPr>
      </w:pPr>
      <w:r>
        <w:rPr>
          <w:i w:val="false"/>
          <w:iCs/>
          <w:lang w:val="sr-Latn-RS"/>
        </w:rPr>
        <w:t>LVMS</w:t>
      </w:r>
    </w:p>
    <w:p>
      <w:pPr>
        <w:pStyle w:val="Normal"/>
        <w:rPr>
          <w:lang w:val="sr-Latn-RS"/>
        </w:rPr>
      </w:pPr>
      <w:r>
        <w:rPr>
          <w:b/>
          <w:bCs/>
          <w:lang w:val="sr-Latn-RS"/>
        </w:rPr>
        <w:t>LVMS (Low Voltage Master Switch)</w:t>
      </w:r>
      <w:r>
        <w:rPr>
          <w:lang w:val="sr-Latn-RS"/>
        </w:rPr>
        <w:t xml:space="preserve"> je glavni mehanički prekidač za niskonaponski sistem vozila (LVS).</w:t>
      </w:r>
    </w:p>
    <w:p>
      <w:pPr>
        <w:pStyle w:val="ListParagraph"/>
        <w:numPr>
          <w:ilvl w:val="0"/>
          <w:numId w:val="4"/>
        </w:numPr>
        <w:rPr>
          <w:lang w:val="sr-Latn-RS"/>
        </w:rPr>
      </w:pPr>
      <w:r>
        <w:rPr>
          <w:lang w:val="sr-Latn-RS"/>
        </w:rPr>
        <w:t>LVMS prekida napajanje celog LVS.</w:t>
      </w:r>
    </w:p>
    <w:p>
      <w:pPr>
        <w:pStyle w:val="ListParagraph"/>
        <w:numPr>
          <w:ilvl w:val="0"/>
          <w:numId w:val="4"/>
        </w:numPr>
        <w:rPr>
          <w:lang w:val="sr-Latn-RS"/>
        </w:rPr>
      </w:pPr>
      <w:r>
        <w:rPr>
          <w:lang w:val="sr-Latn-RS"/>
        </w:rPr>
        <w:t>Mora biti mehanički rotacioni prekidač sa crvenom ručkom (Slika 3.3) – normalno otvoren.</w:t>
      </w:r>
    </w:p>
    <w:p>
      <w:pPr>
        <w:pStyle w:val="ListParagraph"/>
        <w:numPr>
          <w:ilvl w:val="0"/>
          <w:numId w:val="4"/>
        </w:numPr>
        <w:rPr>
          <w:lang w:val="sr-Latn-RS"/>
        </w:rPr>
      </w:pPr>
      <w:r>
        <w:rPr>
          <w:lang w:val="sr-Latn-RS"/>
        </w:rPr>
        <w:t>Nalazi se sa desne strane vozila blizu main hoop-a, tako da ga neko spolja može brzo isključiti.</w:t>
      </w:r>
    </w:p>
    <w:p>
      <w:pPr>
        <w:pStyle w:val="ListParagraph"/>
        <w:numPr>
          <w:ilvl w:val="0"/>
          <w:numId w:val="4"/>
        </w:numPr>
        <w:rPr>
          <w:lang w:val="sr-Latn-RS"/>
        </w:rPr>
      </w:pPr>
      <w:r>
        <w:rPr>
          <w:lang w:val="sr-Latn-RS"/>
        </w:rPr>
        <w:t>Obeležen je “LV” oznakom i simbolom crvene varnice u plavom trouglu sa belim ivicama (Slika 3.4).</w:t>
      </w:r>
    </w:p>
    <w:p>
      <w:pPr>
        <w:sectPr>
          <w:headerReference w:type="default" r:id="rId13"/>
          <w:headerReference w:type="first" r:id="rId14"/>
          <w:footerReference w:type="default" r:id="rId15"/>
          <w:footerReference w:type="first" r:id="rId16"/>
          <w:type w:val="nextPage"/>
          <w:pgSz w:w="11906" w:h="16838"/>
          <w:pgMar w:left="720" w:right="720" w:gutter="0" w:header="0" w:top="720" w:footer="432" w:bottom="720"/>
          <w:pgNumType w:start="1" w:fmt="decimal"/>
          <w:formProt w:val="false"/>
          <w:textDirection w:val="lrTb"/>
          <w:docGrid w:type="default" w:linePitch="360" w:charSpace="0"/>
        </w:sectPr>
      </w:pPr>
    </w:p>
    <w:p>
      <w:pPr>
        <w:pStyle w:val="Normal"/>
        <w:jc w:val="center"/>
        <w:rPr>
          <w:lang w:val="sr-Latn-RS"/>
        </w:rPr>
      </w:pPr>
      <w:r>
        <w:rPr/>
        <w:drawing>
          <wp:inline distT="0" distB="0" distL="0" distR="0">
            <wp:extent cx="2785110" cy="1851025"/>
            <wp:effectExtent l="0" t="0" r="0" b="0"/>
            <wp:docPr id="13" name="Slika 4" descr="Master Switch • FIA • Alfahol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lika 4" descr="Master Switch • FIA • Alfaholics"/>
                    <pic:cNvPicPr>
                      <a:picLocks noChangeAspect="1" noChangeArrowheads="1"/>
                    </pic:cNvPicPr>
                  </pic:nvPicPr>
                  <pic:blipFill>
                    <a:blip r:embed="rId17"/>
                    <a:stretch>
                      <a:fillRect/>
                    </a:stretch>
                  </pic:blipFill>
                  <pic:spPr bwMode="auto">
                    <a:xfrm>
                      <a:off x="0" y="0"/>
                      <a:ext cx="2785110" cy="1851025"/>
                    </a:xfrm>
                    <a:prstGeom prst="rect">
                      <a:avLst/>
                    </a:prstGeom>
                  </pic:spPr>
                </pic:pic>
              </a:graphicData>
            </a:graphic>
          </wp:inline>
        </w:drawing>
      </w:r>
    </w:p>
    <w:p>
      <w:pPr>
        <w:pStyle w:val="Normal"/>
        <w:jc w:val="center"/>
        <w:rPr>
          <w:lang w:val="sr-Latn-RS"/>
        </w:rPr>
      </w:pPr>
      <w:r>
        <w:rPr>
          <w:lang w:val="sr-Latn-RS"/>
        </w:rPr>
        <w:t>Slika 3.3 Master Switch</w:t>
      </w:r>
    </w:p>
    <w:p>
      <w:pPr>
        <w:pStyle w:val="Normal"/>
        <w:jc w:val="center"/>
        <w:rPr>
          <w:lang w:val="sr-Latn-RS"/>
        </w:rPr>
      </w:pPr>
      <w:r>
        <w:rPr/>
        <w:drawing>
          <wp:inline distT="0" distB="0" distL="0" distR="0">
            <wp:extent cx="2264410" cy="2019300"/>
            <wp:effectExtent l="0" t="0" r="0" b="0"/>
            <wp:docPr id="14" name="Slika 14" descr="EV Inspection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lika 14" descr="EV Inspection Guide"/>
                    <pic:cNvPicPr>
                      <a:picLocks noChangeAspect="1" noChangeArrowheads="1"/>
                    </pic:cNvPicPr>
                  </pic:nvPicPr>
                  <pic:blipFill>
                    <a:blip r:embed="rId18"/>
                    <a:stretch>
                      <a:fillRect/>
                    </a:stretch>
                  </pic:blipFill>
                  <pic:spPr bwMode="auto">
                    <a:xfrm>
                      <a:off x="0" y="0"/>
                      <a:ext cx="2264410" cy="2019300"/>
                    </a:xfrm>
                    <a:prstGeom prst="rect">
                      <a:avLst/>
                    </a:prstGeom>
                  </pic:spPr>
                </pic:pic>
              </a:graphicData>
            </a:graphic>
          </wp:inline>
        </w:drawing>
      </w:r>
    </w:p>
    <w:p>
      <w:pPr>
        <w:pStyle w:val="Normal"/>
        <w:jc w:val="center"/>
        <w:rPr>
          <w:lang w:val="sr-Latn-RS"/>
        </w:rPr>
      </w:pPr>
      <w:r>
        <w:rPr>
          <w:lang w:val="sr-Latn-RS"/>
        </w:rPr>
        <w:t>Slika 3.4 Simbol crvene varnice u plavom trouglu sa belim ivicama</w:t>
      </w:r>
    </w:p>
    <w:p>
      <w:pPr>
        <w:sectPr>
          <w:type w:val="continuous"/>
          <w:pgSz w:w="11906" w:h="16838"/>
          <w:pgMar w:left="720" w:right="720" w:gutter="0" w:header="0" w:top="720" w:footer="432" w:bottom="720"/>
          <w:cols w:num="2" w:space="720" w:equalWidth="true" w:sep="false"/>
          <w:formProt w:val="false"/>
          <w:textDirection w:val="lrTb"/>
          <w:docGrid w:type="default" w:linePitch="360" w:charSpace="0"/>
        </w:sectPr>
      </w:pPr>
    </w:p>
    <w:p>
      <w:pPr>
        <w:pStyle w:val="Normal"/>
        <w:rPr>
          <w:rFonts w:cs="Times New Roman"/>
          <w:lang w:val="sr-Latn-RS"/>
        </w:rPr>
      </w:pPr>
      <w:r>
        <w:rPr>
          <w:rFonts w:cs="Times New Roman"/>
          <w:lang w:val="sr-Latn-RS"/>
        </w:rPr>
        <w:t xml:space="preserve">Odabrani LVMS je dostupan na sledećem linku: </w:t>
      </w:r>
    </w:p>
    <w:p>
      <w:pPr>
        <w:pStyle w:val="Normal"/>
        <w:rPr/>
      </w:pPr>
      <w:r>
        <w:rPr>
          <w:rStyle w:val="Hyperlink"/>
        </w:rPr>
        <w:t>https://mybillbook.in/store/flauta_customs_llp/item/63c305d2-c7f0-4335-8c90-44b56d446152?category=eafb3a3c-75af-4d36-a8a8-23b43029842f&amp;page_no=1</w:t>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Style6"/>
        <w:numPr>
          <w:ilvl w:val="1"/>
          <w:numId w:val="1"/>
        </w:numPr>
        <w:rPr>
          <w:lang w:val="sr-Latn-RS"/>
        </w:rPr>
      </w:pPr>
      <w:r>
        <w:rPr>
          <w:lang w:val="sr-Latn-RS"/>
        </w:rPr>
        <w:t>BSPD</w:t>
      </w:r>
    </w:p>
    <w:p>
      <w:pPr>
        <w:pStyle w:val="Normal"/>
        <w:rPr>
          <w:lang w:val="sr-Latn-RS"/>
        </w:rPr>
      </w:pPr>
      <w:r>
        <w:rPr>
          <w:b/>
          <w:bCs/>
          <w:lang w:val="sr-Latn-RS"/>
        </w:rPr>
        <w:t>BSPD (Brake System Plausibility Device)</w:t>
      </w:r>
      <w:r>
        <w:rPr>
          <w:lang w:val="sr-Latn-RS"/>
        </w:rPr>
        <w:t xml:space="preserve"> je sigurnosni elektronski sklop koji proverava da li vozač istovremeno jako koči i daje gas. Ako se to desi, sistem smatra da je to opasna ili nelogična situacija i automatski otvara SDC , čime se isključuje pogon vozila.</w:t>
      </w:r>
    </w:p>
    <w:p>
      <w:pPr>
        <w:pStyle w:val="Normal"/>
        <w:rPr>
          <w:lang w:val="sr-Latn-RS"/>
        </w:rPr>
      </w:pPr>
      <w:r>
        <w:rPr>
          <w:lang w:val="sr-Latn-RS"/>
        </w:rPr>
        <w:t>BSPD otvara SDC ako se istovremeno desi:</w:t>
      </w:r>
    </w:p>
    <w:p>
      <w:pPr>
        <w:pStyle w:val="ListParagraph"/>
        <w:numPr>
          <w:ilvl w:val="0"/>
          <w:numId w:val="5"/>
        </w:numPr>
        <w:rPr>
          <w:lang w:val="sr-Latn-RS"/>
        </w:rPr>
      </w:pPr>
      <w:r>
        <w:rPr>
          <w:lang w:val="sr-Latn-RS"/>
        </w:rPr>
        <w:t>jak pritisak na kočnicu (meren senzorom pritiska), i</w:t>
      </w:r>
    </w:p>
    <w:p>
      <w:pPr>
        <w:pStyle w:val="ListParagraph"/>
        <w:numPr>
          <w:ilvl w:val="0"/>
          <w:numId w:val="5"/>
        </w:numPr>
        <w:rPr>
          <w:lang w:val="sr-Latn-RS"/>
        </w:rPr>
      </w:pPr>
      <w:r>
        <w:rPr>
          <w:lang w:val="sr-Latn-RS"/>
        </w:rPr>
        <w:t>snaga motora ≥ 5 kW</w:t>
      </w:r>
    </w:p>
    <w:p>
      <w:pPr>
        <w:pStyle w:val="Normal"/>
        <w:rPr>
          <w:lang w:val="sr-Latn-RS"/>
        </w:rPr>
      </w:pPr>
      <w:r>
        <w:rPr>
          <w:lang w:val="sr-Latn-RS"/>
        </w:rPr>
        <w:t>i to traje duže od 500 ms.</w:t>
      </w:r>
    </w:p>
    <w:p>
      <w:pPr>
        <w:pStyle w:val="Normal"/>
        <w:rPr>
          <w:lang w:val="sr-Latn-RS"/>
        </w:rPr>
      </w:pPr>
      <w:r>
        <w:rPr>
          <w:lang w:val="sr-Latn-RS"/>
        </w:rPr>
        <w:t>Dodatno:</w:t>
      </w:r>
    </w:p>
    <w:p>
      <w:pPr>
        <w:pStyle w:val="ListParagraph"/>
        <w:numPr>
          <w:ilvl w:val="0"/>
          <w:numId w:val="6"/>
        </w:numPr>
        <w:rPr>
          <w:lang w:val="sr-Latn-RS"/>
        </w:rPr>
      </w:pPr>
      <w:r>
        <w:rPr>
          <w:lang w:val="sr-Latn-RS"/>
        </w:rPr>
        <w:t>BSPD mora biti standalone neprogramabilan sklop</w:t>
      </w:r>
    </w:p>
    <w:p>
      <w:pPr>
        <w:pStyle w:val="ListParagraph"/>
        <w:numPr>
          <w:ilvl w:val="0"/>
          <w:numId w:val="6"/>
        </w:numPr>
        <w:rPr>
          <w:lang w:val="sr-Latn-RS"/>
        </w:rPr>
      </w:pPr>
      <w:r>
        <w:rPr>
          <w:lang w:val="sr-Latn-RS"/>
        </w:rPr>
        <w:t>napaja se direktno sa LVMS</w:t>
      </w:r>
    </w:p>
    <w:p>
      <w:pPr>
        <w:pStyle w:val="ListParagraph"/>
        <w:numPr>
          <w:ilvl w:val="0"/>
          <w:numId w:val="6"/>
        </w:numPr>
        <w:rPr>
          <w:lang w:val="sr-Latn-RS"/>
        </w:rPr>
      </w:pPr>
      <w:r>
        <w:rPr>
          <w:lang w:val="sr-Latn-RS"/>
        </w:rPr>
        <w:t>koristi senzor pritiska kočnice (≤30 bar prag)</w:t>
      </w:r>
    </w:p>
    <w:p>
      <w:pPr>
        <w:pStyle w:val="Normal"/>
        <w:rPr>
          <w:lang w:val="sr-Latn-RS"/>
        </w:rPr>
      </w:pPr>
      <w:r>
        <w:rPr>
          <w:lang w:val="sr-Latn-RS"/>
        </w:rPr>
        <w:t xml:space="preserve">Korišćeno rešenje bazirano je na BSPD rešenju koje je dizajnirao tim sa Univerziteta </w:t>
      </w:r>
      <w:r>
        <w:rPr>
          <w:i/>
          <w:iCs/>
          <w:lang w:val="sr-Latn-RS"/>
        </w:rPr>
        <w:t>Lankaster</w:t>
      </w:r>
      <w:r>
        <w:rPr>
          <w:lang w:val="sr-Latn-RS"/>
        </w:rPr>
        <w:t>.</w:t>
      </w:r>
    </w:p>
    <w:p>
      <w:pPr>
        <w:pStyle w:val="Normal"/>
        <w:rPr>
          <w:lang w:val="sr-Latn-RS"/>
        </w:rPr>
      </w:pPr>
      <w:r>
        <w:rPr>
          <w:lang w:val="sr-Latn-RS"/>
        </w:rPr>
        <w:t xml:space="preserve">U sklopu pločice nalazi se relej </w:t>
      </w:r>
      <w:r>
        <w:rPr>
          <w:i/>
          <w:iCs/>
          <w:lang w:val="sr-Latn-RS"/>
        </w:rPr>
        <w:t>G5Q-1</w:t>
      </w:r>
      <w:r>
        <w:rPr>
          <w:lang w:val="sr-Latn-RS"/>
        </w:rPr>
        <w:t xml:space="preserve"> koji se otvara u slučaju greške i na taj način prekida SDC.</w:t>
      </w:r>
    </w:p>
    <w:p>
      <w:pPr>
        <w:pStyle w:val="Normal"/>
        <w:rPr>
          <w:lang w:val="sr-Latn-RS"/>
        </w:rPr>
      </w:pPr>
      <w:r>
        <w:rPr/>
        <w:drawing>
          <wp:inline distT="0" distB="0" distL="0" distR="0">
            <wp:extent cx="6640830" cy="3669030"/>
            <wp:effectExtent l="0" t="0" r="0" b="0"/>
            <wp:docPr id="15" name="Slika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lika 5" descr=""/>
                    <pic:cNvPicPr>
                      <a:picLocks noChangeAspect="1" noChangeArrowheads="1"/>
                    </pic:cNvPicPr>
                  </pic:nvPicPr>
                  <pic:blipFill>
                    <a:blip r:embed="rId19"/>
                    <a:stretch>
                      <a:fillRect/>
                    </a:stretch>
                  </pic:blipFill>
                  <pic:spPr bwMode="auto">
                    <a:xfrm>
                      <a:off x="0" y="0"/>
                      <a:ext cx="6640830" cy="3669030"/>
                    </a:xfrm>
                    <a:prstGeom prst="rect">
                      <a:avLst/>
                    </a:prstGeom>
                  </pic:spPr>
                </pic:pic>
              </a:graphicData>
            </a:graphic>
          </wp:inline>
        </w:drawing>
      </w:r>
    </w:p>
    <w:p>
      <w:pPr>
        <w:pStyle w:val="Normal"/>
        <w:jc w:val="center"/>
        <w:rPr>
          <w:lang w:val="sr-Latn-RS"/>
        </w:rPr>
      </w:pPr>
      <w:r>
        <w:rPr>
          <w:lang w:val="sr-Latn-RS"/>
        </w:rPr>
        <w:t>Slika 3.5 Logika BSPD-a za upravljanje SDC</w:t>
      </w:r>
    </w:p>
    <w:p>
      <w:pPr>
        <w:pStyle w:val="Normal"/>
        <w:jc w:val="left"/>
        <w:rPr/>
      </w:pPr>
      <w:r>
        <w:rPr/>
        <w:t>Taj signal se prosleđuje na SDC pločicu, gde se AND-uje sa IMD signalom.</w:t>
      </w:r>
    </w:p>
    <w:p>
      <w:pPr>
        <w:pStyle w:val="Normal"/>
        <w:jc w:val="left"/>
        <w:rPr/>
      </w:pPr>
      <w:r>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Style6"/>
        <w:numPr>
          <w:ilvl w:val="1"/>
          <w:numId w:val="1"/>
        </w:numPr>
        <w:rPr>
          <w:lang w:val="sr-Latn-RS"/>
        </w:rPr>
      </w:pPr>
      <w:r>
        <w:rPr>
          <w:lang w:val="sr-Latn-RS"/>
        </w:rPr>
        <w:t>IMD</w:t>
      </w:r>
    </w:p>
    <w:p>
      <w:pPr>
        <w:pStyle w:val="Normal"/>
        <w:rPr>
          <w:lang w:val="sr-Latn-RS"/>
        </w:rPr>
      </w:pPr>
      <w:r>
        <w:rPr>
          <w:lang w:val="sr-Latn-RS"/>
        </w:rPr>
        <w:t xml:space="preserve">Izabrani IMD je </w:t>
      </w:r>
      <w:r>
        <w:rPr>
          <w:b/>
          <w:bCs/>
          <w:lang w:val="sr-Latn-RS"/>
        </w:rPr>
        <w:t>Bender iso175</w:t>
      </w:r>
      <w:r>
        <w:rPr>
          <w:lang w:val="sr-Latn-RS"/>
        </w:rPr>
        <w:t>.</w:t>
      </w:r>
    </w:p>
    <w:p>
      <w:pPr>
        <w:pStyle w:val="Normal"/>
        <w:rPr>
          <w:lang w:val="en-GB"/>
        </w:rPr>
      </w:pPr>
      <w:r>
        <w:rPr>
          <w:lang w:val="sr-Latn-RS"/>
        </w:rPr>
        <w:t xml:space="preserve">Statusni izlaz </w:t>
      </w:r>
      <w:r>
        <w:rPr/>
      </w:r>
      <m:oMath xmlns:m="http://schemas.openxmlformats.org/officeDocument/2006/math">
        <m:sSub>
          <m:e>
            <m:r>
              <w:rPr>
                <w:rFonts w:ascii="Cambria Math" w:hAnsi="Cambria Math"/>
              </w:rPr>
              <m:t xml:space="preserve">OK</m:t>
            </m:r>
          </m:e>
          <m:sub>
            <m:r>
              <w:rPr>
                <w:rFonts w:ascii="Cambria Math" w:hAnsi="Cambria Math"/>
              </w:rPr>
              <m:t xml:space="preserve">HS</m:t>
            </m:r>
          </m:sub>
        </m:sSub>
      </m:oMath>
      <w:r>
        <w:rPr>
          <w:lang w:val="sr-Latn-RS"/>
        </w:rPr>
        <w:t xml:space="preserve"> koristi open-collector topologiju. Kada nema aktivnih alarma, izlaz je povezan sa terminalom 15 (napajanje). Čim se aktivira makar jedan alarm, interni izlazni tranzistor se zatvara, pa spoljašnji pull-down otpornik povlači izlaz na potencijal terminala 31 (masa). Pomoću ovog interfejsa moguće je jednostavno nadgledati stanje visokonaponskog (HV) sistema. </w:t>
      </w:r>
    </w:p>
    <w:p>
      <w:pPr>
        <w:pStyle w:val="Normal"/>
        <w:rPr>
          <w:lang w:val="sr-Latn-RS"/>
        </w:rPr>
      </w:pPr>
      <w:r>
        <w:rPr>
          <w:lang w:val="sr-Latn-RS"/>
        </w:rPr>
        <w:t>Takođe, na pin se povezuje i indikatorska LED dioda koja sija u slučaju greške.</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85"/>
        <w:gridCol w:w="3485"/>
        <w:gridCol w:w="3486"/>
      </w:tblGrid>
      <w:tr>
        <w:trPr/>
        <w:tc>
          <w:tcPr>
            <w:tcW w:w="3485" w:type="dxa"/>
            <w:tcBorders/>
          </w:tcPr>
          <w:p>
            <w:pPr>
              <w:pStyle w:val="Normal"/>
              <w:widowControl/>
              <w:suppressAutoHyphens w:val="true"/>
              <w:spacing w:before="0" w:after="0"/>
              <w:jc w:val="center"/>
              <w:rPr>
                <w:b/>
                <w:bCs/>
                <w:lang w:val="sr-Latn-RS"/>
              </w:rPr>
            </w:pPr>
            <w:r>
              <w:rPr>
                <w:rFonts w:eastAsia="Aptos" w:cs="Arial"/>
                <w:b/>
                <w:bCs/>
                <w:kern w:val="2"/>
                <w:sz w:val="24"/>
                <w:szCs w:val="24"/>
                <w:lang w:val="sr-Latn-RS" w:eastAsia="en-US" w:bidi="ar-SA"/>
              </w:rPr>
              <w:t>Status</w:t>
            </w:r>
          </w:p>
        </w:tc>
        <w:tc>
          <w:tcPr>
            <w:tcW w:w="3485"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OK</w:t>
            </w:r>
          </w:p>
        </w:tc>
        <w:tc>
          <w:tcPr>
            <w:tcW w:w="3486"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Greška</w:t>
            </w:r>
          </w:p>
        </w:tc>
      </w:tr>
      <w:tr>
        <w:trPr/>
        <w:tc>
          <w:tcPr>
            <w:tcW w:w="3485" w:type="dxa"/>
            <w:tcBorders/>
          </w:tcPr>
          <w:p>
            <w:pPr>
              <w:pStyle w:val="Normal"/>
              <w:widowControl/>
              <w:suppressAutoHyphens w:val="true"/>
              <w:spacing w:before="0" w:after="0"/>
              <w:jc w:val="center"/>
              <w:rPr>
                <w:b/>
                <w:bCs/>
                <w:lang w:val="sr-Latn-RS"/>
              </w:rPr>
            </w:pPr>
            <w:r>
              <w:rPr>
                <w:rFonts w:eastAsia="Aptos" w:cs="Arial"/>
                <w:b/>
                <w:bCs/>
                <w:kern w:val="2"/>
                <w:sz w:val="24"/>
                <w:szCs w:val="24"/>
                <w:lang w:val="sr-Latn-RS" w:eastAsia="en-US" w:bidi="ar-SA"/>
              </w:rPr>
              <w:t>IMD_CTRL</w:t>
            </w:r>
          </w:p>
        </w:tc>
        <w:tc>
          <w:tcPr>
            <w:tcW w:w="3485" w:type="dxa"/>
            <w:tcBorders/>
          </w:tcPr>
          <w:p>
            <w:pPr>
              <w:pStyle w:val="Normal"/>
              <w:widowControl/>
              <w:tabs>
                <w:tab w:val="clear" w:pos="720"/>
                <w:tab w:val="center" w:pos="1634" w:leader="none"/>
                <w:tab w:val="right" w:pos="3269" w:leader="none"/>
              </w:tabs>
              <w:suppressAutoHyphens w:val="true"/>
              <w:spacing w:before="0" w:after="0"/>
              <w:jc w:val="center"/>
              <w:rPr>
                <w:lang w:val="sr-Latn-RS"/>
              </w:rPr>
            </w:pPr>
            <w:r>
              <w:rPr>
                <w:rFonts w:eastAsia="Aptos" w:cs="Arial"/>
                <w:kern w:val="2"/>
                <w:sz w:val="24"/>
                <w:szCs w:val="24"/>
                <w:lang w:val="sr-Latn-RS" w:eastAsia="en-US" w:bidi="ar-SA"/>
              </w:rPr>
              <w:t>HIGH</w:t>
            </w:r>
          </w:p>
        </w:tc>
        <w:tc>
          <w:tcPr>
            <w:tcW w:w="3486"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LOW</w:t>
            </w:r>
          </w:p>
        </w:tc>
      </w:tr>
    </w:tbl>
    <w:p>
      <w:pPr>
        <w:pStyle w:val="Normal"/>
        <w:rPr>
          <w:lang w:val="sr-Latn-RS"/>
        </w:rPr>
      </w:pPr>
      <w:r>
        <w:rPr>
          <w:lang w:val="sr-Latn-RS"/>
        </w:rPr>
      </w:r>
    </w:p>
    <w:p>
      <w:pPr>
        <w:pStyle w:val="Normal"/>
        <w:jc w:val="center"/>
        <w:rPr>
          <w:lang w:val="sr-Latn-RS"/>
        </w:rPr>
      </w:pPr>
      <w:r>
        <w:rPr/>
        <w:drawing>
          <wp:inline distT="0" distB="0" distL="0" distR="0">
            <wp:extent cx="5776595" cy="3101975"/>
            <wp:effectExtent l="0" t="0" r="0" b="0"/>
            <wp:docPr id="1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
                    <pic:cNvPicPr>
                      <a:picLocks noChangeAspect="1" noChangeArrowheads="1"/>
                    </pic:cNvPicPr>
                  </pic:nvPicPr>
                  <pic:blipFill>
                    <a:blip r:embed="rId20"/>
                    <a:stretch>
                      <a:fillRect/>
                    </a:stretch>
                  </pic:blipFill>
                  <pic:spPr bwMode="auto">
                    <a:xfrm>
                      <a:off x="0" y="0"/>
                      <a:ext cx="5776595" cy="3101975"/>
                    </a:xfrm>
                    <a:prstGeom prst="rect">
                      <a:avLst/>
                    </a:prstGeom>
                  </pic:spPr>
                </pic:pic>
              </a:graphicData>
            </a:graphic>
          </wp:inline>
        </w:drawing>
      </w:r>
    </w:p>
    <w:p>
      <w:pPr>
        <w:pStyle w:val="Normal"/>
        <w:jc w:val="center"/>
        <w:rPr>
          <w:lang w:val="sr-Latn-RS"/>
        </w:rPr>
      </w:pPr>
      <w:r>
        <w:rPr>
          <w:lang w:val="sr-Latn-RS"/>
        </w:rP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334000" cy="3343275"/>
            <wp:effectExtent l="0" t="0" r="0" b="0"/>
            <wp:wrapSquare wrapText="largest"/>
            <wp:docPr id="1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
                    <pic:cNvPicPr>
                      <a:picLocks noChangeAspect="1" noChangeArrowheads="1"/>
                    </pic:cNvPicPr>
                  </pic:nvPicPr>
                  <pic:blipFill>
                    <a:blip r:embed="rId21"/>
                    <a:stretch>
                      <a:fillRect/>
                    </a:stretch>
                  </pic:blipFill>
                  <pic:spPr bwMode="auto">
                    <a:xfrm>
                      <a:off x="0" y="0"/>
                      <a:ext cx="5334000" cy="3343275"/>
                    </a:xfrm>
                    <a:prstGeom prst="rect">
                      <a:avLst/>
                    </a:prstGeom>
                  </pic:spPr>
                </pic:pic>
              </a:graphicData>
            </a:graphic>
          </wp:anchor>
        </w:drawing>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jc w:val="center"/>
        <w:rPr>
          <w:lang w:val="sr-Latn-RS"/>
        </w:rPr>
      </w:pPr>
      <w:r>
        <w:rPr/>
        <w:t>Slike 3.6 Povezivanje IMD-a</w:t>
      </w:r>
    </w:p>
    <w:p>
      <w:pPr>
        <w:pStyle w:val="Normal"/>
        <w:rPr>
          <w:lang w:val="sr-Latn-RS"/>
        </w:rPr>
      </w:pPr>
      <w:r>
        <w:rPr>
          <w:lang w:val="sr-Latn-RS"/>
        </w:rPr>
      </w:r>
    </w:p>
    <w:p>
      <w:pPr>
        <w:pStyle w:val="Style6"/>
        <w:numPr>
          <w:ilvl w:val="1"/>
          <w:numId w:val="1"/>
        </w:numPr>
        <w:rPr>
          <w:lang w:val="sr-Latn-RS"/>
        </w:rPr>
      </w:pPr>
      <w:r>
        <w:rPr>
          <w:lang w:val="sr-Latn-RS"/>
        </w:rPr>
        <w:t>AMS</w:t>
      </w:r>
    </w:p>
    <w:p>
      <w:pPr>
        <w:pStyle w:val="Normal"/>
        <w:rPr>
          <w:lang w:val="sr-Latn-RS"/>
        </w:rPr>
      </w:pPr>
      <w:r>
        <w:rPr>
          <w:lang w:val="sr-Latn-RS"/>
        </w:rPr>
        <w:t xml:space="preserve">Izabrani AMS je </w:t>
      </w:r>
      <w:r>
        <w:rPr>
          <w:b/>
          <w:bCs/>
          <w:lang w:val="sr-Latn-RS"/>
        </w:rPr>
        <w:t>Orion 2 BMS</w:t>
      </w:r>
      <w:r>
        <w:rPr>
          <w:lang w:val="sr-Latn-RS"/>
        </w:rPr>
        <w:t xml:space="preserve">. </w:t>
      </w:r>
    </w:p>
    <w:p>
      <w:pPr>
        <w:pStyle w:val="Normal"/>
        <w:rPr>
          <w:lang w:val="sr-Latn-RS"/>
        </w:rPr>
      </w:pPr>
      <w:r>
        <w:rPr>
          <w:b/>
          <w:bCs/>
          <w:lang w:val="sr-Latn-RS"/>
        </w:rPr>
        <w:t>Discharge Enable Output (Pin 7)</w:t>
      </w:r>
      <w:r>
        <w:rPr>
          <w:lang w:val="sr-Latn-RS"/>
        </w:rPr>
        <w:t xml:space="preserve"> je pin koji se koristi u oba režima rada, </w:t>
      </w:r>
      <w:r>
        <w:rPr>
          <w:b/>
          <w:bCs/>
          <w:lang w:val="sr-Latn-RS"/>
        </w:rPr>
        <w:t>READY</w:t>
      </w:r>
      <w:r>
        <w:rPr>
          <w:lang w:val="sr-Latn-RS"/>
        </w:rPr>
        <w:t xml:space="preserve"> i </w:t>
      </w:r>
      <w:r>
        <w:rPr>
          <w:b/>
          <w:bCs/>
          <w:lang w:val="sr-Latn-RS"/>
        </w:rPr>
        <w:t>CHARGE</w:t>
      </w:r>
      <w:r>
        <w:rPr>
          <w:lang w:val="sr-Latn-RS"/>
        </w:rPr>
        <w:t xml:space="preserve">. Izlaz se aktivira (povlači na </w:t>
      </w:r>
      <w:r>
        <w:rPr>
          <w:b/>
          <w:bCs/>
          <w:lang w:val="sr-Latn-RS"/>
        </w:rPr>
        <w:t>nizak nivo / LOW</w:t>
      </w:r>
      <w:r>
        <w:rPr>
          <w:lang w:val="sr-Latn-RS"/>
        </w:rPr>
        <w:t>) čim AMS završi samoproveru i potvrdi da je baterija spremna za pražnjenje.</w:t>
      </w:r>
    </w:p>
    <w:p>
      <w:pPr>
        <w:pStyle w:val="Normal"/>
        <w:rPr>
          <w:lang w:val="sr-Latn-RS"/>
        </w:rPr>
      </w:pPr>
      <w:r>
        <w:rPr>
          <w:lang w:val="sr-Latn-RS"/>
        </w:rPr>
        <w:t xml:space="preserve">Izlaz će se isključiti (preći u stanje </w:t>
      </w:r>
      <w:r>
        <w:rPr>
          <w:b/>
          <w:bCs/>
          <w:lang w:val="sr-Latn-RS"/>
        </w:rPr>
        <w:t>visoke impedanse</w:t>
      </w:r>
      <w:r>
        <w:rPr>
          <w:lang w:val="sr-Latn-RS"/>
        </w:rPr>
        <w:t>) u sledećim slučajevima:</w:t>
      </w:r>
    </w:p>
    <w:p>
      <w:pPr>
        <w:pStyle w:val="ListParagraph"/>
        <w:numPr>
          <w:ilvl w:val="0"/>
          <w:numId w:val="2"/>
        </w:numPr>
        <w:rPr>
          <w:lang w:val="sr-Latn-RS"/>
        </w:rPr>
      </w:pPr>
      <w:r>
        <w:rPr>
          <w:lang w:val="sr-Latn-RS"/>
        </w:rPr>
        <w:t>Ako AMS utvrdi da baterija više ne može da obezbedi struju.</w:t>
      </w:r>
    </w:p>
    <w:p>
      <w:pPr>
        <w:pStyle w:val="ListParagraph"/>
        <w:numPr>
          <w:ilvl w:val="0"/>
          <w:numId w:val="2"/>
        </w:numPr>
        <w:rPr>
          <w:lang w:val="sr-Latn-RS"/>
        </w:rPr>
      </w:pPr>
      <w:r>
        <w:rPr>
          <w:lang w:val="sr-Latn-RS"/>
        </w:rPr>
        <w:t>Ako je prekoračena maksimalna dozvoljena struja pražnjenja.</w:t>
      </w:r>
    </w:p>
    <w:p>
      <w:pPr>
        <w:pStyle w:val="ListParagraph"/>
        <w:numPr>
          <w:ilvl w:val="0"/>
          <w:numId w:val="2"/>
        </w:numPr>
        <w:rPr>
          <w:lang w:val="sr-Latn-RS"/>
        </w:rPr>
      </w:pPr>
      <w:r>
        <w:rPr>
          <w:lang w:val="sr-Latn-RS"/>
        </w:rPr>
        <w:t>Ako se dostigne kritično nizak napon ćelija.</w:t>
      </w:r>
    </w:p>
    <w:p>
      <w:pPr>
        <w:pStyle w:val="Normal"/>
        <w:rPr>
          <w:lang w:val="sr-Latn-RS"/>
        </w:rPr>
      </w:pPr>
      <w:r>
        <w:rPr>
          <w:lang w:val="sr-Latn-RS"/>
        </w:rPr>
        <w:t>Kako bi se izbeglo stanje visoke impedanse, potrebno je dodati pull-up otpornik.</w:t>
      </w:r>
    </w:p>
    <w:p>
      <w:pPr>
        <w:pStyle w:val="Normal"/>
        <w:rPr>
          <w:lang w:val="sr-Latn-RS"/>
        </w:rPr>
      </w:pPr>
      <w:r>
        <w:rPr>
          <w:lang w:val="sr-Latn-RS"/>
        </w:rPr>
        <w:t>Takođe, na pin se povezuje i indikatorska LED dioda koja sija u slučaju greške.</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85"/>
        <w:gridCol w:w="3485"/>
        <w:gridCol w:w="3486"/>
      </w:tblGrid>
      <w:tr>
        <w:trPr/>
        <w:tc>
          <w:tcPr>
            <w:tcW w:w="3485" w:type="dxa"/>
            <w:tcBorders/>
          </w:tcPr>
          <w:p>
            <w:pPr>
              <w:pStyle w:val="Normal"/>
              <w:widowControl/>
              <w:suppressAutoHyphens w:val="true"/>
              <w:spacing w:before="0" w:after="0"/>
              <w:jc w:val="center"/>
              <w:rPr>
                <w:b/>
                <w:bCs/>
                <w:lang w:val="sr-Latn-RS"/>
              </w:rPr>
            </w:pPr>
            <w:r>
              <w:rPr>
                <w:rFonts w:eastAsia="Aptos" w:cs="Arial"/>
                <w:b/>
                <w:bCs/>
                <w:kern w:val="2"/>
                <w:sz w:val="24"/>
                <w:szCs w:val="24"/>
                <w:lang w:val="sr-Latn-RS" w:eastAsia="en-US" w:bidi="ar-SA"/>
              </w:rPr>
              <w:t>Status</w:t>
            </w:r>
          </w:p>
        </w:tc>
        <w:tc>
          <w:tcPr>
            <w:tcW w:w="3485"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OK</w:t>
            </w:r>
          </w:p>
        </w:tc>
        <w:tc>
          <w:tcPr>
            <w:tcW w:w="3486"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Greška</w:t>
            </w:r>
          </w:p>
        </w:tc>
      </w:tr>
      <w:tr>
        <w:trPr/>
        <w:tc>
          <w:tcPr>
            <w:tcW w:w="3485" w:type="dxa"/>
            <w:tcBorders/>
          </w:tcPr>
          <w:p>
            <w:pPr>
              <w:pStyle w:val="Normal"/>
              <w:widowControl/>
              <w:suppressAutoHyphens w:val="true"/>
              <w:spacing w:before="0" w:after="0"/>
              <w:jc w:val="center"/>
              <w:rPr>
                <w:b/>
                <w:bCs/>
                <w:lang w:val="sr-Latn-RS"/>
              </w:rPr>
            </w:pPr>
            <w:r>
              <w:rPr>
                <w:rFonts w:eastAsia="Aptos" w:cs="Arial"/>
                <w:b/>
                <w:bCs/>
                <w:kern w:val="2"/>
                <w:sz w:val="24"/>
                <w:szCs w:val="24"/>
                <w:lang w:val="sr-Latn-RS" w:eastAsia="en-US" w:bidi="ar-SA"/>
              </w:rPr>
              <w:t>AMS_CTRL</w:t>
            </w:r>
          </w:p>
        </w:tc>
        <w:tc>
          <w:tcPr>
            <w:tcW w:w="3485" w:type="dxa"/>
            <w:tcBorders/>
          </w:tcPr>
          <w:p>
            <w:pPr>
              <w:pStyle w:val="Normal"/>
              <w:widowControl/>
              <w:tabs>
                <w:tab w:val="clear" w:pos="720"/>
                <w:tab w:val="center" w:pos="1634" w:leader="none"/>
                <w:tab w:val="right" w:pos="3269" w:leader="none"/>
              </w:tabs>
              <w:suppressAutoHyphens w:val="true"/>
              <w:spacing w:before="0" w:after="0"/>
              <w:jc w:val="left"/>
              <w:rPr>
                <w:lang w:val="sr-Latn-RS"/>
              </w:rPr>
            </w:pPr>
            <w:r>
              <w:rPr>
                <w:rFonts w:eastAsia="Aptos" w:cs="Arial"/>
                <w:kern w:val="2"/>
                <w:sz w:val="24"/>
                <w:szCs w:val="24"/>
                <w:lang w:val="sr-Latn-RS" w:eastAsia="en-US" w:bidi="ar-SA"/>
              </w:rPr>
              <w:tab/>
              <w:t>LOW</w:t>
            </w:r>
          </w:p>
        </w:tc>
        <w:tc>
          <w:tcPr>
            <w:tcW w:w="3486"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HIGH</w:t>
            </w:r>
          </w:p>
        </w:tc>
      </w:tr>
    </w:tbl>
    <w:p>
      <w:pPr>
        <w:pStyle w:val="Style6"/>
        <w:numPr>
          <w:ilvl w:val="0"/>
          <w:numId w:val="0"/>
        </w:numPr>
        <w:ind w:hanging="0" w:left="1440"/>
        <w:rPr>
          <w:lang w:val="sr-Latn-RS"/>
        </w:rPr>
      </w:pPr>
      <w:r>
        <w:rPr>
          <w:lang w:val="sr-Latn-RS"/>
        </w:rPr>
        <w:br/>
      </w:r>
      <w:r>
        <w:rPr/>
        <w:drawing>
          <wp:inline distT="0" distB="0" distL="0" distR="0">
            <wp:extent cx="4576445" cy="3067050"/>
            <wp:effectExtent l="0" t="0" r="0" b="0"/>
            <wp:docPr id="1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
                    <pic:cNvPicPr>
                      <a:picLocks noChangeAspect="1" noChangeArrowheads="1"/>
                    </pic:cNvPicPr>
                  </pic:nvPicPr>
                  <pic:blipFill>
                    <a:blip r:embed="rId22"/>
                    <a:stretch>
                      <a:fillRect/>
                    </a:stretch>
                  </pic:blipFill>
                  <pic:spPr bwMode="auto">
                    <a:xfrm>
                      <a:off x="0" y="0"/>
                      <a:ext cx="4576445" cy="3067050"/>
                    </a:xfrm>
                    <a:prstGeom prst="rect">
                      <a:avLst/>
                    </a:prstGeom>
                  </pic:spPr>
                </pic:pic>
              </a:graphicData>
            </a:graphic>
          </wp:inline>
        </w:drawing>
      </w:r>
    </w:p>
    <w:p>
      <w:pPr>
        <w:pStyle w:val="Normal"/>
        <w:numPr>
          <w:ilvl w:val="0"/>
          <w:numId w:val="0"/>
        </w:numPr>
        <w:ind w:hanging="0" w:left="1440"/>
        <w:rPr>
          <w:lang w:val="sr-Latn-RS"/>
        </w:rPr>
      </w:pPr>
      <w:r>
        <w:rPr>
          <w:lang w:val="sr-Latn-RS"/>
        </w:rPr>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4057650" cy="2638425"/>
            <wp:effectExtent l="0" t="0" r="0" b="0"/>
            <wp:wrapSquare wrapText="largest"/>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23"/>
                    <a:stretch>
                      <a:fillRect/>
                    </a:stretch>
                  </pic:blipFill>
                  <pic:spPr bwMode="auto">
                    <a:xfrm>
                      <a:off x="0" y="0"/>
                      <a:ext cx="4057650" cy="2638425"/>
                    </a:xfrm>
                    <a:prstGeom prst="rect">
                      <a:avLst/>
                    </a:prstGeom>
                  </pic:spPr>
                </pic:pic>
              </a:graphicData>
            </a:graphic>
          </wp:anchor>
        </w:drawing>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t>Slike 3.7 Povezivanje AMS-a</w:t>
      </w:r>
    </w:p>
    <w:p>
      <w:pPr>
        <w:pStyle w:val="Normal"/>
        <w:jc w:val="center"/>
        <w:rPr>
          <w:lang w:val="sr-Latn-RS"/>
        </w:rPr>
      </w:pPr>
      <w:r>
        <w:rPr>
          <w:lang w:val="sr-Latn-RS"/>
        </w:rPr>
      </w:r>
    </w:p>
    <w:p>
      <w:pPr>
        <w:pStyle w:val="Style6"/>
        <w:numPr>
          <w:ilvl w:val="1"/>
          <w:numId w:val="1"/>
        </w:numPr>
        <w:rPr>
          <w:iCs/>
          <w:szCs w:val="28"/>
          <w:lang w:val="sr-Latn-RS"/>
        </w:rPr>
      </w:pPr>
      <w:r>
        <w:rPr>
          <w:iCs/>
          <w:szCs w:val="28"/>
          <w:lang w:val="sr-Latn-RS"/>
        </w:rPr>
        <w:t>AMS, BSPD i IMD leč</w:t>
      </w:r>
    </w:p>
    <w:p>
      <w:pPr>
        <w:pStyle w:val="Normal"/>
        <w:rPr>
          <w:rFonts w:cs="Aptos" w:cstheme="minorHAnsi"/>
          <w:lang w:val="sr-Latn-RS"/>
        </w:rPr>
      </w:pPr>
      <w:r>
        <w:rPr>
          <w:rFonts w:cs="Aptos" w:cstheme="minorHAnsi"/>
          <w:lang w:val="sr-Latn-RS"/>
        </w:rPr>
        <w:t>Pošto je potrebno dobiti HIGH izlaz (za zatvaranje releja u serijskoj vezi SDC) samo kada su sva tri signala u stanju „OK“, a AMS radi na inverznoj logici, nije moguće direktno povezati ova tri signala na AND kolo.</w:t>
      </w:r>
    </w:p>
    <w:p>
      <w:pPr>
        <w:pStyle w:val="Normal"/>
        <w:rPr>
          <w:rFonts w:cs="Aptos" w:cstheme="minorHAnsi"/>
          <w:lang w:val="sr-Latn-RS"/>
        </w:rPr>
      </w:pPr>
      <w:r>
        <w:rPr>
          <w:rFonts w:cs="Aptos" w:cstheme="minorHAnsi"/>
          <w:lang w:val="sr-Latn-RS"/>
        </w:rPr>
        <w:t>Stoga je leč mehanizam implementiran na sledeći način:</w:t>
      </w:r>
    </w:p>
    <w:p>
      <w:pPr>
        <w:pStyle w:val="Normal"/>
        <w:numPr>
          <w:ilvl w:val="0"/>
          <w:numId w:val="11"/>
        </w:numPr>
        <w:rPr>
          <w:rFonts w:cs="Aptos" w:cstheme="minorHAnsi"/>
          <w:lang w:val="sr-Latn-RS"/>
        </w:rPr>
      </w:pPr>
      <w:r>
        <w:rPr>
          <w:rFonts w:cs="Aptos" w:cstheme="minorHAnsi"/>
          <w:lang w:val="sr-Latn-RS"/>
        </w:rPr>
        <w:t>Najpre se, zbog identične logike rada, BSPD i IMD dovode na AND kolo.</w:t>
      </w:r>
    </w:p>
    <w:p>
      <w:pPr>
        <w:pStyle w:val="Normal"/>
        <w:rPr>
          <w:rFonts w:cs="Aptos" w:cstheme="minorHAnsi"/>
          <w:lang w:val="sr-Latn-RS"/>
        </w:rPr>
      </w:pPr>
      <w:r>
        <w:rPr>
          <w:rFonts w:cs="Aptos" w:cstheme="minorHAnsi"/>
          <w:lang w:val="sr-Latn-RS"/>
        </w:rP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4600575" cy="1628775"/>
            <wp:effectExtent l="0" t="0" r="0" b="0"/>
            <wp:wrapSquare wrapText="largest"/>
            <wp:docPr id="2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
                    <pic:cNvPicPr>
                      <a:picLocks noChangeAspect="1" noChangeArrowheads="1"/>
                    </pic:cNvPicPr>
                  </pic:nvPicPr>
                  <pic:blipFill>
                    <a:blip r:embed="rId24"/>
                    <a:stretch>
                      <a:fillRect/>
                    </a:stretch>
                  </pic:blipFill>
                  <pic:spPr bwMode="auto">
                    <a:xfrm>
                      <a:off x="0" y="0"/>
                      <a:ext cx="4600575" cy="1628775"/>
                    </a:xfrm>
                    <a:prstGeom prst="rect">
                      <a:avLst/>
                    </a:prstGeom>
                  </pic:spPr>
                </pic:pic>
              </a:graphicData>
            </a:graphic>
          </wp:anchor>
        </w:drawing>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jc w:val="center"/>
        <w:rPr>
          <w:lang w:val="sr-Latn-RS"/>
        </w:rPr>
      </w:pPr>
      <w:r>
        <w:rPr>
          <w:rFonts w:cs="Aptos" w:cstheme="minorHAnsi"/>
          <w:lang w:val="sr-Latn-RS"/>
        </w:rPr>
        <w:t xml:space="preserve">Slika 3.8a BSPD &amp; IMD </w:t>
      </w:r>
    </w:p>
    <w:p>
      <w:pPr>
        <w:pStyle w:val="Normal"/>
        <w:numPr>
          <w:ilvl w:val="0"/>
          <w:numId w:val="11"/>
        </w:numPr>
        <w:rPr>
          <w:rFonts w:cs="Aptos" w:cstheme="minorHAnsi"/>
          <w:lang w:val="sr-Latn-RS"/>
        </w:rPr>
      </w:pPr>
      <w:r>
        <w:rPr>
          <w:rFonts w:cs="Aptos" w:cstheme="minorHAnsi"/>
          <w:lang w:val="sr-Latn-RS"/>
        </w:rPr>
        <w:t>Potom se taj AND-ovan signal dovodi, zajedno sa AMS signalom, na dve NAND kapije kako bi se formirali odgovarajući invertovani signali. Njihovi izlazi se zatim vode na treću NAND kapiju, koja invertuje rezultat i daje željeni AND izlaz – odnosno dobijamo HIGH izlaz kada je sve OK, i LOW u slučaju greške.</w:t>
      </w:r>
    </w:p>
    <w:p>
      <w:pPr>
        <w:pStyle w:val="Normal"/>
        <w:rPr>
          <w:rFonts w:cs="Aptos" w:cstheme="minorHAnsi"/>
          <w:lang w:val="sr-Latn-RS"/>
        </w:rPr>
      </w:pPr>
      <w:r>
        <w:rPr>
          <w:rFonts w:cs="Aptos" w:cstheme="minorHAnsi"/>
          <w:lang w:val="sr-Latn-RS"/>
        </w:rPr>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5467350" cy="3638550"/>
            <wp:effectExtent l="0" t="0" r="0" b="0"/>
            <wp:wrapSquare wrapText="largest"/>
            <wp:docPr id="2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descr=""/>
                    <pic:cNvPicPr>
                      <a:picLocks noChangeAspect="1" noChangeArrowheads="1"/>
                    </pic:cNvPicPr>
                  </pic:nvPicPr>
                  <pic:blipFill>
                    <a:blip r:embed="rId25"/>
                    <a:stretch>
                      <a:fillRect/>
                    </a:stretch>
                  </pic:blipFill>
                  <pic:spPr bwMode="auto">
                    <a:xfrm>
                      <a:off x="0" y="0"/>
                      <a:ext cx="5467350" cy="3638550"/>
                    </a:xfrm>
                    <a:prstGeom prst="rect">
                      <a:avLst/>
                    </a:prstGeom>
                  </pic:spPr>
                </pic:pic>
              </a:graphicData>
            </a:graphic>
          </wp:anchor>
        </w:drawing>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br/>
      </w:r>
    </w:p>
    <w:p>
      <w:pPr>
        <w:pStyle w:val="Normal"/>
        <w:jc w:val="center"/>
        <w:rPr>
          <w:lang w:val="sr-Latn-RS"/>
        </w:rPr>
      </w:pPr>
      <w:r>
        <w:rPr>
          <w:rFonts w:cs="Aptos" w:cstheme="minorHAnsi"/>
          <w:lang w:val="sr-Latn-RS"/>
        </w:rPr>
        <w:t>Slika 3.8b BSPD &amp; IMD &amp; AMS</w:t>
      </w:r>
    </w:p>
    <w:p>
      <w:pPr>
        <w:pStyle w:val="Normal"/>
        <w:rPr>
          <w:rFonts w:cs="Aptos" w:cstheme="minorHAnsi"/>
          <w:lang w:val="sr-Latn-RS"/>
        </w:rPr>
      </w:pPr>
      <w:r>
        <w:rPr>
          <w:rFonts w:cs="Aptos" w:cstheme="minorHAnsi"/>
          <w:lang w:val="sr-Latn-RS"/>
        </w:rPr>
        <w:t>Prednost korišćenja CD4093 je prisustvo Šmitovih okidača na ulazima, što povećava otpornost kola na šum i nestabilnosti signala.</w:t>
      </w:r>
    </w:p>
    <w:p>
      <w:pPr>
        <w:pStyle w:val="Normal"/>
        <w:rPr>
          <w:rFonts w:cs="Aptos" w:cstheme="minorHAnsi"/>
          <w:lang w:val="sr-Latn-RS"/>
        </w:rPr>
      </w:pPr>
      <w:r>
        <w:rPr>
          <w:rFonts w:cs="Aptos" w:cstheme="minorHAnsi"/>
          <w:lang w:val="sr-Latn-RS"/>
        </w:rPr>
        <w:t>RC kolo se koristi za generisanje kratkog impulsa niskog nivoa pri uključenju napajanja (power-up reset). U trenutku uključenja kondenzator je ispražnjen, pa je izlaz na niskom logičkom nivou. Kako se kondenzator puni kroz otpornik, nakon određenog vremena (oko 1 sekunde) napon prelazi u visok nivo.</w:t>
      </w:r>
    </w:p>
    <w:p>
      <w:pPr>
        <w:pStyle w:val="Normal"/>
        <w:rPr>
          <w:rFonts w:cs="Aptos" w:cstheme="minorHAnsi"/>
          <w:lang w:val="sr-Latn-RS"/>
        </w:rPr>
      </w:pPr>
      <w:r>
        <w:rPr>
          <w:rFonts w:cs="Aptos" w:cstheme="minorHAnsi"/>
          <w:lang w:val="sr-Latn-RS"/>
        </w:rPr>
      </w:r>
    </w:p>
    <w:p>
      <w:pPr>
        <w:pStyle w:val="Normal"/>
        <w:rPr>
          <w:rFonts w:cs="Aptos" w:cstheme="minorHAnsi"/>
          <w:lang w:val="sr-Latn-RS"/>
        </w:rPr>
      </w:pPr>
      <w:r>
        <w:rPr>
          <w:rFonts w:cs="Aptos" w:cstheme="minorHAnsi"/>
          <w:lang w:val="sr-Latn-RS"/>
        </w:rPr>
        <w:t xml:space="preserve"> </w:t>
      </w:r>
    </w:p>
    <w:p>
      <w:pPr>
        <w:pStyle w:val="Normal"/>
        <w:numPr>
          <w:ilvl w:val="0"/>
          <w:numId w:val="11"/>
        </w:numPr>
        <w:rPr>
          <w:rFonts w:cs="Aptos" w:cstheme="minorHAnsi"/>
          <w:lang w:val="sr-Latn-RS"/>
        </w:rPr>
      </w:pPr>
      <w:r>
        <w:rPr>
          <w:rFonts w:cs="Aptos" w:cstheme="minorHAnsi"/>
          <w:lang w:val="sr-Latn-RS"/>
        </w:rPr>
        <w:t>Na kraju, izlaz RC kola i signal IMD&amp;BSPD&amp;AMS se dovode na NAND kapiju, a njen izlaz se koristi kao signal za RST1 pin CD4013 flip-flopa.</w:t>
      </w:r>
    </w:p>
    <w:p>
      <w:pPr>
        <w:pStyle w:val="Normal"/>
        <w:jc w:val="center"/>
        <w:rPr>
          <w:rFonts w:cs="Aptos" w:cstheme="minorHAnsi"/>
          <w:lang w:val="sr-Latn-RS"/>
        </w:rPr>
      </w:pPr>
      <w: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4467225" cy="2438400"/>
            <wp:effectExtent l="0" t="0" r="0" b="0"/>
            <wp:wrapTopAndBottom/>
            <wp:docPr id="2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descr=""/>
                    <pic:cNvPicPr>
                      <a:picLocks noChangeAspect="1" noChangeArrowheads="1"/>
                    </pic:cNvPicPr>
                  </pic:nvPicPr>
                  <pic:blipFill>
                    <a:blip r:embed="rId26"/>
                    <a:stretch>
                      <a:fillRect/>
                    </a:stretch>
                  </pic:blipFill>
                  <pic:spPr bwMode="auto">
                    <a:xfrm>
                      <a:off x="0" y="0"/>
                      <a:ext cx="4467225" cy="2438400"/>
                    </a:xfrm>
                    <a:prstGeom prst="rect">
                      <a:avLst/>
                    </a:prstGeom>
                  </pic:spPr>
                </pic:pic>
              </a:graphicData>
            </a:graphic>
          </wp:anchor>
        </w:drawing>
      </w:r>
      <w:r>
        <w:rPr>
          <w:b w:val="false"/>
          <w:bCs w:val="false"/>
        </w:rPr>
        <w:t>Slika 3.8c Leč mehanizam</w:t>
      </w:r>
    </w:p>
    <w:p>
      <w:pPr>
        <w:pStyle w:val="Normal"/>
        <w:rPr>
          <w:rFonts w:cs="Aptos" w:cstheme="minorHAnsi"/>
          <w:b/>
          <w:bCs/>
          <w:lang w:val="sr-Latn-RS"/>
        </w:rPr>
      </w:pPr>
      <w:r>
        <w:rPr>
          <w:rFonts w:cs="Aptos" w:cstheme="minorHAnsi"/>
          <w:b/>
          <w:bCs/>
          <w:lang w:val="sr-Latn-RS"/>
        </w:rPr>
        <w:t>Logika rada je sledeća:</w:t>
      </w:r>
    </w:p>
    <w:p>
      <w:pPr>
        <w:pStyle w:val="ListParagraph"/>
        <w:numPr>
          <w:ilvl w:val="0"/>
          <w:numId w:val="3"/>
        </w:numPr>
        <w:rPr>
          <w:lang w:val="sr-Latn-RS"/>
        </w:rPr>
      </w:pPr>
      <w:r>
        <w:rPr>
          <w:b/>
          <w:bCs/>
          <w:lang w:val="sr-Latn-RS"/>
        </w:rPr>
        <w:t>Napomena:</w:t>
      </w:r>
      <w:r>
        <w:rPr>
          <w:lang w:val="sr-Latn-RS"/>
        </w:rPr>
        <w:t xml:space="preserve"> </w:t>
      </w:r>
    </w:p>
    <w:p>
      <w:pPr>
        <w:pStyle w:val="ListParagraph"/>
        <w:rPr>
          <w:lang w:val="sr-Latn-RS"/>
        </w:rPr>
      </w:pPr>
      <w:r>
        <w:rPr>
          <w:lang w:val="sr-Latn-RS"/>
        </w:rPr>
        <w:t>U ovom kontekstu, “reset aktivan” znači da je RST1 pin aktivan, tj. da se Q1 postavlja na 0. Da bi se sistem izvukao iz leč stanja (Q1=0), neophodno je ukloniti grešku i pritisnuti RESET taster, čime se generiše rastuća ivica takta (CLK1) koja upisuje Q1=1 i omogućava ponovno uključivanje releja.</w:t>
      </w:r>
    </w:p>
    <w:p>
      <w:pPr>
        <w:pStyle w:val="ListParagraph"/>
        <w:rPr>
          <w:lang w:val="sr-Latn-RS"/>
        </w:rPr>
      </w:pPr>
      <w:r>
        <w:rPr>
          <w:lang w:val="sr-Latn-RS"/>
        </w:rPr>
        <w:t xml:space="preserve">BSPD signal nije uvršten </w:t>
      </w:r>
    </w:p>
    <w:tbl>
      <w:tblPr>
        <w:tblStyle w:val="Koordinatnamreatabele"/>
        <w:tblW w:w="104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2"/>
        <w:gridCol w:w="1800"/>
        <w:gridCol w:w="1449"/>
        <w:gridCol w:w="804"/>
        <w:gridCol w:w="1069"/>
        <w:gridCol w:w="545"/>
        <w:gridCol w:w="2612"/>
        <w:gridCol w:w="1607"/>
      </w:tblGrid>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RC</w:t>
            </w:r>
          </w:p>
        </w:tc>
        <w:tc>
          <w:tcPr>
            <w:tcW w:w="1800"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sr-Latn-RS" w:eastAsia="en-US" w:bidi="ar-SA"/>
              </w:rPr>
              <w:t>IMD&amp;BSPD</w:t>
            </w:r>
          </w:p>
        </w:tc>
        <w:tc>
          <w:tcPr>
            <w:tcW w:w="1449"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AMS</w:t>
            </w:r>
          </w:p>
        </w:tc>
        <w:tc>
          <w:tcPr>
            <w:tcW w:w="804"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RST1</w:t>
            </w:r>
          </w:p>
        </w:tc>
        <w:tc>
          <w:tcPr>
            <w:tcW w:w="1069"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CLK1</w:t>
            </w:r>
          </w:p>
        </w:tc>
        <w:tc>
          <w:tcPr>
            <w:tcW w:w="545"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Q1</w:t>
            </w:r>
          </w:p>
        </w:tc>
        <w:tc>
          <w:tcPr>
            <w:tcW w:w="2612"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Objašnjenje</w:t>
            </w:r>
          </w:p>
        </w:tc>
        <w:tc>
          <w:tcPr>
            <w:tcW w:w="1607" w:type="dxa"/>
            <w:tcBorders/>
          </w:tcPr>
          <w:p>
            <w:pPr>
              <w:pStyle w:val="Normal"/>
              <w:widowControl/>
              <w:suppressAutoHyphens w:val="true"/>
              <w:spacing w:before="0" w:after="0"/>
              <w:jc w:val="center"/>
              <w:rPr>
                <w:rFonts w:cs="Times New Roman"/>
                <w:b/>
                <w:bCs/>
              </w:rPr>
            </w:pPr>
            <w:r>
              <w:rPr>
                <w:rFonts w:eastAsia="Aptos" w:cs="Times New Roman"/>
                <w:b/>
                <w:bCs/>
                <w:kern w:val="2"/>
                <w:sz w:val="24"/>
                <w:szCs w:val="24"/>
                <w:lang w:val="en-US" w:eastAsia="en-US" w:bidi="ar-SA"/>
              </w:rPr>
              <w:t>Relej</w:t>
            </w:r>
          </w:p>
        </w:tc>
      </w:tr>
      <w:tr>
        <w:trPr>
          <w:trHeight w:val="443" w:hRule="atLeast"/>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1800"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44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8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06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2612" w:type="dxa"/>
            <w:tcBorders/>
            <w:vAlign w:val="center"/>
          </w:tcPr>
          <w:p>
            <w:pPr>
              <w:pStyle w:val="Normal"/>
              <w:widowControl/>
              <w:suppressAutoHyphens w:val="true"/>
              <w:spacing w:before="0" w:after="0"/>
              <w:rPr>
                <w:rFonts w:cs="Times New Roman"/>
                <w:lang w:val="sr-Latn-RS"/>
              </w:rPr>
            </w:pPr>
            <w:r>
              <w:rPr>
                <w:rFonts w:eastAsia="Aptos" w:cs="Times New Roman"/>
                <w:kern w:val="2"/>
                <w:sz w:val="24"/>
                <w:szCs w:val="24"/>
                <w:lang w:val="en-US" w:eastAsia="en-US" w:bidi="ar-SA"/>
              </w:rPr>
              <w:t>Reset aktivan pri power-up, Q1=0</w:t>
            </w:r>
          </w:p>
        </w:tc>
        <w:tc>
          <w:tcPr>
            <w:tcW w:w="1607"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Otvoren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800"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44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8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106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2612" w:type="dxa"/>
            <w:tcBorders/>
            <w:vAlign w:val="center"/>
          </w:tcPr>
          <w:p>
            <w:pPr>
              <w:pStyle w:val="Normal"/>
              <w:widowControl/>
              <w:suppressAutoHyphens w:val="true"/>
              <w:spacing w:before="0" w:after="0"/>
              <w:rPr>
                <w:rFonts w:cs="Times New Roman"/>
                <w:lang w:val="sr-Latn-RS"/>
              </w:rPr>
            </w:pPr>
            <w:r>
              <w:rPr>
                <w:rFonts w:eastAsia="Aptos" w:cs="Times New Roman"/>
                <w:kern w:val="2"/>
                <w:sz w:val="24"/>
                <w:szCs w:val="24"/>
                <w:lang w:val="en-US" w:eastAsia="en-US" w:bidi="ar-SA"/>
              </w:rPr>
              <w:t>Reset neaktivan, bez CLK fronta, Q1 ostaje 0</w:t>
            </w:r>
          </w:p>
        </w:tc>
        <w:tc>
          <w:tcPr>
            <w:tcW w:w="1607"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Otvoren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800"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44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8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106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2612" w:type="dxa"/>
            <w:tcBorders/>
            <w:vAlign w:val="center"/>
          </w:tcPr>
          <w:p>
            <w:pPr>
              <w:pStyle w:val="Normal"/>
              <w:widowControl/>
              <w:suppressAutoHyphens w:val="true"/>
              <w:spacing w:before="0" w:after="0"/>
              <w:jc w:val="left"/>
              <w:rPr>
                <w:rFonts w:cs="Times New Roman"/>
                <w:lang w:val="sr-Latn-RS"/>
              </w:rPr>
            </w:pPr>
            <w:r>
              <w:rPr>
                <w:rFonts w:eastAsia="Aptos" w:cs="Times New Roman"/>
                <w:kern w:val="2"/>
                <w:sz w:val="24"/>
                <w:szCs w:val="24"/>
                <w:lang w:val="en-US" w:eastAsia="en-US" w:bidi="ar-SA"/>
              </w:rPr>
              <w:t>Na rastući CLK front, D1=1 se upisuje u Q1, sistem se pokreće</w:t>
            </w:r>
          </w:p>
        </w:tc>
        <w:tc>
          <w:tcPr>
            <w:tcW w:w="1607"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Zatvoren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800"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44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8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106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2612" w:type="dxa"/>
            <w:tcBorders/>
            <w:vAlign w:val="center"/>
          </w:tcPr>
          <w:p>
            <w:pPr>
              <w:pStyle w:val="Normal"/>
              <w:widowControl/>
              <w:suppressAutoHyphens w:val="true"/>
              <w:spacing w:before="0" w:after="0"/>
              <w:jc w:val="left"/>
              <w:rPr>
                <w:rFonts w:cs="Times New Roman"/>
                <w:lang w:val="sr-Latn-RS"/>
              </w:rPr>
            </w:pPr>
            <w:r>
              <w:rPr>
                <w:rFonts w:eastAsia="Aptos" w:cs="Times New Roman"/>
                <w:kern w:val="2"/>
                <w:sz w:val="24"/>
                <w:szCs w:val="24"/>
                <w:lang w:val="en-US" w:eastAsia="en-US" w:bidi="ar-SA"/>
              </w:rPr>
              <w:t>Sistem ostaje uključen dok nema greške i CLK fronta</w:t>
            </w:r>
          </w:p>
        </w:tc>
        <w:tc>
          <w:tcPr>
            <w:tcW w:w="1607"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Zatvoren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800"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144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8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06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2612" w:type="dxa"/>
            <w:tcBorders/>
            <w:vAlign w:val="center"/>
          </w:tcPr>
          <w:p>
            <w:pPr>
              <w:pStyle w:val="Normal"/>
              <w:widowControl/>
              <w:suppressAutoHyphens w:val="true"/>
              <w:spacing w:before="0" w:after="0"/>
              <w:jc w:val="left"/>
              <w:rPr>
                <w:rFonts w:cs="Times New Roman"/>
                <w:lang w:val="sr-Latn-RS"/>
              </w:rPr>
            </w:pPr>
            <w:r>
              <w:rPr>
                <w:rFonts w:eastAsia="Aptos" w:cs="Times New Roman"/>
                <w:kern w:val="2"/>
                <w:sz w:val="24"/>
                <w:szCs w:val="24"/>
                <w:lang w:val="en-US" w:eastAsia="en-US" w:bidi="ar-SA"/>
              </w:rPr>
              <w:t>IMD&amp;BSPD=0 → greška, reset aktivan, Q1=0</w:t>
            </w:r>
          </w:p>
        </w:tc>
        <w:tc>
          <w:tcPr>
            <w:tcW w:w="1607"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Otvoren</w:t>
            </w:r>
          </w:p>
        </w:tc>
      </w:tr>
      <w:tr>
        <w:trPr/>
        <w:tc>
          <w:tcPr>
            <w:tcW w:w="562"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1800"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1449"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0</w:t>
            </w:r>
          </w:p>
        </w:tc>
        <w:tc>
          <w:tcPr>
            <w:tcW w:w="804"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0</w:t>
            </w:r>
          </w:p>
        </w:tc>
        <w:tc>
          <w:tcPr>
            <w:tcW w:w="1069"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w:t>
            </w:r>
          </w:p>
        </w:tc>
        <w:tc>
          <w:tcPr>
            <w:tcW w:w="545"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2612" w:type="dxa"/>
            <w:tcBorders/>
            <w:vAlign w:val="center"/>
          </w:tcPr>
          <w:p>
            <w:pPr>
              <w:pStyle w:val="Normal"/>
              <w:widowControl/>
              <w:suppressAutoHyphens w:val="true"/>
              <w:spacing w:before="0" w:after="0"/>
              <w:jc w:val="left"/>
              <w:rPr>
                <w:rFonts w:cs="Times New Roman"/>
              </w:rPr>
            </w:pPr>
            <w:r>
              <w:rPr>
                <w:rFonts w:eastAsia="Aptos" w:cs="Times New Roman"/>
                <w:kern w:val="2"/>
                <w:sz w:val="24"/>
                <w:szCs w:val="24"/>
                <w:lang w:val="en-US" w:eastAsia="en-US" w:bidi="ar-SA"/>
              </w:rPr>
              <w:t>Nakon uklanjanja greške i pritiska tastera, Q1=1, relej se zatvara</w:t>
            </w:r>
          </w:p>
        </w:tc>
        <w:tc>
          <w:tcPr>
            <w:tcW w:w="1607"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Zatvoren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800"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44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8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06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2612" w:type="dxa"/>
            <w:tcBorders/>
            <w:vAlign w:val="center"/>
          </w:tcPr>
          <w:p>
            <w:pPr>
              <w:pStyle w:val="Normal"/>
              <w:widowControl/>
              <w:suppressAutoHyphens w:val="true"/>
              <w:spacing w:before="0" w:after="0"/>
              <w:jc w:val="left"/>
              <w:rPr>
                <w:rFonts w:cs="Times New Roman"/>
                <w:lang w:val="sr-Latn-RS"/>
              </w:rPr>
            </w:pPr>
            <w:r>
              <w:rPr>
                <w:rFonts w:eastAsia="Aptos" w:cs="Times New Roman"/>
                <w:kern w:val="2"/>
                <w:sz w:val="24"/>
                <w:szCs w:val="24"/>
                <w:lang w:val="en-US" w:eastAsia="en-US" w:bidi="ar-SA"/>
              </w:rPr>
              <w:t>AMS=1 → greška, reset aktivan, Q1=0</w:t>
            </w:r>
          </w:p>
        </w:tc>
        <w:tc>
          <w:tcPr>
            <w:tcW w:w="1607"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Otvoren</w:t>
            </w:r>
          </w:p>
        </w:tc>
      </w:tr>
      <w:tr>
        <w:trPr/>
        <w:tc>
          <w:tcPr>
            <w:tcW w:w="562"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1800"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1449"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0</w:t>
            </w:r>
          </w:p>
        </w:tc>
        <w:tc>
          <w:tcPr>
            <w:tcW w:w="804"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0</w:t>
            </w:r>
          </w:p>
        </w:tc>
        <w:tc>
          <w:tcPr>
            <w:tcW w:w="1069"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w:t>
            </w:r>
          </w:p>
        </w:tc>
        <w:tc>
          <w:tcPr>
            <w:tcW w:w="545"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2612" w:type="dxa"/>
            <w:tcBorders/>
            <w:vAlign w:val="center"/>
          </w:tcPr>
          <w:p>
            <w:pPr>
              <w:pStyle w:val="Normal"/>
              <w:widowControl/>
              <w:suppressAutoHyphens w:val="true"/>
              <w:spacing w:before="0" w:after="0"/>
              <w:jc w:val="left"/>
              <w:rPr>
                <w:rFonts w:cs="Times New Roman"/>
              </w:rPr>
            </w:pPr>
            <w:r>
              <w:rPr>
                <w:rFonts w:eastAsia="Aptos" w:cs="Times New Roman"/>
                <w:kern w:val="2"/>
                <w:sz w:val="24"/>
                <w:szCs w:val="24"/>
                <w:lang w:val="en-US" w:eastAsia="en-US" w:bidi="ar-SA"/>
              </w:rPr>
              <w:t>Nakon što je AMS greška uklonjena i reset deaktiviran, pritisak tastera upisuje Q1=1</w:t>
            </w:r>
          </w:p>
        </w:tc>
        <w:tc>
          <w:tcPr>
            <w:tcW w:w="1607"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Zatvoren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800"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144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8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069"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2612" w:type="dxa"/>
            <w:tcBorders/>
            <w:vAlign w:val="center"/>
          </w:tcPr>
          <w:p>
            <w:pPr>
              <w:pStyle w:val="Normal"/>
              <w:widowControl/>
              <w:suppressAutoHyphens w:val="true"/>
              <w:spacing w:before="0" w:after="0"/>
              <w:jc w:val="left"/>
              <w:rPr>
                <w:rFonts w:cs="Times New Roman"/>
                <w:lang w:val="sr-Latn-RS"/>
              </w:rPr>
            </w:pPr>
            <w:r>
              <w:rPr>
                <w:rFonts w:eastAsia="Aptos" w:cs="Times New Roman"/>
                <w:kern w:val="2"/>
                <w:sz w:val="24"/>
                <w:szCs w:val="24"/>
                <w:lang w:val="en-US" w:eastAsia="en-US" w:bidi="ar-SA"/>
              </w:rPr>
              <w:t>Obe greške aktivne, reset aktivan, Q1=0</w:t>
            </w:r>
          </w:p>
        </w:tc>
        <w:tc>
          <w:tcPr>
            <w:tcW w:w="1607"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Otvoren</w:t>
            </w:r>
          </w:p>
        </w:tc>
      </w:tr>
    </w:tbl>
    <w:p>
      <w:pPr>
        <w:pStyle w:val="Normal"/>
        <w:spacing w:lineRule="auto" w:line="276"/>
        <w:jc w:val="left"/>
        <w:rPr>
          <w:i w:val="false"/>
          <w:i w:val="false"/>
          <w:iCs w:val="false"/>
        </w:rPr>
      </w:pPr>
      <w:r>
        <w:rPr>
          <w:i w:val="false"/>
          <w:iCs w:val="false"/>
        </w:rPr>
      </w:r>
    </w:p>
    <w:p>
      <w:pPr>
        <w:pStyle w:val="Normal"/>
        <w:jc w:val="center"/>
        <w:rPr>
          <w:lang w:val="sr-Latn-RS"/>
        </w:rPr>
      </w:pPr>
      <w:r>
        <w:rPr>
          <w:lang w:val="sr-Latn-RS"/>
        </w:rPr>
      </w:r>
    </w:p>
    <w:p>
      <w:pPr>
        <w:pStyle w:val="Normal"/>
        <w:rPr>
          <w:lang w:val="en-GB"/>
        </w:rPr>
      </w:pPr>
      <w:r>
        <w:rPr>
          <w:lang w:val="sr-Latn-RS"/>
        </w:rPr>
        <w:t>Izlaz RELAY_CTRL</w:t>
      </w:r>
      <w:r>
        <w:rPr>
          <w:lang w:val="en-GB"/>
        </w:rPr>
        <w:t xml:space="preserve"> upravlja relejem putem NPN tranzistora </w:t>
      </w:r>
      <w:r>
        <w:rPr/>
        <w:t xml:space="preserve">BC547. U slučaju da je sve OK, transistor spaja jedan kraj zavojnice </w:t>
      </w:r>
      <w:r>
        <w:rPr>
          <w:i/>
          <w:iCs/>
          <w:lang w:val="sr-Latn-RS"/>
        </w:rPr>
        <w:t>G5Q-1</w:t>
      </w:r>
      <w:r>
        <w:rPr>
          <w:lang w:val="en-GB"/>
        </w:rPr>
        <w:t xml:space="preserve"> releja (u serijskoj SDC vezi) sa masom, dok je drugi kraj zavojnice vezan na 12 V.</w:t>
      </w:r>
    </w:p>
    <w:p>
      <w:pPr>
        <w:pStyle w:val="Normal"/>
        <w:rPr>
          <w:lang w:val="sr-Latn-RS"/>
        </w:rPr>
      </w:pPr>
      <w:r>
        <w:rPr>
          <w:i/>
          <w:iCs/>
          <w:lang w:val="sr-Latn-RS"/>
        </w:rPr>
        <w:t>G5Q-1</w:t>
      </w:r>
      <w:r>
        <w:rPr>
          <w:lang w:val="sr-Latn-RS"/>
        </w:rPr>
        <w:t xml:space="preserve"> je izabran jer ga koristi i BSPD, pa se na taj način postiže konzistentnost i uspostavlja standard. Iz istog razloga izabran je i kao relej kojim upravlja TSAL, što će biti objašnjeno u nastavku.</w:t>
      </w:r>
    </w:p>
    <w:p>
      <w:pPr>
        <w:pStyle w:val="Normal"/>
        <w:jc w:val="center"/>
        <w:rPr>
          <w:lang w:val="sr-Latn-RS"/>
        </w:rPr>
      </w:pPr>
      <w:r>
        <w:rPr>
          <w:lang w:val="sr-Latn-RS"/>
        </w:rPr>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5429250" cy="3914775"/>
            <wp:effectExtent l="0" t="0" r="0" b="0"/>
            <wp:wrapSquare wrapText="largest"/>
            <wp:docPr id="2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
                    <pic:cNvPicPr>
                      <a:picLocks noChangeAspect="1" noChangeArrowheads="1"/>
                    </pic:cNvPicPr>
                  </pic:nvPicPr>
                  <pic:blipFill>
                    <a:blip r:embed="rId27"/>
                    <a:stretch>
                      <a:fillRect/>
                    </a:stretch>
                  </pic:blipFill>
                  <pic:spPr bwMode="auto">
                    <a:xfrm>
                      <a:off x="0" y="0"/>
                      <a:ext cx="5429250" cy="3914775"/>
                    </a:xfrm>
                    <a:prstGeom prst="rect">
                      <a:avLst/>
                    </a:prstGeom>
                  </pic:spPr>
                </pic:pic>
              </a:graphicData>
            </a:graphic>
          </wp:anchor>
        </w:drawing>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br/>
        <w:t>Slika 3.8c  Glavni SDC releji</w:t>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rPr>
          <w:lang w:val="sr-Latn-RS"/>
        </w:rPr>
      </w:pPr>
      <w:r>
        <w:rPr>
          <w:lang w:val="sr-Latn-RS"/>
        </w:rPr>
      </w:r>
    </w:p>
    <w:p>
      <w:pPr>
        <w:pStyle w:val="Style6"/>
        <w:numPr>
          <w:ilvl w:val="1"/>
          <w:numId w:val="1"/>
        </w:numPr>
        <w:rPr>
          <w:iCs/>
          <w:szCs w:val="28"/>
          <w:lang w:val="sr-Latn-RS"/>
        </w:rPr>
      </w:pPr>
      <w:r>
        <w:rPr>
          <w:iCs/>
          <w:szCs w:val="28"/>
          <w:lang w:val="sr-Latn-RS"/>
        </w:rPr>
        <w:t>TSAL</w:t>
      </w:r>
    </w:p>
    <w:p>
      <w:pPr>
        <w:pStyle w:val="Normal"/>
        <w:rPr>
          <w:rFonts w:cs="Times New Roman"/>
          <w:lang w:val="sr-Latn-RS"/>
        </w:rPr>
      </w:pPr>
      <w:r>
        <w:rPr>
          <w:rFonts w:cs="Times New Roman"/>
          <w:b/>
          <w:bCs/>
          <w:lang w:val="sr-Latn-RS"/>
        </w:rPr>
        <w:t>TSAL (Tractive System Active Light)</w:t>
      </w:r>
      <w:r>
        <w:rPr>
          <w:rFonts w:cs="Times New Roman"/>
          <w:lang w:val="sr-Latn-RS"/>
        </w:rPr>
        <w:t xml:space="preserve"> je signalna lampica na vozilu koja pokazuje stanje TS-a kako bi vozač i osoblje oko vozila znali da li je sistem pod opasnim naponom ili je bezbedno isključen.</w:t>
      </w:r>
    </w:p>
    <w:p>
      <w:pPr>
        <w:pStyle w:val="ListParagraph"/>
        <w:numPr>
          <w:ilvl w:val="0"/>
          <w:numId w:val="3"/>
        </w:numPr>
        <w:rPr>
          <w:rFonts w:cs="Times New Roman"/>
          <w:lang w:val="sr-Latn-RS"/>
        </w:rPr>
      </w:pPr>
      <w:r>
        <w:rPr>
          <w:rFonts w:cs="Times New Roman"/>
          <w:b/>
          <w:bCs/>
          <w:lang w:val="sr-Latn-RS"/>
        </w:rPr>
        <w:t>Crveno trepćuće svetlo – TS je aktivan</w:t>
      </w:r>
    </w:p>
    <w:p>
      <w:pPr>
        <w:pStyle w:val="ListParagraph"/>
        <w:numPr>
          <w:ilvl w:val="1"/>
          <w:numId w:val="3"/>
        </w:numPr>
        <w:rPr>
          <w:rFonts w:cs="Times New Roman"/>
          <w:lang w:val="sr-Latn-RS"/>
        </w:rPr>
      </w:pPr>
      <w:r>
        <w:rPr>
          <w:rFonts w:cs="Times New Roman"/>
          <w:lang w:val="sr-Latn-RS"/>
        </w:rPr>
        <w:t>LVS (Low Voltage System) je uključen</w:t>
      </w:r>
    </w:p>
    <w:p>
      <w:pPr>
        <w:pStyle w:val="ListParagraph"/>
        <w:numPr>
          <w:ilvl w:val="1"/>
          <w:numId w:val="3"/>
        </w:numPr>
        <w:rPr>
          <w:rFonts w:cs="Times New Roman"/>
          <w:lang w:val="sr-Latn-RS"/>
        </w:rPr>
      </w:pPr>
      <w:r>
        <w:rPr>
          <w:rFonts w:cs="Times New Roman"/>
          <w:lang w:val="sr-Latn-RS"/>
        </w:rPr>
        <w:t>Napon na bilo kom DC-link kondenzatoru prelazi:</w:t>
      </w:r>
    </w:p>
    <w:p>
      <w:pPr>
        <w:pStyle w:val="ListParagraph"/>
        <w:numPr>
          <w:ilvl w:val="2"/>
          <w:numId w:val="3"/>
        </w:numPr>
        <w:rPr>
          <w:rFonts w:cs="Times New Roman"/>
          <w:lang w:val="sr-Latn-RS"/>
        </w:rPr>
      </w:pPr>
      <w:r>
        <w:rPr>
          <w:rFonts w:cs="Times New Roman"/>
          <w:lang w:val="sr-Latn-RS"/>
        </w:rPr>
        <w:t>60 V DC ili 50 V AC RMS, ili</w:t>
      </w:r>
    </w:p>
    <w:p>
      <w:pPr>
        <w:pStyle w:val="ListParagraph"/>
        <w:numPr>
          <w:ilvl w:val="2"/>
          <w:numId w:val="3"/>
        </w:numPr>
        <w:rPr>
          <w:rFonts w:cs="Times New Roman"/>
          <w:lang w:val="sr-Latn-RS"/>
        </w:rPr>
      </w:pPr>
      <w:r>
        <w:rPr>
          <w:rFonts w:cs="Times New Roman"/>
          <w:lang w:val="sr-Latn-RS"/>
        </w:rPr>
        <w:t>polovinu nominalnog TS napona (uzima se manja vrednost)</w:t>
      </w:r>
    </w:p>
    <w:p>
      <w:pPr>
        <w:pStyle w:val="ListParagraph"/>
        <w:rPr>
          <w:rFonts w:cs="Times New Roman"/>
          <w:lang w:val="sr-Latn-RS"/>
        </w:rPr>
      </w:pPr>
      <w:r>
        <w:rPr>
          <w:rFonts w:cs="Times New Roman"/>
          <w:lang w:val="sr-Latn-RS"/>
        </w:rPr>
      </w:r>
    </w:p>
    <w:p>
      <w:pPr>
        <w:pStyle w:val="ListParagraph"/>
        <w:numPr>
          <w:ilvl w:val="0"/>
          <w:numId w:val="3"/>
        </w:numPr>
        <w:rPr>
          <w:rFonts w:cs="Times New Roman"/>
          <w:lang w:val="sr-Latn-RS"/>
        </w:rPr>
      </w:pPr>
      <w:r>
        <w:rPr>
          <w:rFonts w:cs="Times New Roman"/>
          <w:b/>
          <w:bCs/>
          <w:lang w:val="sr-Latn-RS"/>
        </w:rPr>
        <w:t>Crveno konstantno svetlo – greška AIR kontaktora</w:t>
      </w:r>
    </w:p>
    <w:p>
      <w:pPr>
        <w:pStyle w:val="ListParagraph"/>
        <w:numPr>
          <w:ilvl w:val="1"/>
          <w:numId w:val="3"/>
        </w:numPr>
        <w:rPr>
          <w:rFonts w:cs="Times New Roman"/>
          <w:lang w:val="sr-Latn-RS"/>
        </w:rPr>
      </w:pPr>
      <w:r>
        <w:rPr>
          <w:rFonts w:cs="Times New Roman"/>
          <w:lang w:val="sr-Latn-RS"/>
        </w:rPr>
        <w:t>Crveno svetlo može svetleti stalno ako postoji nepodudaranje između željenog i stvarnog mehaničkog stanja AIR kontaktora (npr. kontaktor je zaglavljen).</w:t>
      </w:r>
    </w:p>
    <w:p>
      <w:pPr>
        <w:pStyle w:val="ListParagraph"/>
        <w:numPr>
          <w:ilvl w:val="1"/>
          <w:numId w:val="3"/>
        </w:numPr>
        <w:rPr>
          <w:rFonts w:cs="Times New Roman"/>
          <w:lang w:val="sr-Latn-RS"/>
        </w:rPr>
      </w:pPr>
      <w:r>
        <w:rPr>
          <w:rFonts w:cs="Times New Roman"/>
          <w:lang w:val="sr-Latn-RS"/>
        </w:rPr>
        <w:t>U tom slučaju:</w:t>
      </w:r>
    </w:p>
    <w:p>
      <w:pPr>
        <w:pStyle w:val="ListParagraph"/>
        <w:numPr>
          <w:ilvl w:val="2"/>
          <w:numId w:val="3"/>
        </w:numPr>
        <w:rPr>
          <w:rFonts w:cs="Times New Roman"/>
          <w:lang w:val="sr-Latn-RS"/>
        </w:rPr>
      </w:pPr>
      <w:r>
        <w:rPr>
          <w:rFonts w:cs="Times New Roman"/>
          <w:lang w:val="sr-Latn-RS"/>
        </w:rPr>
        <w:t>detektuje se greška u kontaktoru</w:t>
      </w:r>
    </w:p>
    <w:p>
      <w:pPr>
        <w:pStyle w:val="ListParagraph"/>
        <w:numPr>
          <w:ilvl w:val="2"/>
          <w:numId w:val="3"/>
        </w:numPr>
        <w:rPr>
          <w:rFonts w:cs="Times New Roman"/>
          <w:lang w:val="sr-Latn-RS"/>
        </w:rPr>
      </w:pPr>
      <w:r>
        <w:rPr>
          <w:rFonts w:cs="Times New Roman"/>
          <w:lang w:val="sr-Latn-RS"/>
        </w:rPr>
        <w:t>SDC se otvara</w:t>
      </w:r>
    </w:p>
    <w:p>
      <w:pPr>
        <w:pStyle w:val="ListParagraph"/>
        <w:rPr>
          <w:rFonts w:cs="Times New Roman"/>
          <w:lang w:val="sr-Latn-RS"/>
        </w:rPr>
      </w:pPr>
      <w:r>
        <w:rPr>
          <w:rFonts w:cs="Times New Roman"/>
          <w:lang w:val="sr-Latn-RS"/>
        </w:rPr>
      </w:r>
    </w:p>
    <w:p>
      <w:pPr>
        <w:pStyle w:val="ListParagraph"/>
        <w:numPr>
          <w:ilvl w:val="0"/>
          <w:numId w:val="3"/>
        </w:numPr>
        <w:rPr>
          <w:rFonts w:cs="Times New Roman"/>
          <w:lang w:val="sr-Latn-RS"/>
        </w:rPr>
      </w:pPr>
      <w:r>
        <w:rPr>
          <w:rFonts w:cs="Times New Roman"/>
          <w:b/>
          <w:bCs/>
          <w:lang w:val="sr-Latn-RS"/>
        </w:rPr>
        <w:t>Zeleno stalno svetlo – TS je bezbedno isključen</w:t>
      </w:r>
    </w:p>
    <w:p>
      <w:pPr>
        <w:pStyle w:val="ListParagraph"/>
        <w:numPr>
          <w:ilvl w:val="1"/>
          <w:numId w:val="3"/>
        </w:numPr>
        <w:rPr>
          <w:rFonts w:cs="Times New Roman"/>
          <w:lang w:val="sr-Latn-RS"/>
        </w:rPr>
      </w:pPr>
      <w:r>
        <w:rPr>
          <w:rFonts w:cs="Times New Roman"/>
          <w:lang w:val="sr-Latn-RS"/>
        </w:rPr>
        <w:t>LVS je uključen</w:t>
      </w:r>
    </w:p>
    <w:p>
      <w:pPr>
        <w:pStyle w:val="ListParagraph"/>
        <w:numPr>
          <w:ilvl w:val="1"/>
          <w:numId w:val="3"/>
        </w:numPr>
        <w:rPr>
          <w:rFonts w:cs="Times New Roman"/>
          <w:lang w:val="sr-Latn-RS"/>
        </w:rPr>
      </w:pPr>
      <w:r>
        <w:rPr>
          <w:rFonts w:cs="Times New Roman"/>
          <w:lang w:val="sr-Latn-RS"/>
        </w:rPr>
        <w:t>Svi AIR kontaktori su otvoreni</w:t>
      </w:r>
    </w:p>
    <w:p>
      <w:pPr>
        <w:pStyle w:val="ListParagraph"/>
        <w:numPr>
          <w:ilvl w:val="1"/>
          <w:numId w:val="3"/>
        </w:numPr>
        <w:rPr>
          <w:rFonts w:cs="Times New Roman"/>
          <w:lang w:val="sr-Latn-RS"/>
        </w:rPr>
      </w:pPr>
      <w:r>
        <w:rPr>
          <w:rFonts w:cs="Times New Roman"/>
          <w:lang w:val="sr-Latn-RS"/>
        </w:rPr>
        <w:t>Pre-charge relej je otvoren</w:t>
      </w:r>
    </w:p>
    <w:p>
      <w:pPr>
        <w:pStyle w:val="ListParagraph"/>
        <w:numPr>
          <w:ilvl w:val="1"/>
          <w:numId w:val="3"/>
        </w:numPr>
        <w:rPr>
          <w:rFonts w:cs="Times New Roman"/>
          <w:lang w:val="sr-Latn-RS"/>
        </w:rPr>
      </w:pPr>
      <w:r>
        <w:rPr>
          <w:rFonts w:cs="Times New Roman"/>
          <w:lang w:val="sr-Latn-RS"/>
        </w:rPr>
        <w:t>Napon iza AIR-ova je manji od 60 V DC / 50 V AC RMS</w:t>
      </w:r>
    </w:p>
    <w:p>
      <w:pPr>
        <w:pStyle w:val="ListParagraph"/>
        <w:numPr>
          <w:ilvl w:val="1"/>
          <w:numId w:val="3"/>
        </w:numPr>
        <w:rPr>
          <w:rFonts w:cs="Times New Roman"/>
          <w:lang w:val="sr-Latn-RS"/>
        </w:rPr>
      </w:pPr>
      <w:r>
        <w:rPr>
          <w:rFonts w:cs="Times New Roman"/>
          <w:lang w:val="sr-Latn-RS"/>
        </w:rPr>
        <w:t>To znači da je visokonaponski sistem potpuno isključen i bezbedan za rad.</w:t>
      </w:r>
    </w:p>
    <w:p>
      <w:pPr>
        <w:pStyle w:val="Normal"/>
        <w:rPr>
          <w:rFonts w:cs="Times New Roman"/>
          <w:b/>
          <w:bCs/>
          <w:lang w:val="sr-Latn-RS"/>
        </w:rPr>
      </w:pPr>
      <w:r>
        <w:rPr>
          <w:rFonts w:cs="Times New Roman"/>
          <w:b/>
          <w:bCs/>
          <w:lang w:val="sr-Latn-RS"/>
        </w:rPr>
        <w:t>Važne karakteristike</w:t>
      </w:r>
    </w:p>
    <w:p>
      <w:pPr>
        <w:pStyle w:val="ListParagraph"/>
        <w:numPr>
          <w:ilvl w:val="0"/>
          <w:numId w:val="7"/>
        </w:numPr>
        <w:rPr>
          <w:rFonts w:cs="Times New Roman"/>
          <w:lang w:val="sr-Latn-RS"/>
        </w:rPr>
      </w:pPr>
      <w:r>
        <w:rPr>
          <w:rFonts w:cs="Times New Roman"/>
          <w:lang w:val="sr-Latn-RS"/>
        </w:rPr>
        <w:t>TSAL mora biti realizovan isključivo hardverski (bez softvera).</w:t>
      </w:r>
    </w:p>
    <w:p>
      <w:pPr>
        <w:pStyle w:val="ListParagraph"/>
        <w:numPr>
          <w:ilvl w:val="0"/>
          <w:numId w:val="7"/>
        </w:numPr>
        <w:rPr>
          <w:rFonts w:cs="Times New Roman"/>
          <w:lang w:val="sr-Latn-RS"/>
        </w:rPr>
      </w:pPr>
      <w:r>
        <w:rPr>
          <w:rFonts w:cs="Times New Roman"/>
          <w:lang w:val="sr-Latn-RS"/>
        </w:rPr>
        <w:t>Crveni i zeleni deo moraju imati nezavisna kola.</w:t>
      </w:r>
    </w:p>
    <w:p>
      <w:pPr>
        <w:pStyle w:val="ListParagraph"/>
        <w:numPr>
          <w:ilvl w:val="0"/>
          <w:numId w:val="7"/>
        </w:numPr>
        <w:rPr>
          <w:rFonts w:cs="Times New Roman"/>
          <w:lang w:val="sr-Latn-RS"/>
        </w:rPr>
      </w:pPr>
      <w:r>
        <w:rPr>
          <w:rFonts w:cs="Times New Roman"/>
          <w:lang w:val="sr-Latn-RS"/>
        </w:rPr>
        <w:t>Moguće je da oba svetla budu uključena istovremeno u određenim stanjima.</w:t>
      </w:r>
    </w:p>
    <w:p>
      <w:pPr>
        <w:pStyle w:val="ListParagraph"/>
        <w:numPr>
          <w:ilvl w:val="0"/>
          <w:numId w:val="7"/>
        </w:numPr>
        <w:rPr>
          <w:rFonts w:cs="Times New Roman"/>
          <w:lang w:val="sr-Latn-RS"/>
        </w:rPr>
      </w:pPr>
      <w:r>
        <w:rPr>
          <w:rFonts w:cs="Times New Roman"/>
          <w:lang w:val="sr-Latn-RS"/>
        </w:rPr>
        <w:t>Mora biti jasno vidljiv spolja i na jakom suncu.</w:t>
      </w:r>
    </w:p>
    <w:p>
      <w:pPr>
        <w:pStyle w:val="Normal"/>
        <w:rPr>
          <w:lang w:val="sr-Latn-RS"/>
        </w:rPr>
      </w:pPr>
      <w:r>
        <w:rPr>
          <w:lang w:val="sr-Latn-RS"/>
        </w:rPr>
        <w:t xml:space="preserve">Korišćeno rešenje bazirano je na TSAL rešenju koje je dizajnirao tim sa Univerziteta </w:t>
      </w:r>
      <w:r>
        <w:rPr>
          <w:i/>
          <w:iCs/>
          <w:lang w:val="sr-Latn-RS"/>
        </w:rPr>
        <w:t>Lankaster</w:t>
      </w:r>
      <w:r>
        <w:rPr>
          <w:lang w:val="sr-Latn-RS"/>
        </w:rPr>
        <w:t>.</w:t>
      </w:r>
    </w:p>
    <w:p>
      <w:pPr>
        <w:pStyle w:val="Normal"/>
        <w:rPr>
          <w:rFonts w:cs="Times New Roman"/>
          <w:lang w:val="sr-Latn-RS"/>
        </w:rPr>
      </w:pPr>
      <w:r>
        <w:rPr/>
        <w:drawing>
          <wp:inline distT="0" distB="0" distL="0" distR="0">
            <wp:extent cx="6645910" cy="2731770"/>
            <wp:effectExtent l="0" t="0" r="0" b="0"/>
            <wp:docPr id="2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descr=""/>
                    <pic:cNvPicPr>
                      <a:picLocks noChangeAspect="1" noChangeArrowheads="1"/>
                    </pic:cNvPicPr>
                  </pic:nvPicPr>
                  <pic:blipFill>
                    <a:blip r:embed="rId28"/>
                    <a:stretch>
                      <a:fillRect/>
                    </a:stretch>
                  </pic:blipFill>
                  <pic:spPr bwMode="auto">
                    <a:xfrm>
                      <a:off x="0" y="0"/>
                      <a:ext cx="6645910" cy="2731770"/>
                    </a:xfrm>
                    <a:prstGeom prst="rect">
                      <a:avLst/>
                    </a:prstGeom>
                  </pic:spPr>
                </pic:pic>
              </a:graphicData>
            </a:graphic>
          </wp:inline>
        </w:drawing>
      </w:r>
    </w:p>
    <w:p>
      <w:pPr>
        <w:pStyle w:val="Normal"/>
        <w:jc w:val="center"/>
        <w:rPr>
          <w:lang w:val="sr-Latn-RS"/>
        </w:rPr>
      </w:pPr>
      <w:r>
        <w:rPr>
          <w:lang w:val="sr-Latn-RS"/>
        </w:rPr>
        <w:t>Slika 3.9 Logika TSAL-a za upravljanje SDC</w:t>
      </w:r>
    </w:p>
    <w:p>
      <w:pPr>
        <w:pStyle w:val="Normal"/>
        <w:rPr>
          <w:i/>
          <w:i/>
          <w:iCs/>
          <w:lang w:val="sr-Latn-RS"/>
        </w:rPr>
      </w:pPr>
      <w:r>
        <w:rPr>
          <w:i/>
          <w:iCs/>
          <w:lang w:val="sr-Latn-RS"/>
        </w:rPr>
        <w:t>Error_Shutdown</w:t>
      </w:r>
      <w:r>
        <w:rPr>
          <w:i w:val="false"/>
          <w:iCs w:val="false"/>
          <w:lang w:val="sr-Latn-RS"/>
        </w:rPr>
        <w:t xml:space="preserve"> izlaz se dovodi na SDC pločicu gde upravlja relejem na SDC liniji (Slika 3.8c).</w:t>
      </w:r>
    </w:p>
    <w:p>
      <w:pPr>
        <w:pStyle w:val="Normal"/>
        <w:rPr>
          <w:i w:val="false"/>
          <w:i w:val="false"/>
          <w:iCs w:val="false"/>
        </w:rPr>
      </w:pPr>
      <w:r>
        <w:rPr>
          <w:i w:val="false"/>
          <w:iCs w:val="false"/>
        </w:rPr>
      </w:r>
    </w:p>
    <w:p>
      <w:pPr>
        <w:pStyle w:val="Normal"/>
        <w:rPr>
          <w:lang w:val="sr-Latn-RS"/>
        </w:rPr>
      </w:pPr>
      <w:r>
        <w:rPr>
          <w:lang w:val="sr-Latn-RS"/>
        </w:rPr>
      </w:r>
    </w:p>
    <w:p>
      <w:pPr>
        <w:pStyle w:val="Style6"/>
        <w:numPr>
          <w:ilvl w:val="1"/>
          <w:numId w:val="1"/>
        </w:numPr>
        <w:rPr>
          <w:lang w:val="sr-Latn-RS"/>
        </w:rPr>
      </w:pPr>
      <w:r>
        <w:rPr>
          <w:iCs/>
          <w:szCs w:val="28"/>
          <w:lang w:val="sr-Latn-RS"/>
        </w:rPr>
        <w:t>Prekidači</w:t>
      </w:r>
    </w:p>
    <w:p>
      <w:pPr>
        <w:pStyle w:val="Normal"/>
        <w:rPr>
          <w:rFonts w:cs="Times New Roman"/>
          <w:lang w:val="sr-Latn-RS"/>
        </w:rPr>
      </w:pPr>
      <w:r>
        <w:rPr>
          <w:rFonts w:cs="Times New Roman"/>
          <w:b/>
          <w:bCs/>
          <w:lang w:val="sr-Latn-RS"/>
        </w:rPr>
        <w:t>Shutdown prekidači</w:t>
      </w:r>
      <w:r>
        <w:rPr>
          <w:rFonts w:cs="Times New Roman"/>
          <w:lang w:val="sr-Latn-RS"/>
        </w:rPr>
        <w:t xml:space="preserve"> su tri ručna </w:t>
      </w:r>
      <w:r>
        <w:rPr>
          <w:rFonts w:cs="Times New Roman"/>
          <w:b/>
          <w:bCs/>
          <w:lang w:val="sr-Latn-RS"/>
        </w:rPr>
        <w:t>normalno zatvorena (NC)</w:t>
      </w:r>
      <w:r>
        <w:rPr>
          <w:rFonts w:cs="Times New Roman"/>
          <w:lang w:val="sr-Latn-RS"/>
        </w:rPr>
        <w:t xml:space="preserve"> prekidača za hitno isključivanje, postavljena u kokpitu i sa leve i desne strane vozila. Aktiviranjem bilo kog od ova tri prekidača korisnik može prekinuti SD liniju.</w:t>
      </w:r>
    </w:p>
    <w:p>
      <w:pPr>
        <w:pStyle w:val="Normal"/>
        <w:ind w:left="360"/>
        <w:jc w:val="center"/>
        <w:rPr>
          <w:rFonts w:cs="Times New Roman"/>
          <w:lang w:val="sr-Latn-RS"/>
        </w:rPr>
      </w:pPr>
      <w:r>
        <w:rPr/>
        <w:drawing>
          <wp:inline distT="0" distB="0" distL="0" distR="0">
            <wp:extent cx="1533525" cy="1533525"/>
            <wp:effectExtent l="0" t="0" r="0" b="0"/>
            <wp:docPr id="25" name="Slika 7" descr="RJSPS16B Emergency Stop Switch | RJS Electronic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lika 7" descr="RJSPS16B Emergency Stop Switch | RJS Electronics Ltd"/>
                    <pic:cNvPicPr>
                      <a:picLocks noChangeAspect="1" noChangeArrowheads="1"/>
                    </pic:cNvPicPr>
                  </pic:nvPicPr>
                  <pic:blipFill>
                    <a:blip r:embed="rId29"/>
                    <a:stretch>
                      <a:fillRect/>
                    </a:stretch>
                  </pic:blipFill>
                  <pic:spPr bwMode="auto">
                    <a:xfrm>
                      <a:off x="0" y="0"/>
                      <a:ext cx="1533525" cy="1533525"/>
                    </a:xfrm>
                    <a:prstGeom prst="rect">
                      <a:avLst/>
                    </a:prstGeom>
                  </pic:spPr>
                </pic:pic>
              </a:graphicData>
            </a:graphic>
          </wp:inline>
        </w:drawing>
      </w:r>
      <w:r>
        <w:rPr>
          <w:rFonts w:cs="Times New Roman"/>
          <w:lang w:val="sr-Latn-RS"/>
        </w:rPr>
        <w:br/>
        <w:t>Slika 3.10 Shutdown prekidač</w:t>
      </w:r>
    </w:p>
    <w:p>
      <w:pPr>
        <w:pStyle w:val="Normal"/>
        <w:rPr/>
      </w:pPr>
      <w:r>
        <w:rPr>
          <w:rFonts w:cs="Times New Roman"/>
          <w:lang w:val="sr-Latn-RS"/>
        </w:rPr>
        <w:t xml:space="preserve">Odabrani shutdown prekidač je dostupan na sledećem linku: </w:t>
      </w:r>
    </w:p>
    <w:p>
      <w:pPr>
        <w:pStyle w:val="Normal"/>
        <w:rPr>
          <w:rFonts w:cs="Times New Roman"/>
          <w:lang w:val="sr-Latn-RS"/>
        </w:rPr>
      </w:pPr>
      <w:hyperlink r:id="rId30">
        <w:r>
          <w:rPr>
            <w:rStyle w:val="Hyperlink"/>
            <w:rFonts w:cs="Times New Roman"/>
            <w:lang w:val="sr-Latn-RS"/>
          </w:rPr>
          <w:t>https://mybillbook.in/store/flauta_customs_llp/item/3b1857d2-077b-4d96-8b15-f02a7f747b02?category=eafb3a3c-75af-4d36-a8a8-23b43029842f&amp;page_no=1</w:t>
        </w:r>
      </w:hyperlink>
    </w:p>
    <w:p>
      <w:pPr>
        <w:pStyle w:val="Normal"/>
        <w:rPr>
          <w:rFonts w:cs="Times New Roman"/>
          <w:lang w:val="sr-Latn-RS"/>
        </w:rPr>
      </w:pPr>
      <w:r>
        <w:rPr>
          <w:rFonts w:cs="Times New Roman"/>
          <w:b/>
          <w:bCs/>
          <w:lang w:val="sr-Latn-RS"/>
        </w:rPr>
        <w:t>Inercioni prekidač (Inertia switch)</w:t>
      </w:r>
      <w:r>
        <w:rPr>
          <w:rFonts w:cs="Times New Roman"/>
          <w:lang w:val="sr-Latn-RS"/>
        </w:rPr>
        <w:t xml:space="preserve"> – </w:t>
      </w:r>
      <w:r>
        <w:rPr>
          <w:rFonts w:cs="Times New Roman"/>
          <w:b/>
          <w:bCs/>
          <w:lang w:val="sr-Latn-RS"/>
        </w:rPr>
        <w:t>NC prekidač</w:t>
      </w:r>
      <w:r>
        <w:rPr>
          <w:rFonts w:cs="Times New Roman"/>
          <w:lang w:val="sr-Latn-RS"/>
        </w:rPr>
        <w:t xml:space="preserve"> koji štiti vozilo detekcijom naglog usporenja koje može ukazivati na sudar, nakon čega prekida SD liniju. Ovaj prekidač je povezan serijski sa SD linijom nakon tri ručna SD prekidača.</w:t>
      </w:r>
    </w:p>
    <w:p>
      <w:pPr>
        <w:pStyle w:val="Normal"/>
        <w:jc w:val="center"/>
        <w:rPr>
          <w:rFonts w:cs="Times New Roman"/>
          <w:lang w:val="sr-Latn-RS"/>
        </w:rPr>
      </w:pPr>
      <w:r>
        <w:rPr/>
        <w:drawing>
          <wp:inline distT="0" distB="0" distL="0" distR="0">
            <wp:extent cx="1173480" cy="1503680"/>
            <wp:effectExtent l="0" t="0" r="0" b="0"/>
            <wp:docPr id="26" name="Slika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lika 9" descr=""/>
                    <pic:cNvPicPr>
                      <a:picLocks noChangeAspect="1" noChangeArrowheads="1"/>
                    </pic:cNvPicPr>
                  </pic:nvPicPr>
                  <pic:blipFill>
                    <a:blip r:embed="rId31"/>
                    <a:stretch>
                      <a:fillRect/>
                    </a:stretch>
                  </pic:blipFill>
                  <pic:spPr bwMode="auto">
                    <a:xfrm>
                      <a:off x="0" y="0"/>
                      <a:ext cx="1173480" cy="1503680"/>
                    </a:xfrm>
                    <a:prstGeom prst="rect">
                      <a:avLst/>
                    </a:prstGeom>
                  </pic:spPr>
                </pic:pic>
              </a:graphicData>
            </a:graphic>
          </wp:inline>
        </w:drawing>
      </w:r>
    </w:p>
    <w:p>
      <w:pPr>
        <w:pStyle w:val="Normal"/>
        <w:jc w:val="center"/>
        <w:rPr>
          <w:rFonts w:cs="Times New Roman"/>
          <w:lang w:val="sr-Latn-RS"/>
        </w:rPr>
      </w:pPr>
      <w:r>
        <w:rPr>
          <w:rFonts w:cs="Times New Roman"/>
          <w:lang w:val="sr-Latn-RS"/>
        </w:rPr>
        <w:t xml:space="preserve">Slika 3.11 Inercioni prekidač </w:t>
      </w:r>
    </w:p>
    <w:p>
      <w:pPr>
        <w:pStyle w:val="Normal"/>
        <w:rPr/>
      </w:pPr>
      <w:r>
        <w:rPr>
          <w:rFonts w:cs="Times New Roman"/>
          <w:lang w:val="sr-Latn-RS"/>
        </w:rPr>
        <w:t xml:space="preserve">Odabrani inercioni prekidač je dostupan na sledećem linku: </w:t>
      </w:r>
    </w:p>
    <w:p>
      <w:pPr>
        <w:pStyle w:val="Normal"/>
        <w:rPr>
          <w:rFonts w:cs="Times New Roman"/>
          <w:lang w:val="sr-Latn-RS"/>
        </w:rPr>
      </w:pPr>
      <w:hyperlink r:id="rId32">
        <w:r>
          <w:rPr>
            <w:rStyle w:val="Hyperlink"/>
            <w:rFonts w:cs="Times New Roman"/>
            <w:lang w:val="sr-Latn-RS"/>
          </w:rPr>
          <w:t>https://mybillbook.in/store/flauta_customs_llp/item/0ae8394d-d88d-467f-a215-6a9ffcc9d581?page_no=2</w:t>
        </w:r>
      </w:hyperlink>
    </w:p>
    <w:p>
      <w:pPr>
        <w:pStyle w:val="Normal"/>
        <w:rPr>
          <w:rFonts w:cs="Times New Roman"/>
          <w:lang w:val="sr-Latn-RS"/>
        </w:rPr>
      </w:pPr>
      <w:r>
        <w:rPr>
          <w:rFonts w:cs="Times New Roman"/>
          <w:b/>
          <w:bCs/>
          <w:lang w:val="sr-Latn-RS"/>
        </w:rPr>
        <w:t>Brake Over Travel Switch (BOTS)</w:t>
      </w:r>
      <w:r>
        <w:rPr>
          <w:rFonts w:cs="Times New Roman"/>
          <w:lang w:val="sr-Latn-RS"/>
        </w:rPr>
        <w:t xml:space="preserve"> – </w:t>
      </w:r>
      <w:r>
        <w:rPr>
          <w:rFonts w:cs="Times New Roman"/>
          <w:b/>
          <w:bCs/>
          <w:lang w:val="sr-Latn-RS"/>
        </w:rPr>
        <w:t>NC prekidač</w:t>
      </w:r>
      <w:r>
        <w:rPr>
          <w:rFonts w:cs="Times New Roman"/>
          <w:lang w:val="sr-Latn-RS"/>
        </w:rPr>
        <w:t xml:space="preserve"> postavljen iza papučice kočnice. Njegova funkcija je da prekine SD liniju ukoliko vozač pritisne papučicu kočnice izvan dozvoljenog opsega</w:t>
      </w:r>
    </w:p>
    <w:p>
      <w:pPr>
        <w:pStyle w:val="Normal"/>
        <w:jc w:val="center"/>
        <w:rPr>
          <w:rFonts w:cs="Times New Roman"/>
          <w:lang w:val="sr-Latn-RS"/>
        </w:rPr>
      </w:pPr>
      <w:r>
        <w:rPr/>
        <w:drawing>
          <wp:inline distT="0" distB="0" distL="0" distR="0">
            <wp:extent cx="1411605" cy="1178560"/>
            <wp:effectExtent l="0" t="0" r="0" b="0"/>
            <wp:docPr id="27" name="Slika 10" descr="FSG RULES 2010 ver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ka 10" descr="FSG RULES 2010 ver1.03"/>
                    <pic:cNvPicPr>
                      <a:picLocks noChangeAspect="1" noChangeArrowheads="1"/>
                    </pic:cNvPicPr>
                  </pic:nvPicPr>
                  <pic:blipFill>
                    <a:blip r:embed="rId33"/>
                    <a:stretch>
                      <a:fillRect/>
                    </a:stretch>
                  </pic:blipFill>
                  <pic:spPr bwMode="auto">
                    <a:xfrm>
                      <a:off x="0" y="0"/>
                      <a:ext cx="1411605" cy="1178560"/>
                    </a:xfrm>
                    <a:prstGeom prst="rect">
                      <a:avLst/>
                    </a:prstGeom>
                  </pic:spPr>
                </pic:pic>
              </a:graphicData>
            </a:graphic>
          </wp:inline>
        </w:drawing>
      </w:r>
    </w:p>
    <w:p>
      <w:pPr>
        <w:pStyle w:val="Normal"/>
        <w:jc w:val="center"/>
        <w:rPr>
          <w:rFonts w:cs="Times New Roman"/>
          <w:lang w:val="sr-Latn-RS"/>
        </w:rPr>
      </w:pPr>
      <w:r>
        <w:rPr>
          <w:rFonts w:cs="Times New Roman"/>
          <w:lang w:val="sr-Latn-RS"/>
        </w:rPr>
        <w:t>Slika 3.12 BOTS</w:t>
      </w:r>
    </w:p>
    <w:p>
      <w:pPr>
        <w:pStyle w:val="Normal"/>
        <w:jc w:val="center"/>
        <w:rPr>
          <w:rFonts w:cs="Times New Roman"/>
          <w:lang w:val="sr-Latn-RS"/>
        </w:rPr>
      </w:pPr>
      <w:r>
        <w:rPr>
          <w:rFonts w:cs="Times New Roman"/>
          <w:lang w:val="sr-Latn-RS"/>
        </w:rPr>
      </w:r>
    </w:p>
    <w:p>
      <w:pPr>
        <w:pStyle w:val="Normal"/>
        <w:rPr/>
      </w:pPr>
      <w:r>
        <w:rPr>
          <w:rFonts w:cs="Times New Roman"/>
          <w:lang w:val="sr-Latn-RS"/>
        </w:rPr>
        <w:t xml:space="preserve">Odabrani BOTS je dostupan na sledećem linku: </w:t>
      </w:r>
    </w:p>
    <w:p>
      <w:pPr>
        <w:pStyle w:val="Normal"/>
        <w:rPr>
          <w:rFonts w:cs="Times New Roman"/>
          <w:lang w:val="sr-Latn-RS"/>
        </w:rPr>
      </w:pPr>
      <w:hyperlink r:id="rId34">
        <w:r>
          <w:rPr>
            <w:rStyle w:val="Hyperlink"/>
            <w:rFonts w:cs="Times New Roman"/>
            <w:lang w:val="sr-Latn-RS"/>
          </w:rPr>
          <w:t>https://mybillbook.in/store/flauta_customs_llp/item/b46e7f9c-be82-449f-bc7c-7e9fed8f6cdd?page_no=1&amp;category=eafb3a3c-75af-4d36-a8a8-23b43029842f</w:t>
        </w:r>
      </w:hyperlink>
    </w:p>
    <w:p>
      <w:pPr>
        <w:pStyle w:val="Normal"/>
        <w:rPr>
          <w:rFonts w:cs="Times New Roman"/>
          <w:lang w:val="sr-Latn-RS"/>
        </w:rPr>
      </w:pPr>
      <w:r>
        <w:rPr>
          <w:rFonts w:cs="Times New Roman"/>
          <w:lang w:val="sr-Latn-RS"/>
        </w:rPr>
      </w:r>
    </w:p>
    <w:p>
      <w:pPr>
        <w:pStyle w:val="Style6"/>
        <w:numPr>
          <w:ilvl w:val="1"/>
          <w:numId w:val="1"/>
        </w:numPr>
        <w:rPr>
          <w:lang w:val="sr-Latn-RS"/>
        </w:rPr>
      </w:pPr>
      <w:r>
        <w:rPr>
          <w:iCs/>
          <w:szCs w:val="28"/>
          <w:lang w:val="sr-Latn-RS"/>
        </w:rPr>
        <w:t>Interlokovi</w:t>
      </w:r>
    </w:p>
    <w:p>
      <w:pPr>
        <w:pStyle w:val="Normal"/>
        <w:rPr>
          <w:rFonts w:cs="Times New Roman"/>
          <w:lang w:val="sr-Latn-RS"/>
        </w:rPr>
      </w:pPr>
      <w:r>
        <w:rPr>
          <w:rFonts w:cs="Times New Roman"/>
          <w:b/>
          <w:bCs/>
          <w:lang w:val="sr-Latn-RS"/>
        </w:rPr>
        <w:t xml:space="preserve">Interlock </w:t>
      </w:r>
      <w:r>
        <w:rPr>
          <w:rFonts w:cs="Times New Roman"/>
          <w:lang w:val="sr-Latn-RS"/>
        </w:rPr>
        <w:t>predstavlja dodatni bezbednosni mehanizam koji obezbeđuje da visokonaponski sistem vozila ne može biti aktivan ukoliko bilo koji od ključnih konektora ili kućišta TS-a nije pravilno povezan i zatvoren. Prema pravilima, svaki konektor TS-a koji se nalazi izvan TS kućišta mora sadržati pilot kontakt, odnosno interlock liniju, koja je deo SDC-a. Na taj način se obezbeđuje da svako fizičko razdvajanje konektora automatski dovede do prekida SDC-a i isključivanja visokonaponskog sistema.</w:t>
      </w:r>
    </w:p>
    <w:p>
      <w:pPr>
        <w:pStyle w:val="Normal"/>
        <w:rPr>
          <w:rFonts w:cs="Times New Roman"/>
          <w:lang w:val="sr-Latn-RS"/>
        </w:rPr>
      </w:pPr>
      <w:r>
        <w:rPr>
          <w:rFonts w:cs="Times New Roman"/>
          <w:b/>
          <w:bCs/>
          <w:lang w:val="sr-Latn-RS"/>
        </w:rPr>
        <w:t>Interlock kontakti</w:t>
      </w:r>
      <w:r>
        <w:rPr>
          <w:rFonts w:cs="Times New Roman"/>
          <w:lang w:val="sr-Latn-RS"/>
        </w:rPr>
        <w:t xml:space="preserve"> su realizovani kao </w:t>
      </w:r>
      <w:r>
        <w:rPr>
          <w:rFonts w:cs="Times New Roman"/>
          <w:b/>
          <w:bCs/>
          <w:lang w:val="sr-Latn-RS"/>
        </w:rPr>
        <w:t>NC prekidači</w:t>
      </w:r>
      <w:r>
        <w:rPr>
          <w:rFonts w:cs="Times New Roman"/>
          <w:lang w:val="sr-Latn-RS"/>
        </w:rPr>
        <w:t xml:space="preserve"> koji su povezani serijski u okviru SDC linije. Kada su svi konektori pravilno povezani, interlock linija je zatvorena i omogućava rad sistema. </w:t>
      </w:r>
    </w:p>
    <w:p>
      <w:pPr>
        <w:pStyle w:val="Normal"/>
        <w:jc w:val="center"/>
        <w:rPr>
          <w:rFonts w:cs="Times New Roman"/>
          <w:lang w:val="sr-Latn-RS"/>
        </w:rPr>
      </w:pPr>
      <w:r>
        <w:rPr/>
        <w:drawing>
          <wp:inline distT="0" distB="0" distL="0" distR="0">
            <wp:extent cx="3408045" cy="2736850"/>
            <wp:effectExtent l="0" t="0" r="0" b="0"/>
            <wp:docPr id="2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
                    <pic:cNvPicPr>
                      <a:picLocks noChangeAspect="1" noChangeArrowheads="1"/>
                    </pic:cNvPicPr>
                  </pic:nvPicPr>
                  <pic:blipFill>
                    <a:blip r:embed="rId35"/>
                    <a:stretch>
                      <a:fillRect/>
                    </a:stretch>
                  </pic:blipFill>
                  <pic:spPr bwMode="auto">
                    <a:xfrm>
                      <a:off x="0" y="0"/>
                      <a:ext cx="3408045" cy="2736850"/>
                    </a:xfrm>
                    <a:prstGeom prst="rect">
                      <a:avLst/>
                    </a:prstGeom>
                  </pic:spPr>
                </pic:pic>
              </a:graphicData>
            </a:graphic>
          </wp:inline>
        </w:drawing>
      </w:r>
    </w:p>
    <w:p>
      <w:pPr>
        <w:pStyle w:val="Normal"/>
        <w:jc w:val="center"/>
        <w:rPr>
          <w:rFonts w:cs="Times New Roman"/>
          <w:lang w:val="sr-Latn-RS"/>
        </w:rPr>
      </w:pPr>
      <w:r>
        <w:rPr>
          <w:rFonts w:cs="Times New Roman"/>
          <w:lang w:val="sr-Latn-RS"/>
        </w:rPr>
        <w:t>Slika 3.13 High Voltage Interlock konektor</w:t>
      </w:r>
    </w:p>
    <w:p>
      <w:pPr>
        <w:pStyle w:val="Normal"/>
        <w:jc w:val="center"/>
        <w:rPr>
          <w:rFonts w:cs="Times New Roman"/>
          <w:lang w:val="sr-Latn-RS"/>
        </w:rPr>
      </w:pPr>
      <w:r>
        <w:rPr>
          <w:rFonts w:cs="Times New Roman"/>
          <w:lang w:val="sr-Latn-RS"/>
        </w:rPr>
      </w:r>
    </w:p>
    <w:p>
      <w:pPr>
        <w:sectPr>
          <w:type w:val="continuous"/>
          <w:pgSz w:w="11906" w:h="16838"/>
          <w:pgMar w:left="720" w:right="720" w:gutter="0" w:header="0" w:top="720" w:footer="432" w:bottom="720"/>
          <w:formProt w:val="false"/>
          <w:textDirection w:val="lrTb"/>
          <w:docGrid w:type="default" w:linePitch="360" w:charSpace="0"/>
        </w:sectPr>
      </w:pPr>
    </w:p>
    <w:p>
      <w:pPr>
        <w:pStyle w:val="Normal"/>
        <w:jc w:val="center"/>
        <w:rPr>
          <w:rFonts w:cs="Times New Roman"/>
          <w:lang w:val="sr-Latn-RS"/>
        </w:rPr>
      </w:pPr>
      <w:r>
        <w:rPr/>
        <w:drawing>
          <wp:inline distT="0" distB="0" distL="0" distR="0">
            <wp:extent cx="1614805" cy="1487170"/>
            <wp:effectExtent l="0" t="0" r="0" b="0"/>
            <wp:docPr id="2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
                    <pic:cNvPicPr>
                      <a:picLocks noChangeAspect="1" noChangeArrowheads="1"/>
                    </pic:cNvPicPr>
                  </pic:nvPicPr>
                  <pic:blipFill>
                    <a:blip r:embed="rId36"/>
                    <a:stretch>
                      <a:fillRect/>
                    </a:stretch>
                  </pic:blipFill>
                  <pic:spPr bwMode="auto">
                    <a:xfrm>
                      <a:off x="0" y="0"/>
                      <a:ext cx="1614805" cy="1487170"/>
                    </a:xfrm>
                    <a:prstGeom prst="rect">
                      <a:avLst/>
                    </a:prstGeom>
                  </pic:spPr>
                </pic:pic>
              </a:graphicData>
            </a:graphic>
          </wp:inline>
        </w:drawing>
      </w:r>
    </w:p>
    <w:p>
      <w:pPr>
        <w:pStyle w:val="Normal"/>
        <w:jc w:val="center"/>
        <w:rPr>
          <w:rFonts w:cs="Times New Roman"/>
          <w:lang w:val="sr-Latn-RS"/>
        </w:rPr>
      </w:pPr>
      <w:r>
        <w:rPr/>
        <w:drawing>
          <wp:inline distT="0" distB="0" distL="0" distR="0">
            <wp:extent cx="1819910" cy="1483995"/>
            <wp:effectExtent l="0" t="0" r="0" b="0"/>
            <wp:docPr id="3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
                    <pic:cNvPicPr>
                      <a:picLocks noChangeAspect="1" noChangeArrowheads="1"/>
                    </pic:cNvPicPr>
                  </pic:nvPicPr>
                  <pic:blipFill>
                    <a:blip r:embed="rId37"/>
                    <a:stretch>
                      <a:fillRect/>
                    </a:stretch>
                  </pic:blipFill>
                  <pic:spPr bwMode="auto">
                    <a:xfrm>
                      <a:off x="0" y="0"/>
                      <a:ext cx="1819910" cy="1483995"/>
                    </a:xfrm>
                    <a:prstGeom prst="rect">
                      <a:avLst/>
                    </a:prstGeom>
                  </pic:spPr>
                </pic:pic>
              </a:graphicData>
            </a:graphic>
          </wp:inline>
        </w:drawing>
      </w:r>
    </w:p>
    <w:p>
      <w:pPr>
        <w:sectPr>
          <w:type w:val="continuous"/>
          <w:pgSz w:w="11906" w:h="16838"/>
          <w:pgMar w:left="720" w:right="720" w:gutter="0" w:header="0" w:top="720" w:footer="432" w:bottom="720"/>
          <w:cols w:num="2" w:space="720" w:equalWidth="true" w:sep="false"/>
          <w:formProt w:val="false"/>
          <w:textDirection w:val="lrTb"/>
          <w:docGrid w:type="default" w:linePitch="360" w:charSpace="0"/>
        </w:sectPr>
      </w:pPr>
    </w:p>
    <w:p>
      <w:pPr>
        <w:pStyle w:val="Normal"/>
        <w:jc w:val="center"/>
        <w:rPr>
          <w:rFonts w:cs="Times New Roman"/>
          <w:lang w:val="sr-Latn-RS"/>
        </w:rPr>
      </w:pPr>
      <w:r>
        <w:rPr>
          <w:rFonts w:cs="Times New Roman"/>
          <w:lang w:val="sr-Latn-RS"/>
        </w:rPr>
        <w:t>Slika 3.14 Tok SDC linije (plava boja) kroz konektor</w:t>
      </w:r>
    </w:p>
    <w:p>
      <w:pPr>
        <w:pStyle w:val="Normal"/>
        <w:rPr>
          <w:rFonts w:cs="Times New Roman"/>
          <w:lang w:val="sr-Latn-RS"/>
        </w:rPr>
      </w:pPr>
      <w:r>
        <w:rPr>
          <w:rFonts w:cs="Times New Roman"/>
          <w:lang w:val="sr-Latn-RS"/>
        </w:rPr>
        <w:t>Sa slika 3.13 i 3.14 jasno se vidi da u slučaju odvajanja muškog i ženskog konektora, dolazi do prekida SDC linije (plava strelica), a samim tim i otvaranja AIR-ova.</w:t>
      </w:r>
    </w:p>
    <w:p>
      <w:pPr>
        <w:pStyle w:val="Normal"/>
        <w:rPr>
          <w:rFonts w:cs="Times New Roman"/>
          <w:lang w:val="sr-Latn-RS"/>
        </w:rPr>
      </w:pPr>
      <w:r>
        <w:rPr>
          <w:rFonts w:cs="Times New Roman"/>
          <w:lang w:val="sr-Latn-RS"/>
        </w:rPr>
        <w:t>U implementiranom rešenju, sledeći konektori imaju implementiran interlock mehanizam:</w:t>
      </w:r>
    </w:p>
    <w:p>
      <w:pPr>
        <w:pStyle w:val="ListParagraph"/>
        <w:numPr>
          <w:ilvl w:val="0"/>
          <w:numId w:val="9"/>
        </w:numPr>
        <w:rPr>
          <w:rFonts w:cs="Times New Roman"/>
          <w:lang w:val="sr-Latn-RS"/>
        </w:rPr>
      </w:pPr>
      <w:r>
        <w:rPr>
          <w:rFonts w:cs="Times New Roman"/>
          <w:lang w:val="sr-Latn-RS"/>
        </w:rPr>
        <w:t>TSAC glavni konektor</w:t>
      </w:r>
    </w:p>
    <w:p>
      <w:pPr>
        <w:pStyle w:val="ListParagraph"/>
        <w:numPr>
          <w:ilvl w:val="0"/>
          <w:numId w:val="9"/>
        </w:numPr>
        <w:rPr>
          <w:rFonts w:cs="Times New Roman"/>
          <w:lang w:val="sr-Latn-RS"/>
        </w:rPr>
      </w:pPr>
      <w:r>
        <w:rPr>
          <w:rFonts w:cs="Times New Roman"/>
          <w:lang w:val="sr-Latn-RS"/>
        </w:rPr>
        <w:t>DC+ konektor na invertoru</w:t>
      </w:r>
    </w:p>
    <w:p>
      <w:pPr>
        <w:pStyle w:val="ListParagraph"/>
        <w:numPr>
          <w:ilvl w:val="0"/>
          <w:numId w:val="9"/>
        </w:numPr>
        <w:rPr>
          <w:rFonts w:cs="Times New Roman"/>
          <w:lang w:val="sr-Latn-RS"/>
        </w:rPr>
      </w:pPr>
      <w:r>
        <w:rPr>
          <w:rFonts w:cs="Times New Roman"/>
          <w:lang w:val="sr-Latn-RS"/>
        </w:rPr>
        <w:t>DC− konektor na invertoru</w:t>
      </w:r>
    </w:p>
    <w:p>
      <w:pPr>
        <w:pStyle w:val="ListParagraph"/>
        <w:numPr>
          <w:ilvl w:val="0"/>
          <w:numId w:val="9"/>
        </w:numPr>
        <w:rPr>
          <w:rFonts w:cs="Times New Roman"/>
          <w:lang w:val="sr-Latn-RS"/>
        </w:rPr>
      </w:pPr>
      <w:r>
        <w:rPr>
          <w:rFonts w:cs="Times New Roman"/>
          <w:lang w:val="sr-Latn-RS"/>
        </w:rPr>
        <w:t>AC fazne konektore motora na invertoru (U, V i W)</w:t>
      </w:r>
    </w:p>
    <w:p>
      <w:pPr>
        <w:pStyle w:val="ListParagraph"/>
        <w:numPr>
          <w:ilvl w:val="0"/>
          <w:numId w:val="9"/>
        </w:numPr>
        <w:rPr>
          <w:rFonts w:cs="Times New Roman"/>
          <w:lang w:val="sr-Latn-RS"/>
        </w:rPr>
      </w:pPr>
      <w:r>
        <w:rPr>
          <w:rFonts w:cs="Times New Roman"/>
          <w:lang w:val="sr-Latn-RS"/>
        </w:rPr>
        <w:t>HVD (High Voltage Disconnect) konektor</w:t>
      </w:r>
    </w:p>
    <w:p>
      <w:pPr>
        <w:pStyle w:val="Normal"/>
        <w:rPr>
          <w:rFonts w:cs="Times New Roman"/>
          <w:lang w:val="sr-Latn-RS"/>
        </w:rPr>
      </w:pPr>
      <w:r>
        <w:rPr>
          <w:rFonts w:cs="Times New Roman"/>
          <w:lang w:val="sr-Latn-RS"/>
        </w:rPr>
      </w:r>
    </w:p>
    <w:p>
      <w:pPr>
        <w:pStyle w:val="ListParagraph"/>
        <w:rPr>
          <w:rFonts w:cs="Times New Roman"/>
          <w:lang w:val="sr-Latn-RS"/>
        </w:rPr>
      </w:pPr>
      <w:r>
        <w:rPr>
          <w:rFonts w:cs="Times New Roman"/>
          <w:lang w:val="sr-Latn-RS"/>
        </w:rPr>
      </w:r>
    </w:p>
    <w:p>
      <w:pPr>
        <w:pStyle w:val="ListParagraph"/>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Style6"/>
        <w:numPr>
          <w:ilvl w:val="1"/>
          <w:numId w:val="1"/>
        </w:numPr>
        <w:rPr>
          <w:lang w:val="sr-Latn-RS"/>
        </w:rPr>
      </w:pPr>
      <w:r>
        <w:rPr>
          <w:iCs/>
          <w:szCs w:val="28"/>
          <w:lang w:val="sr-Latn-RS"/>
        </w:rPr>
        <w:t>TSMS</w:t>
      </w:r>
    </w:p>
    <w:p>
      <w:pPr>
        <w:pStyle w:val="Normal"/>
        <w:rPr>
          <w:rFonts w:cs="Times New Roman"/>
          <w:lang w:val="sr-Latn-RS"/>
        </w:rPr>
      </w:pPr>
      <w:r>
        <w:rPr>
          <w:rFonts w:cs="Times New Roman"/>
          <w:b/>
          <w:bCs/>
          <w:lang w:val="sr-Latn-RS"/>
        </w:rPr>
        <w:t>Tractive System Master Switch (TSMS)</w:t>
      </w:r>
      <w:r>
        <w:rPr>
          <w:rFonts w:cs="Times New Roman"/>
          <w:lang w:val="sr-Latn-RS"/>
        </w:rPr>
        <w:t xml:space="preserve"> je NO ručni prekidač koji predstavlja poslednju komponentu u SD liniji i uključuje se kada je vozilo spremno za rad. Aktiviranje TSMS prekidača označava da je akumulatorski paket spreman za povezivanje sa DC-linkom kontrolera motora. </w:t>
      </w:r>
    </w:p>
    <w:p>
      <w:pPr>
        <w:pStyle w:val="ListParagraph"/>
        <w:numPr>
          <w:ilvl w:val="0"/>
          <w:numId w:val="10"/>
        </w:numPr>
        <w:rPr>
          <w:rFonts w:cs="Times New Roman"/>
          <w:lang w:val="sr-Latn-RS"/>
        </w:rPr>
      </w:pPr>
      <w:r>
        <w:rPr>
          <w:rFonts w:cs="Times New Roman"/>
          <w:lang w:val="sr-Latn-RS"/>
        </w:rPr>
        <w:t>Izgleda isto kao LVMS.</w:t>
      </w:r>
    </w:p>
    <w:p>
      <w:pPr>
        <w:pStyle w:val="ListParagraph"/>
        <w:numPr>
          <w:ilvl w:val="0"/>
          <w:numId w:val="10"/>
        </w:numPr>
        <w:rPr>
          <w:rFonts w:cs="Times New Roman"/>
          <w:lang w:val="sr-Latn-RS"/>
        </w:rPr>
      </w:pPr>
      <w:r>
        <w:rPr>
          <w:rFonts w:cs="Times New Roman"/>
          <w:lang w:val="sr-Latn-RS"/>
        </w:rPr>
        <w:t>Mora biti postavljen u sredini narandžastog kruga ≥ 50 mm na kontrastnoj pozadini.</w:t>
      </w:r>
    </w:p>
    <w:p>
      <w:pPr>
        <w:pStyle w:val="ListParagraph"/>
        <w:numPr>
          <w:ilvl w:val="0"/>
          <w:numId w:val="10"/>
        </w:numPr>
        <w:rPr>
          <w:rFonts w:cs="Times New Roman"/>
          <w:lang w:val="sr-Latn-RS"/>
        </w:rPr>
      </w:pPr>
      <w:r>
        <w:rPr>
          <w:rFonts w:eastAsia="Times New Roman" w:cs="Times New Roman"/>
          <w:kern w:val="0"/>
          <w:lang w:val="sr-Latn-RS" w:eastAsia="sr-Latn-RS"/>
          <w14:ligatures w14:val="none"/>
        </w:rPr>
        <w:t>Mora biti označen „TS“ i simbolom prema ISO 7010-W012 (Slika 3.15).</w:t>
      </w:r>
    </w:p>
    <w:p>
      <w:pPr>
        <w:sectPr>
          <w:type w:val="continuous"/>
          <w:pgSz w:w="11906" w:h="16838"/>
          <w:pgMar w:left="720" w:right="720" w:gutter="0" w:header="0" w:top="720" w:footer="432" w:bottom="720"/>
          <w:formProt w:val="false"/>
          <w:textDirection w:val="lrTb"/>
          <w:docGrid w:type="default" w:linePitch="360" w:charSpace="0"/>
        </w:sectPr>
      </w:pPr>
    </w:p>
    <w:p>
      <w:pPr>
        <w:pStyle w:val="Normal"/>
        <w:jc w:val="center"/>
        <w:rPr>
          <w:rFonts w:cs="Times New Roman"/>
          <w:lang w:val="sr-Latn-RS"/>
        </w:rPr>
      </w:pPr>
      <w:r>
        <w:rPr/>
        <w:drawing>
          <wp:inline distT="0" distB="0" distL="0" distR="0">
            <wp:extent cx="1506855" cy="1506855"/>
            <wp:effectExtent l="0" t="0" r="0" b="0"/>
            <wp:docPr id="31" name="Slika 13" descr="ISO 7010 - W012, Warning; Electr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lika 13" descr="ISO 7010 - W012, Warning; Electricity"/>
                    <pic:cNvPicPr>
                      <a:picLocks noChangeAspect="1" noChangeArrowheads="1"/>
                    </pic:cNvPicPr>
                  </pic:nvPicPr>
                  <pic:blipFill>
                    <a:blip r:embed="rId38"/>
                    <a:stretch>
                      <a:fillRect/>
                    </a:stretch>
                  </pic:blipFill>
                  <pic:spPr bwMode="auto">
                    <a:xfrm>
                      <a:off x="0" y="0"/>
                      <a:ext cx="1506855" cy="1506855"/>
                    </a:xfrm>
                    <a:prstGeom prst="rect">
                      <a:avLst/>
                    </a:prstGeom>
                  </pic:spPr>
                </pic:pic>
              </a:graphicData>
            </a:graphic>
          </wp:inline>
        </w:drawing>
      </w:r>
    </w:p>
    <w:p>
      <w:pPr>
        <w:pStyle w:val="Normal"/>
        <w:jc w:val="center"/>
        <w:rPr>
          <w:rFonts w:eastAsia="Times New Roman" w:cs="Times New Roman"/>
          <w:kern w:val="0"/>
          <w:lang w:val="sr-Latn-RS" w:eastAsia="sr-Latn-RS"/>
          <w14:ligatures w14:val="none"/>
        </w:rPr>
      </w:pPr>
      <w:r>
        <w:rPr>
          <w:rFonts w:cs="Times New Roman"/>
          <w:lang w:val="sr-Latn-RS"/>
        </w:rPr>
        <w:t xml:space="preserve">Slika 3.15 </w:t>
      </w:r>
      <w:r>
        <w:rPr>
          <w:rFonts w:eastAsia="Times New Roman" w:cs="Times New Roman"/>
          <w:kern w:val="0"/>
          <w:lang w:val="sr-Latn-RS" w:eastAsia="sr-Latn-RS"/>
          <w14:ligatures w14:val="none"/>
        </w:rPr>
        <w:t>ISO 7010-W012</w:t>
      </w:r>
    </w:p>
    <w:p>
      <w:pPr>
        <w:pStyle w:val="Normal"/>
        <w:jc w:val="center"/>
        <w:rPr>
          <w:lang w:val="sr-Latn-RS"/>
        </w:rPr>
      </w:pPr>
      <w:r>
        <w:rPr/>
        <w:drawing>
          <wp:inline distT="0" distB="0" distL="0" distR="0">
            <wp:extent cx="2785110" cy="1851025"/>
            <wp:effectExtent l="0" t="0" r="0" b="0"/>
            <wp:docPr id="32" name="Image10" descr="Master Switch • FIA • Alfahol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descr="Master Switch • FIA • Alfaholics"/>
                    <pic:cNvPicPr>
                      <a:picLocks noChangeAspect="1" noChangeArrowheads="1"/>
                    </pic:cNvPicPr>
                  </pic:nvPicPr>
                  <pic:blipFill>
                    <a:blip r:embed="rId39"/>
                    <a:stretch>
                      <a:fillRect/>
                    </a:stretch>
                  </pic:blipFill>
                  <pic:spPr bwMode="auto">
                    <a:xfrm>
                      <a:off x="0" y="0"/>
                      <a:ext cx="2785110" cy="1851025"/>
                    </a:xfrm>
                    <a:prstGeom prst="rect">
                      <a:avLst/>
                    </a:prstGeom>
                  </pic:spPr>
                </pic:pic>
              </a:graphicData>
            </a:graphic>
          </wp:inline>
        </w:drawing>
      </w:r>
    </w:p>
    <w:p>
      <w:pPr>
        <w:pStyle w:val="Normal"/>
        <w:jc w:val="center"/>
        <w:rPr>
          <w:lang w:val="sr-Latn-RS"/>
        </w:rPr>
      </w:pPr>
      <w:r>
        <w:rPr>
          <w:lang w:val="sr-Latn-RS"/>
        </w:rPr>
        <w:t>Slika 3.16 Master Switch</w:t>
      </w:r>
    </w:p>
    <w:p>
      <w:pPr>
        <w:sectPr>
          <w:type w:val="continuous"/>
          <w:pgSz w:w="11906" w:h="16838"/>
          <w:pgMar w:left="720" w:right="720" w:gutter="0" w:header="0" w:top="720" w:footer="432" w:bottom="720"/>
          <w:cols w:num="2" w:space="720" w:equalWidth="true" w:sep="false"/>
          <w:formProt w:val="false"/>
          <w:textDirection w:val="lrTb"/>
          <w:docGrid w:type="default" w:linePitch="360" w:charSpace="0"/>
        </w:sectPr>
      </w:pPr>
    </w:p>
    <w:p>
      <w:pPr>
        <w:pStyle w:val="Normal"/>
        <w:jc w:val="center"/>
        <w:rPr>
          <w:rFonts w:cs="Times New Roman"/>
          <w:lang w:val="sr-Latn-RS"/>
        </w:rPr>
      </w:pPr>
      <w:r>
        <w:rPr>
          <w:rFonts w:cs="Times New Roman"/>
          <w:lang w:val="sr-Latn-RS"/>
        </w:rPr>
      </w:r>
    </w:p>
    <w:p>
      <w:pPr>
        <w:pStyle w:val="Normal"/>
        <w:rPr/>
      </w:pPr>
      <w:r>
        <w:rPr>
          <w:rFonts w:cs="Times New Roman"/>
          <w:lang w:val="sr-Latn-RS"/>
        </w:rPr>
        <w:t xml:space="preserve">Odabrani TSMS je dostupan na sledećem linku: </w:t>
      </w:r>
    </w:p>
    <w:p>
      <w:pPr>
        <w:pStyle w:val="Normal"/>
        <w:rPr>
          <w:rFonts w:cs="Times New Roman"/>
          <w:lang w:val="sr-Latn-RS"/>
        </w:rPr>
      </w:pPr>
      <w:hyperlink r:id="rId40">
        <w:r>
          <w:rPr>
            <w:rStyle w:val="Hyperlink"/>
            <w:rFonts w:cs="Times New Roman"/>
            <w:lang w:val="sr-Latn-RS"/>
          </w:rPr>
          <w:t>https://mybillbook.in/store/flauta_customs_llp/item/63c305d2-c7f0-4335-8c90-44b56d446152?category=eafb3a3c-75af-4d36-a8a8-23b43029842f&amp;page_no=1</w:t>
        </w:r>
      </w:hyperlink>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Style6"/>
        <w:numPr>
          <w:ilvl w:val="0"/>
          <w:numId w:val="1"/>
        </w:numPr>
        <w:rPr/>
      </w:pPr>
      <w:r>
        <w:rPr>
          <w:lang w:val="sr-Latn-RS"/>
        </w:rPr>
        <w:t>Analiza i verifikacija</w:t>
      </w:r>
    </w:p>
    <w:p>
      <w:pPr>
        <w:pStyle w:val="Normal"/>
        <w:rPr>
          <w:rFonts w:cs="Times New Roman"/>
          <w:lang w:val="sr-RS"/>
        </w:rPr>
      </w:pPr>
      <w:r>
        <w:rPr>
          <w:rFonts w:cs="Times New Roman"/>
          <w:lang w:val="sr-RS"/>
        </w:rPr>
        <w:t xml:space="preserve">Opis koraka koji su preduzeti radi analiziranja i validacije dizajna. Simulacije. Opis simulacije. Preduzete pretpostavke. Ograničenja. Tesitiranje. Način testiranja. Procedura. Zaključak i prikaz rezultata.  </w:t>
      </w:r>
    </w:p>
    <w:p>
      <w:pPr>
        <w:pStyle w:val="Style6"/>
        <w:numPr>
          <w:ilvl w:val="0"/>
          <w:numId w:val="1"/>
        </w:numPr>
        <w:rPr/>
      </w:pPr>
      <w:r>
        <w:rPr>
          <w:lang w:val="sr-Latn-RS"/>
        </w:rPr>
        <w:t>Finansije</w:t>
      </w:r>
    </w:p>
    <w:p>
      <w:pPr>
        <w:pStyle w:val="Normal"/>
        <w:rPr>
          <w:rFonts w:cs="Times New Roman"/>
        </w:rPr>
      </w:pPr>
      <w:r>
        <w:rPr>
          <w:rFonts w:cs="Times New Roman"/>
          <w:lang w:val="sr-RS"/>
        </w:rPr>
        <w:t>Koliko sistem odnosno rešenje košta. Analiza koštanja komponenti.</w:t>
      </w:r>
    </w:p>
    <w:p>
      <w:pPr>
        <w:pStyle w:val="Style6"/>
        <w:numPr>
          <w:ilvl w:val="0"/>
          <w:numId w:val="1"/>
        </w:numPr>
        <w:rPr/>
      </w:pPr>
      <w:r>
        <w:rPr>
          <w:lang w:val="sr-Latn-RS"/>
        </w:rPr>
        <w:t>Dalji rad</w:t>
      </w:r>
    </w:p>
    <w:p>
      <w:pPr>
        <w:pStyle w:val="Normal"/>
        <w:rPr>
          <w:lang w:val="sr-RS"/>
        </w:rPr>
      </w:pPr>
      <w:r>
        <w:rPr>
          <w:lang w:val="sr-RS"/>
        </w:rPr>
        <w:t>Potencijalna unapređenja urađenog kako u bližoj, tako i u daljoj budućnosti (kada se obradi cela tema).</w:t>
      </w:r>
    </w:p>
    <w:p>
      <w:pPr>
        <w:pStyle w:val="Normal"/>
        <w:spacing w:lineRule="auto" w:line="276"/>
        <w:jc w:val="left"/>
        <w:rPr>
          <w:rFonts w:cs="Times New Roman"/>
          <w:lang w:val="sr-Latn-RS"/>
        </w:rPr>
      </w:pPr>
      <w:r>
        <w:rPr>
          <w:rFonts w:cs="Times New Roman"/>
          <w:lang w:val="sr-Latn-RS"/>
        </w:rPr>
      </w:r>
      <w:r>
        <w:br w:type="page"/>
      </w:r>
    </w:p>
    <w:sdt>
      <w:sdtPr>
        <w:docPartObj>
          <w:docPartGallery w:val="Bibliographies"/>
          <w:docPartUnique w:val="true"/>
        </w:docPartObj>
        <w:id w:val="1248844895"/>
      </w:sdtPr>
      <w:sdtContent>
        <w:p>
          <w:pPr>
            <w:pStyle w:val="Heading1"/>
            <w:spacing w:before="0" w:after="80"/>
            <w:rPr/>
          </w:pPr>
          <w:r>
            <w:rPr/>
            <w:t>Reference</w:t>
          </w:r>
        </w:p>
        <w:p>
          <w:pPr>
            <w:pStyle w:val="Normal"/>
            <w:rPr>
              <w:lang w:val="en-GB"/>
            </w:rPr>
          </w:pPr>
          <w:r>
            <w:rPr>
              <w:lang w:val="en-GB"/>
            </w:rPr>
            <w:t xml:space="preserve">[1] </w:t>
          </w:r>
          <w:r>
            <w:rPr>
              <w:lang w:val="sr-Latn-RS"/>
            </w:rPr>
            <w:t>Formula Student Germany, "Formula Student 2026 Rules", 2026.</w:t>
          </w:r>
        </w:p>
        <w:p>
          <w:pPr>
            <w:pStyle w:val="Normal"/>
            <w:rPr>
              <w:lang w:val="sr-Latn-RS"/>
            </w:rPr>
          </w:pPr>
          <w:r>
            <w:rPr>
              <w:lang w:val="en-GB"/>
            </w:rPr>
            <w:t xml:space="preserve">[2] </w:t>
          </w:r>
          <w:r>
            <w:rPr>
              <w:lang w:val="sr-Latn-RS"/>
            </w:rPr>
            <w:t>Ewert Energy Systems, Inc., "Orion BMS 2 Specifications," 2018.</w:t>
          </w:r>
        </w:p>
        <w:p>
          <w:pPr>
            <w:pStyle w:val="Normal"/>
            <w:rPr>
              <w:lang w:val="sr-Latn-RS"/>
            </w:rPr>
          </w:pPr>
          <w:r>
            <w:rPr>
              <w:lang w:val="en-GB"/>
            </w:rPr>
            <w:t xml:space="preserve">[3] </w:t>
          </w:r>
          <w:r>
            <w:rPr>
              <w:lang w:val="sr-Latn-RS"/>
            </w:rPr>
            <w:t>Ewert Energy Systems, Inc., "Orion BMS 2 Wiring Manual," 2018.</w:t>
          </w:r>
        </w:p>
        <w:p>
          <w:pPr>
            <w:pStyle w:val="Normal"/>
            <w:rPr>
              <w:lang w:val="sr-Latn-RS"/>
            </w:rPr>
          </w:pPr>
          <w:r>
            <w:rPr>
              <w:lang w:val="en-GB"/>
            </w:rPr>
            <w:t xml:space="preserve">[4] </w:t>
          </w:r>
          <w:r>
            <w:rPr>
              <w:lang w:val="sr-Latn-RS"/>
            </w:rPr>
            <w:t>Ewert Energy Systems, Inc., "Orion BMS 2 Operation Manual," 2018</w:t>
          </w:r>
        </w:p>
        <w:p>
          <w:pPr>
            <w:pStyle w:val="Normal"/>
            <w:rPr>
              <w:lang w:val="sr-Latn-RS"/>
            </w:rPr>
          </w:pPr>
          <w:r>
            <w:rPr>
              <w:lang w:val="sr-Latn-RS"/>
            </w:rPr>
            <w:t xml:space="preserve">[5] Enepaq, "Sony/Murata VTC6 Li-ion Battery Module With Temperature Sensor Datasheet," 2024. </w:t>
          </w:r>
        </w:p>
        <w:p>
          <w:pPr>
            <w:pStyle w:val="Normal"/>
            <w:rPr/>
          </w:pPr>
          <w:r>
            <w:rPr/>
            <w:t>[6] Bender GmbH &amp; Co. KG, "ISOMETER® iso175 Manual," 2023.</w:t>
          </w:r>
        </w:p>
        <w:p>
          <w:pPr>
            <w:pStyle w:val="Normal"/>
            <w:rPr/>
          </w:pPr>
          <w:r>
            <w:rPr/>
            <w:t xml:space="preserve">[7] Bender GmbH &amp; Co. KG, "ISOMETER® iso175 Datasheet," 2023. </w:t>
          </w:r>
        </w:p>
        <w:p>
          <w:pPr>
            <w:pStyle w:val="Normal"/>
            <w:rPr>
              <w:lang w:val="sr-Latn-RS"/>
            </w:rPr>
          </w:pPr>
          <w:r>
            <w:rPr/>
            <w:t>[8] Bender GmbH &amp; Co. KG, "ISOMETER® iso175 Quickstart Guide," 2023</w:t>
          </w:r>
        </w:p>
        <w:p>
          <w:pPr>
            <w:pStyle w:val="Normal"/>
            <w:rPr>
              <w:lang w:val="sr-Latn-RS"/>
            </w:rPr>
          </w:pPr>
          <w:r>
            <w:rPr>
              <w:lang w:val="sr-Latn-RS"/>
            </w:rPr>
            <w:t>[9] A. D. Badawy et al., "Low-Voltage Control Circuits of Formula Student Electric Racing Cars," School of Engineering, Lancaster University, 2024.</w:t>
          </w:r>
        </w:p>
        <w:p>
          <w:pPr>
            <w:pStyle w:val="Normal"/>
            <w:rPr/>
          </w:pPr>
          <w:r>
            <w:rPr>
              <w:lang w:val="sr-Latn-RS"/>
            </w:rPr>
            <w:t xml:space="preserve">[10] </w:t>
          </w:r>
          <w:r>
            <w:rPr/>
            <w:t xml:space="preserve">HIITIO, "HCF250 1500Vdc High Voltage DC Contactor Datasheet," 2024. </w:t>
          </w:r>
        </w:p>
        <w:p>
          <w:pPr>
            <w:pStyle w:val="Normal"/>
            <w:rPr>
              <w:lang w:val="sr-Latn-RS"/>
            </w:rPr>
          </w:pPr>
          <w:r>
            <w:rPr>
              <w:lang w:val="sr-Latn-RS"/>
            </w:rPr>
            <w:t xml:space="preserve">[11] Omron Corporation, "G5Q PCB Power Relay Datasheet," 2025. </w:t>
          </w:r>
        </w:p>
        <w:p>
          <w:pPr>
            <w:pStyle w:val="Normal"/>
            <w:rPr/>
          </w:pPr>
          <w:r>
            <w:rPr/>
            <w:t xml:space="preserve">[12] Texas Instruments, "CD4093B-Q1 CMOS Quad 2-Input NAND Schmitt-Trigger Datasheet," 2008. </w:t>
          </w:r>
        </w:p>
        <w:p>
          <w:pPr>
            <w:pStyle w:val="Normal"/>
            <w:rPr>
              <w:lang w:val="sr-Latn-RS"/>
            </w:rPr>
          </w:pPr>
          <w:r>
            <w:rPr/>
            <w:t xml:space="preserve">[13] Texas Instruments, "CD4013B Dual D-Type Flip-Flop Datasheet," 2016. </w:t>
          </w:r>
        </w:p>
        <w:p>
          <w:pPr>
            <w:pStyle w:val="Normal"/>
            <w:rPr>
              <w:lang w:val="sr-Latn-RS"/>
            </w:rPr>
          </w:pPr>
          <w:r>
            <w:rPr>
              <w:lang w:val="sr-Latn-RS"/>
            </w:rPr>
            <w:t>[14] Texas Instruments, "CD4081B CMOS Quad 2-Input AND Gate Datasheet," 2017.</w:t>
          </w:r>
        </w:p>
      </w:sdtContent>
    </w:sdt>
    <w:p>
      <w:pPr>
        <w:pStyle w:val="Style6"/>
        <w:numPr>
          <w:ilvl w:val="0"/>
          <w:numId w:val="0"/>
        </w:numPr>
        <w:ind w:hanging="0" w:left="720"/>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Style6"/>
        <w:numPr>
          <w:ilvl w:val="0"/>
          <w:numId w:val="1"/>
        </w:numPr>
        <w:rPr>
          <w:lang w:val="sr-Latn-RS"/>
        </w:rPr>
      </w:pPr>
      <w:r>
        <w:rPr>
          <w:lang w:val="sr-Latn-RS"/>
        </w:rPr>
        <w:t>Prilog</w:t>
      </w:r>
    </w:p>
    <w:p>
      <w:pPr>
        <w:pStyle w:val="Normal"/>
        <w:rPr>
          <w:lang w:val="sr-Latn-RS"/>
        </w:rPr>
      </w:pPr>
      <w:r>
        <w:rPr>
          <w:lang w:val="sr-Latn-RS"/>
        </w:rPr>
      </w:r>
    </w:p>
    <w:p>
      <w:pPr>
        <w:pStyle w:val="ListParagraph"/>
        <w:spacing w:before="0" w:after="160"/>
        <w:contextualSpacing/>
        <w:rPr>
          <w:lang w:val="sr-RS"/>
        </w:rPr>
      </w:pPr>
      <w:r>
        <w:rPr>
          <w:lang w:val="sr-RS"/>
        </w:rPr>
      </w:r>
    </w:p>
    <w:sectPr>
      <w:type w:val="continuous"/>
      <w:pgSz w:w="11906" w:h="16838"/>
      <w:pgMar w:left="720" w:right="720" w:gutter="0" w:header="0" w:top="720" w:footer="432" w:bottom="72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drawing>
        <wp:anchor behindDoc="1" distT="0" distB="0" distL="0" distR="0" simplePos="0" locked="0" layoutInCell="1" allowOverlap="1" relativeHeight="0">
          <wp:simplePos x="0" y="0"/>
          <wp:positionH relativeFrom="margin">
            <wp:posOffset>-304800</wp:posOffset>
          </wp:positionH>
          <wp:positionV relativeFrom="paragraph">
            <wp:posOffset>19050</wp:posOffset>
          </wp:positionV>
          <wp:extent cx="1458595" cy="317500"/>
          <wp:effectExtent l="0" t="0" r="0" b="0"/>
          <wp:wrapNone/>
          <wp:docPr id="4" name="Picture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black text on a black background&#10;&#10;AI-generated content may be incorrect."/>
                  <pic:cNvPicPr>
                    <a:picLocks noChangeAspect="1" noChangeArrowheads="1"/>
                  </pic:cNvPicPr>
                </pic:nvPicPr>
                <pic:blipFill>
                  <a:blip r:embed="rId1"/>
                  <a:stretch>
                    <a:fillRect/>
                  </a:stretch>
                </pic:blipFill>
                <pic:spPr bwMode="auto">
                  <a:xfrm>
                    <a:off x="0" y="0"/>
                    <a:ext cx="1458595" cy="317500"/>
                  </a:xfrm>
                  <a:prstGeom prst="rect">
                    <a:avLst/>
                  </a:prstGeom>
                </pic:spPr>
              </pic:pic>
            </a:graphicData>
          </a:graphic>
        </wp:anchor>
      </w:drawing>
    </w:r>
    <w:r>
      <w:rPr>
        <w:lang w:val="sr-RS"/>
      </w:rPr>
      <w:tab/>
    </w:r>
    <w:r>
      <w:rPr>
        <w:lang w:val="sr-Latn-RS"/>
      </w:rPr>
      <w:t xml:space="preserve">Sezona 2025/26 – Niskonaponski tim – </w:t>
    </w:r>
    <w:r>
      <w:rPr>
        <w:lang w:val="sr-Latn-RS"/>
      </w:rPr>
      <w:fldChar w:fldCharType="begin"/>
    </w:r>
    <w:r>
      <w:rPr>
        <w:lang w:val="sr-Latn-RS"/>
      </w:rPr>
      <w:instrText xml:space="preserve"> TITLE </w:instrText>
    </w:r>
    <w:r>
      <w:rPr>
        <w:lang w:val="sr-Latn-RS"/>
      </w:rPr>
      <w:fldChar w:fldCharType="separate"/>
    </w:r>
    <w:r>
      <w:rPr>
        <w:lang w:val="sr-Latn-RS"/>
      </w:rPr>
    </w:r>
    <w:r>
      <w:rPr>
        <w:lang w:val="sr-Latn-RS"/>
      </w:rPr>
      <w:fldChar w:fldCharType="end"/>
    </w:r>
    <w:r>
      <w:rPr>
        <w:lang w:val="sr-Latn-RS"/>
      </w:rPr>
      <w:t>Shutdown kolo</w:t>
    </w:r>
    <w:r>
      <w:rPr>
        <w:lang w:val="sr-RS"/>
      </w:rPr>
      <w:tab/>
    </w:r>
    <w:r>
      <w:rPr>
        <w:lang w:val="sr-RS"/>
      </w:rPr>
      <w:fldChar w:fldCharType="begin"/>
    </w:r>
    <w:r>
      <w:rPr>
        <w:lang w:val="sr-RS"/>
      </w:rPr>
      <w:instrText xml:space="preserve"> PAGE </w:instrText>
    </w:r>
    <w:r>
      <w:rPr>
        <w:lang w:val="sr-RS"/>
      </w:rPr>
      <w:fldChar w:fldCharType="separate"/>
    </w:r>
    <w:r>
      <w:rPr>
        <w:lang w:val="sr-RS"/>
      </w:rPr>
      <w:t>0</w:t>
    </w:r>
    <w:r>
      <w:rPr>
        <w:lang w:val="sr-R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Header"/>
      <w:jc w:val="center"/>
      <w:rPr>
        <w:rFonts w:ascii="Arial" w:hAnsi="Arial" w:cs="Arial"/>
        <w:lang w:val="de-DE"/>
      </w:rPr>
    </w:pPr>
    <w:r>
      <w:rPr>
        <w:rFonts w:cs="Arial" w:ascii="Arial" w:hAnsi="Arial"/>
        <w:lang w:val="de-DE"/>
      </w:rPr>
      <w:t>Akademsko udruženje studenata „Formula Student“ u Novom Sadu – Crni Stršljeni</w:t>
    </w:r>
  </w:p>
  <w:p>
    <w:pPr>
      <w:pStyle w:val="Footer"/>
      <w:rPr/>
    </w:pPr>
    <w:r>
      <w:rPr/>
      <w:drawing>
        <wp:anchor behindDoc="1" distT="0" distB="0" distL="0" distR="0" simplePos="0" locked="0" layoutInCell="0" allowOverlap="1" relativeHeight="5">
          <wp:simplePos x="0" y="0"/>
          <wp:positionH relativeFrom="margin">
            <wp:align>center</wp:align>
          </wp:positionH>
          <wp:positionV relativeFrom="paragraph">
            <wp:posOffset>156845</wp:posOffset>
          </wp:positionV>
          <wp:extent cx="1458595" cy="317500"/>
          <wp:effectExtent l="0" t="0" r="0" b="0"/>
          <wp:wrapNone/>
          <wp:docPr id="5" name="Image2"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text on a black background&#10;&#10;AI-generated content may be incorrect."/>
                  <pic:cNvPicPr>
                    <a:picLocks noChangeAspect="1" noChangeArrowheads="1"/>
                  </pic:cNvPicPr>
                </pic:nvPicPr>
                <pic:blipFill>
                  <a:blip r:embed="rId1"/>
                  <a:stretch>
                    <a:fillRect/>
                  </a:stretch>
                </pic:blipFill>
                <pic:spPr bwMode="auto">
                  <a:xfrm>
                    <a:off x="0" y="0"/>
                    <a:ext cx="1458595" cy="317500"/>
                  </a:xfrm>
                  <a:prstGeom prst="rect">
                    <a:avLst/>
                  </a:prstGeom>
                </pic:spPr>
              </pic:pic>
            </a:graphicData>
          </a:graphic>
        </wp:anchor>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drawing>
        <wp:anchor behindDoc="1" distT="0" distB="0" distL="0" distR="0" simplePos="0" locked="0" layoutInCell="0" allowOverlap="1" relativeHeight="51">
          <wp:simplePos x="0" y="0"/>
          <wp:positionH relativeFrom="margin">
            <wp:posOffset>-304800</wp:posOffset>
          </wp:positionH>
          <wp:positionV relativeFrom="paragraph">
            <wp:posOffset>19050</wp:posOffset>
          </wp:positionV>
          <wp:extent cx="1458595" cy="317500"/>
          <wp:effectExtent l="0" t="0" r="0" b="0"/>
          <wp:wrapNone/>
          <wp:docPr id="12" name="Picture 1 Copy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Copy 1" descr="A black text on a black background&#10;&#10;AI-generated content may be incorrect."/>
                  <pic:cNvPicPr>
                    <a:picLocks noChangeAspect="1" noChangeArrowheads="1"/>
                  </pic:cNvPicPr>
                </pic:nvPicPr>
                <pic:blipFill>
                  <a:blip r:embed="rId1"/>
                  <a:stretch>
                    <a:fillRect/>
                  </a:stretch>
                </pic:blipFill>
                <pic:spPr bwMode="auto">
                  <a:xfrm>
                    <a:off x="0" y="0"/>
                    <a:ext cx="1458595" cy="317500"/>
                  </a:xfrm>
                  <a:prstGeom prst="rect">
                    <a:avLst/>
                  </a:prstGeom>
                </pic:spPr>
              </pic:pic>
            </a:graphicData>
          </a:graphic>
        </wp:anchor>
      </w:drawing>
    </w:r>
    <w:r>
      <w:rPr>
        <w:lang w:val="sr-RS"/>
      </w:rPr>
      <w:tab/>
    </w:r>
    <w:r>
      <w:rPr>
        <w:lang w:val="sr-Latn-RS"/>
      </w:rPr>
      <w:t xml:space="preserve">Sezona 2025/26 – Niskonaponski tim – </w:t>
    </w:r>
    <w:r>
      <w:rPr>
        <w:lang w:val="sr-Latn-RS"/>
      </w:rPr>
      <w:fldChar w:fldCharType="begin"/>
    </w:r>
    <w:r>
      <w:rPr>
        <w:lang w:val="sr-Latn-RS"/>
      </w:rPr>
      <w:instrText xml:space="preserve"> TITLE </w:instrText>
    </w:r>
    <w:r>
      <w:rPr>
        <w:lang w:val="sr-Latn-RS"/>
      </w:rPr>
      <w:fldChar w:fldCharType="separate"/>
    </w:r>
    <w:r>
      <w:rPr>
        <w:lang w:val="sr-Latn-RS"/>
      </w:rPr>
    </w:r>
    <w:r>
      <w:rPr>
        <w:lang w:val="sr-Latn-RS"/>
      </w:rPr>
      <w:fldChar w:fldCharType="end"/>
    </w:r>
    <w:r>
      <w:rPr>
        <w:lang w:val="sr-Latn-RS"/>
      </w:rPr>
      <w:t>Shutdown kolo</w:t>
    </w:r>
    <w:r>
      <w:rPr>
        <w:lang w:val="sr-RS"/>
      </w:rPr>
      <w:tab/>
    </w:r>
    <w:r>
      <w:rPr>
        <w:lang w:val="sr-RS"/>
      </w:rPr>
      <w:fldChar w:fldCharType="begin"/>
    </w:r>
    <w:r>
      <w:rPr>
        <w:lang w:val="sr-RS"/>
      </w:rPr>
      <w:instrText xml:space="preserve"> PAGE </w:instrText>
    </w:r>
    <w:r>
      <w:rPr>
        <w:lang w:val="sr-RS"/>
      </w:rPr>
      <w:fldChar w:fldCharType="separate"/>
    </w:r>
    <w:r>
      <w:rPr>
        <w:lang w:val="sr-RS"/>
      </w:rPr>
      <w:t>7</w:t>
    </w:r>
    <w:r>
      <w:rPr>
        <w:lang w:val="sr-RS"/>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13335" distB="89535" distL="52070" distR="50800" simplePos="0" locked="0" layoutInCell="0" allowOverlap="1" relativeHeight="2" wp14:anchorId="186A84D5">
              <wp:simplePos x="0" y="0"/>
              <wp:positionH relativeFrom="margin">
                <wp:align>center</wp:align>
              </wp:positionH>
              <wp:positionV relativeFrom="paragraph">
                <wp:posOffset>635</wp:posOffset>
              </wp:positionV>
              <wp:extent cx="2943225" cy="571500"/>
              <wp:effectExtent l="52070" t="13335" r="50800" b="89535"/>
              <wp:wrapNone/>
              <wp:docPr id="1" name="Rectangle: Rounded Corners 7"/>
              <a:graphic xmlns:a="http://schemas.openxmlformats.org/drawingml/2006/main">
                <a:graphicData uri="http://schemas.microsoft.com/office/word/2010/wordprocessingShape">
                  <wps:wsp>
                    <wps:cNvSpPr/>
                    <wps:spPr>
                      <a:xfrm>
                        <a:off x="0" y="0"/>
                        <a:ext cx="2943360" cy="571680"/>
                      </a:xfrm>
                      <a:prstGeom prst="roundRect">
                        <a:avLst>
                          <a:gd name="adj" fmla="val 16667"/>
                        </a:avLst>
                      </a:prstGeom>
                      <a:solidFill>
                        <a:srgbClr val="ff9900"/>
                      </a:solidFill>
                      <a:ln>
                        <a:noFill/>
                      </a:ln>
                      <a:effectLst>
                        <a:outerShdw algn="t" blurRad="50760" dir="5400000" dist="38160" rotWithShape="0">
                          <a:srgbClr val="000000">
                            <a:alpha val="40000"/>
                          </a:srgbClr>
                        </a:outerShdw>
                      </a:effectLst>
                    </wps:spPr>
                    <wps:style>
                      <a:lnRef idx="2">
                        <a:schemeClr val="accent2">
                          <a:shade val="15000"/>
                        </a:schemeClr>
                      </a:lnRef>
                      <a:fillRef idx="1">
                        <a:schemeClr val="accent2"/>
                      </a:fillRef>
                      <a:effectRef idx="0">
                        <a:schemeClr val="accent2"/>
                      </a:effectRef>
                      <a:fontRef idx="minor"/>
                    </wps:style>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635" distB="0" distL="635" distR="0" simplePos="0" locked="0" layoutInCell="1" allowOverlap="1" relativeHeight="3" wp14:anchorId="146DF6F3">
              <wp:simplePos x="0" y="0"/>
              <wp:positionH relativeFrom="column">
                <wp:posOffset>-490855</wp:posOffset>
              </wp:positionH>
              <wp:positionV relativeFrom="paragraph">
                <wp:posOffset>-213360</wp:posOffset>
              </wp:positionV>
              <wp:extent cx="7610475" cy="1038225"/>
              <wp:effectExtent l="635" t="635" r="0" b="0"/>
              <wp:wrapNone/>
              <wp:docPr id="2" name="Rectangle 3"/>
              <a:graphic xmlns:a="http://schemas.openxmlformats.org/drawingml/2006/main">
                <a:graphicData uri="http://schemas.microsoft.com/office/word/2010/wordprocessingShape">
                  <wps:wsp>
                    <wps:cNvSpPr/>
                    <wps:spPr>
                      <a:xfrm>
                        <a:off x="0" y="0"/>
                        <a:ext cx="7610400" cy="1038240"/>
                      </a:xfrm>
                      <a:prstGeom prst="rect">
                        <a:avLst/>
                      </a:prstGeom>
                      <a:solidFill>
                        <a:srgbClr val="ff9900"/>
                      </a:solidFill>
                      <a:ln>
                        <a:noFill/>
                      </a:ln>
                      <a:effectLst>
                        <a:innerShdw blurRad="63500" dir="18900000" dist="50800">
                          <a:srgbClr val="000000">
                            <a:alpha val="50000"/>
                          </a:srgbClr>
                        </a:innerShdw>
                      </a:effectLst>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ID="Rectangle 3" path="m0,0l-2147483645,0l-2147483645,-2147483646l0,-2147483646xe" fillcolor="#ff9900" stroked="f" o:allowincell="f" style="position:absolute;margin-left:-38.65pt;margin-top:-16.8pt;width:599.2pt;height:81.7pt;mso-wrap-style:none;v-text-anchor:middle" wp14:anchorId="146DF6F3">
              <v:fill o:detectmouseclick="t" type="solid" color2="#0066ff"/>
              <v:stroke color="#3465a4" weight="19080" joinstyle="miter" endcap="flat"/>
              <w10:wrap type="none"/>
            </v:rect>
          </w:pict>
        </mc:Fallback>
      </mc:AlternateContent>
      <mc:AlternateContent>
        <mc:Choice Requires="wps">
          <w:drawing>
            <wp:anchor behindDoc="1" distT="24765" distB="77470" distL="24765" distR="77470" simplePos="0" locked="0" layoutInCell="1" allowOverlap="1" relativeHeight="4" wp14:anchorId="019EBD50">
              <wp:simplePos x="0" y="0"/>
              <wp:positionH relativeFrom="column">
                <wp:posOffset>-506095</wp:posOffset>
              </wp:positionH>
              <wp:positionV relativeFrom="paragraph">
                <wp:posOffset>-257175</wp:posOffset>
              </wp:positionV>
              <wp:extent cx="1133475" cy="1107440"/>
              <wp:effectExtent l="24765" t="24765" r="77470" b="77470"/>
              <wp:wrapNone/>
              <wp:docPr id="3" name="Flowchart: Manual Input 4"/>
              <a:graphic xmlns:a="http://schemas.openxmlformats.org/drawingml/2006/main">
                <a:graphicData uri="http://schemas.microsoft.com/office/word/2010/wordprocessingShape">
                  <wps:wsp>
                    <wps:cNvSpPr/>
                    <wps:spPr>
                      <a:xfrm rot="5400000">
                        <a:off x="0" y="0"/>
                        <a:ext cx="1133640" cy="1107360"/>
                      </a:xfrm>
                      <a:prstGeom prst="flowChartManualInput">
                        <a:avLst/>
                      </a:prstGeom>
                      <a:solidFill>
                        <a:schemeClr val="tx1"/>
                      </a:solidFill>
                      <a:ln>
                        <a:noFill/>
                      </a:ln>
                      <a:effectLst>
                        <a:outerShdw algn="tl" blurRad="50760" dir="2700000" dist="37674" rotWithShape="0">
                          <a:srgbClr val="000000">
                            <a:alpha val="40000"/>
                          </a:srgbClr>
                        </a:outerShdw>
                      </a:effectLst>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118" coordsize="21600,21600" o:spt="118" path="m,4320l21600,l21600,21600l,21600xe">
              <v:stroke joinstyle="miter"/>
              <v:path gradientshapeok="t" o:connecttype="rect" textboxrect="0,4320,21600,21600"/>
            </v:shapetype>
            <v:shape id="shape_0" ID="Flowchart: Manual Input 4" path="m0,1l5,0l5,5l0,5xe" fillcolor="black" stroked="f" o:allowincell="f" style="position:absolute;margin-left:-39.85pt;margin-top:-20.3pt;width:89.2pt;height:87.15pt;mso-wrap-style:none;v-text-anchor:middle;rotation:90" wp14:anchorId="019EBD50" type="_x0000_t118">
              <v:fill o:detectmouseclick="t" type="solid" color2="white"/>
              <v:stroke color="#3465a4" weight="19080" joinstyle="miter" endcap="flat"/>
              <v:shadow on="t" obscured="f" color="black"/>
              <w10:wrap type="none"/>
            </v:shap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13335" distB="89535" distL="52070" distR="50800" simplePos="0" locked="0" layoutInCell="0" allowOverlap="1" relativeHeight="28" wp14:anchorId="186A84D5">
              <wp:simplePos x="0" y="0"/>
              <wp:positionH relativeFrom="margin">
                <wp:align>center</wp:align>
              </wp:positionH>
              <wp:positionV relativeFrom="paragraph">
                <wp:posOffset>-238125</wp:posOffset>
              </wp:positionV>
              <wp:extent cx="2943225" cy="571500"/>
              <wp:effectExtent l="52070" t="13335" r="50800" b="89535"/>
              <wp:wrapNone/>
              <wp:docPr id="11" name="Rectangle: Rounded Corners 1"/>
              <a:graphic xmlns:a="http://schemas.openxmlformats.org/drawingml/2006/main">
                <a:graphicData uri="http://schemas.microsoft.com/office/word/2010/wordprocessingShape">
                  <wps:wsp>
                    <wps:cNvSpPr/>
                    <wps:spPr>
                      <a:xfrm>
                        <a:off x="0" y="0"/>
                        <a:ext cx="2943360" cy="571680"/>
                      </a:xfrm>
                      <a:prstGeom prst="roundRect">
                        <a:avLst>
                          <a:gd name="adj" fmla="val 16667"/>
                        </a:avLst>
                      </a:prstGeom>
                      <a:solidFill>
                        <a:srgbClr val="ff9900"/>
                      </a:solidFill>
                      <a:ln>
                        <a:noFill/>
                      </a:ln>
                      <a:effectLst>
                        <a:outerShdw algn="t" blurRad="50760" dir="5400000" dist="38160" rotWithShape="0">
                          <a:srgbClr val="000000">
                            <a:alpha val="40000"/>
                          </a:srgbClr>
                        </a:outerShdw>
                      </a:effectLst>
                    </wps:spPr>
                    <wps:style>
                      <a:lnRef idx="2">
                        <a:schemeClr val="accent2">
                          <a:shade val="15000"/>
                        </a:schemeClr>
                      </a:lnRef>
                      <a:fillRef idx="1">
                        <a:schemeClr val="accent2"/>
                      </a:fillRef>
                      <a:effectRef idx="0">
                        <a:schemeClr val="accent2"/>
                      </a:effectRef>
                      <a:fontRef idx="minor"/>
                    </wps:style>
                    <wps:bodyPr/>
                  </wps:wsp>
                </a:graphicData>
              </a:graphic>
            </wp:anchor>
          </w:drawing>
        </mc:Choice>
        <mc:Fallback>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32"/>
  <w:displayBackgroundShap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06cc"/>
    <w:pPr>
      <w:widowControl/>
      <w:suppressAutoHyphens w:val="true"/>
      <w:bidi w:val="0"/>
      <w:spacing w:lineRule="auto" w:line="240" w:before="0" w:after="160"/>
      <w:jc w:val="both"/>
    </w:pPr>
    <w:rPr>
      <w:rFonts w:ascii="Times New Roman" w:hAnsi="Times New Roman"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Naslov1Char"/>
    <w:autoRedefine/>
    <w:uiPriority w:val="9"/>
    <w:qFormat/>
    <w:rsid w:val="009a5571"/>
    <w:pPr>
      <w:keepNext w:val="true"/>
      <w:keepLines/>
      <w:spacing w:before="360" w:after="80"/>
      <w:jc w:val="left"/>
      <w:outlineLvl w:val="0"/>
    </w:pPr>
    <w:rPr>
      <w:rFonts w:eastAsia="" w:cs="" w:cstheme="majorBidi" w:eastAsiaTheme="majorEastAsia"/>
      <w:b/>
      <w:color w:themeColor="text1" w:val="000000"/>
      <w:sz w:val="32"/>
      <w:szCs w:val="40"/>
    </w:rPr>
  </w:style>
  <w:style w:type="paragraph" w:styleId="Heading2">
    <w:name w:val="Heading 2"/>
    <w:basedOn w:val="Normal"/>
    <w:next w:val="Normal"/>
    <w:link w:val="Naslov2Char"/>
    <w:uiPriority w:val="9"/>
    <w:semiHidden/>
    <w:unhideWhenUsed/>
    <w:qFormat/>
    <w:rsid w:val="001e05d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slov3Char"/>
    <w:uiPriority w:val="9"/>
    <w:semiHidden/>
    <w:unhideWhenUsed/>
    <w:qFormat/>
    <w:rsid w:val="001e05d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slov4Char"/>
    <w:uiPriority w:val="9"/>
    <w:semiHidden/>
    <w:unhideWhenUsed/>
    <w:qFormat/>
    <w:rsid w:val="001e05d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slov5Char"/>
    <w:uiPriority w:val="9"/>
    <w:semiHidden/>
    <w:unhideWhenUsed/>
    <w:qFormat/>
    <w:rsid w:val="001e05d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slov6Char"/>
    <w:uiPriority w:val="9"/>
    <w:semiHidden/>
    <w:unhideWhenUsed/>
    <w:qFormat/>
    <w:rsid w:val="001e05d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slov7Char"/>
    <w:uiPriority w:val="9"/>
    <w:semiHidden/>
    <w:unhideWhenUsed/>
    <w:qFormat/>
    <w:rsid w:val="001e05d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slov8Char"/>
    <w:uiPriority w:val="9"/>
    <w:semiHidden/>
    <w:unhideWhenUsed/>
    <w:qFormat/>
    <w:rsid w:val="001e05d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slov9Char"/>
    <w:uiPriority w:val="9"/>
    <w:semiHidden/>
    <w:unhideWhenUsed/>
    <w:qFormat/>
    <w:rsid w:val="001e05d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Naslov1Char" w:customStyle="1">
    <w:name w:val="Naslov 1 Char"/>
    <w:basedOn w:val="DefaultParagraphFont"/>
    <w:link w:val="Heading1"/>
    <w:uiPriority w:val="9"/>
    <w:qFormat/>
    <w:rsid w:val="009a5571"/>
    <w:rPr>
      <w:rFonts w:ascii="Times New Roman" w:hAnsi="Times New Roman" w:eastAsia="" w:cs="" w:cstheme="majorBidi" w:eastAsiaTheme="majorEastAsia"/>
      <w:b/>
      <w:color w:themeColor="text1" w:val="000000"/>
      <w:sz w:val="32"/>
      <w:szCs w:val="40"/>
    </w:rPr>
  </w:style>
  <w:style w:type="character" w:styleId="Naslov2Char" w:customStyle="1">
    <w:name w:val="Naslov 2 Char"/>
    <w:basedOn w:val="DefaultParagraphFont"/>
    <w:link w:val="Heading2"/>
    <w:uiPriority w:val="9"/>
    <w:semiHidden/>
    <w:qFormat/>
    <w:rsid w:val="001e05de"/>
    <w:rPr>
      <w:rFonts w:ascii="Aptos Display" w:hAnsi="Aptos Display" w:eastAsia="" w:cs="" w:asciiTheme="majorHAnsi" w:cstheme="majorBidi" w:eastAsiaTheme="majorEastAsia" w:hAnsiTheme="majorHAnsi"/>
      <w:color w:themeColor="accent1" w:themeShade="bf" w:val="0F4761"/>
      <w:sz w:val="32"/>
      <w:szCs w:val="32"/>
    </w:rPr>
  </w:style>
  <w:style w:type="character" w:styleId="Naslov3Char" w:customStyle="1">
    <w:name w:val="Naslov 3 Char"/>
    <w:basedOn w:val="DefaultParagraphFont"/>
    <w:link w:val="Heading3"/>
    <w:uiPriority w:val="9"/>
    <w:semiHidden/>
    <w:qFormat/>
    <w:rsid w:val="001e05de"/>
    <w:rPr>
      <w:rFonts w:eastAsia="" w:cs="" w:cstheme="majorBidi" w:eastAsiaTheme="majorEastAsia"/>
      <w:color w:themeColor="accent1" w:themeShade="bf" w:val="0F4761"/>
      <w:sz w:val="28"/>
      <w:szCs w:val="28"/>
    </w:rPr>
  </w:style>
  <w:style w:type="character" w:styleId="Naslov4Char" w:customStyle="1">
    <w:name w:val="Naslov 4 Char"/>
    <w:basedOn w:val="DefaultParagraphFont"/>
    <w:link w:val="Heading4"/>
    <w:uiPriority w:val="9"/>
    <w:semiHidden/>
    <w:qFormat/>
    <w:rsid w:val="001e05de"/>
    <w:rPr>
      <w:rFonts w:eastAsia="" w:cs="" w:cstheme="majorBidi" w:eastAsiaTheme="majorEastAsia"/>
      <w:i/>
      <w:iCs/>
      <w:color w:themeColor="accent1" w:themeShade="bf" w:val="0F4761"/>
    </w:rPr>
  </w:style>
  <w:style w:type="character" w:styleId="Naslov5Char" w:customStyle="1">
    <w:name w:val="Naslov 5 Char"/>
    <w:basedOn w:val="DefaultParagraphFont"/>
    <w:link w:val="Heading5"/>
    <w:uiPriority w:val="9"/>
    <w:semiHidden/>
    <w:qFormat/>
    <w:rsid w:val="001e05de"/>
    <w:rPr>
      <w:rFonts w:eastAsia="" w:cs="" w:cstheme="majorBidi" w:eastAsiaTheme="majorEastAsia"/>
      <w:color w:themeColor="accent1" w:themeShade="bf" w:val="0F4761"/>
    </w:rPr>
  </w:style>
  <w:style w:type="character" w:styleId="Naslov6Char" w:customStyle="1">
    <w:name w:val="Naslov 6 Char"/>
    <w:basedOn w:val="DefaultParagraphFont"/>
    <w:link w:val="Heading6"/>
    <w:uiPriority w:val="9"/>
    <w:semiHidden/>
    <w:qFormat/>
    <w:rsid w:val="001e05de"/>
    <w:rPr>
      <w:rFonts w:eastAsia="" w:cs="" w:cstheme="majorBidi" w:eastAsiaTheme="majorEastAsia"/>
      <w:i/>
      <w:iCs/>
      <w:color w:themeColor="text1" w:themeTint="a6" w:val="595959"/>
    </w:rPr>
  </w:style>
  <w:style w:type="character" w:styleId="Naslov7Char" w:customStyle="1">
    <w:name w:val="Naslov 7 Char"/>
    <w:basedOn w:val="DefaultParagraphFont"/>
    <w:link w:val="Heading7"/>
    <w:uiPriority w:val="9"/>
    <w:semiHidden/>
    <w:qFormat/>
    <w:rsid w:val="001e05de"/>
    <w:rPr>
      <w:rFonts w:eastAsia="" w:cs="" w:cstheme="majorBidi" w:eastAsiaTheme="majorEastAsia"/>
      <w:color w:themeColor="text1" w:themeTint="a6" w:val="595959"/>
    </w:rPr>
  </w:style>
  <w:style w:type="character" w:styleId="Naslov8Char" w:customStyle="1">
    <w:name w:val="Naslov 8 Char"/>
    <w:basedOn w:val="DefaultParagraphFont"/>
    <w:link w:val="Heading8"/>
    <w:uiPriority w:val="9"/>
    <w:semiHidden/>
    <w:qFormat/>
    <w:rsid w:val="001e05de"/>
    <w:rPr>
      <w:rFonts w:eastAsia="" w:cs="" w:cstheme="majorBidi" w:eastAsiaTheme="majorEastAsia"/>
      <w:i/>
      <w:iCs/>
      <w:color w:themeColor="text1" w:themeTint="d8" w:val="272727"/>
    </w:rPr>
  </w:style>
  <w:style w:type="character" w:styleId="Naslov9Char" w:customStyle="1">
    <w:name w:val="Naslov 9 Char"/>
    <w:basedOn w:val="DefaultParagraphFont"/>
    <w:link w:val="Heading9"/>
    <w:uiPriority w:val="9"/>
    <w:semiHidden/>
    <w:qFormat/>
    <w:rsid w:val="001e05de"/>
    <w:rPr>
      <w:rFonts w:eastAsia="" w:cs="" w:cstheme="majorBidi" w:eastAsiaTheme="majorEastAsia"/>
      <w:color w:themeColor="text1" w:themeTint="d8" w:val="272727"/>
    </w:rPr>
  </w:style>
  <w:style w:type="character" w:styleId="NaslovChar" w:customStyle="1">
    <w:name w:val="Naslov Char"/>
    <w:basedOn w:val="DefaultParagraphFont"/>
    <w:link w:val="Title"/>
    <w:uiPriority w:val="10"/>
    <w:qFormat/>
    <w:rsid w:val="001e05de"/>
    <w:rPr>
      <w:rFonts w:ascii="Aptos Display" w:hAnsi="Aptos Display" w:eastAsia="" w:cs="" w:asciiTheme="majorHAnsi" w:cstheme="majorBidi" w:eastAsiaTheme="majorEastAsia" w:hAnsiTheme="majorHAnsi"/>
      <w:spacing w:val="-10"/>
      <w:kern w:val="2"/>
      <w:sz w:val="56"/>
      <w:szCs w:val="56"/>
    </w:rPr>
  </w:style>
  <w:style w:type="character" w:styleId="PodnaslovChar" w:customStyle="1">
    <w:name w:val="Podnaslov Char"/>
    <w:basedOn w:val="DefaultParagraphFont"/>
    <w:link w:val="Subtitle"/>
    <w:uiPriority w:val="11"/>
    <w:qFormat/>
    <w:rsid w:val="001e05de"/>
    <w:rPr>
      <w:rFonts w:eastAsia="" w:cs="" w:cstheme="majorBidi" w:eastAsiaTheme="majorEastAsia"/>
      <w:color w:themeColor="text1" w:themeTint="a6" w:val="595959"/>
      <w:spacing w:val="15"/>
      <w:sz w:val="28"/>
      <w:szCs w:val="28"/>
    </w:rPr>
  </w:style>
  <w:style w:type="character" w:styleId="NavoenjeChar" w:customStyle="1">
    <w:name w:val="Navođenje Char"/>
    <w:basedOn w:val="DefaultParagraphFont"/>
    <w:link w:val="Quote"/>
    <w:uiPriority w:val="29"/>
    <w:qFormat/>
    <w:rsid w:val="001e05de"/>
    <w:rPr>
      <w:i/>
      <w:iCs/>
      <w:color w:themeColor="text1" w:themeTint="bf" w:val="404040"/>
    </w:rPr>
  </w:style>
  <w:style w:type="character" w:styleId="IntenseEmphasis">
    <w:name w:val="Intense Emphasis"/>
    <w:basedOn w:val="DefaultParagraphFont"/>
    <w:uiPriority w:val="21"/>
    <w:qFormat/>
    <w:rsid w:val="001e05de"/>
    <w:rPr>
      <w:i/>
      <w:iCs/>
      <w:color w:themeColor="accent1" w:themeShade="bf" w:val="0F4761"/>
    </w:rPr>
  </w:style>
  <w:style w:type="character" w:styleId="PodebljaninavodniciChar" w:customStyle="1">
    <w:name w:val="Podebljani navodnici Char"/>
    <w:basedOn w:val="DefaultParagraphFont"/>
    <w:link w:val="IntenseQuote"/>
    <w:uiPriority w:val="30"/>
    <w:qFormat/>
    <w:rsid w:val="001e05de"/>
    <w:rPr>
      <w:i/>
      <w:iCs/>
      <w:color w:themeColor="accent1" w:themeShade="bf" w:val="0F4761"/>
    </w:rPr>
  </w:style>
  <w:style w:type="character" w:styleId="IntenseReference">
    <w:name w:val="Intense Reference"/>
    <w:basedOn w:val="DefaultParagraphFont"/>
    <w:uiPriority w:val="32"/>
    <w:qFormat/>
    <w:rsid w:val="001e05de"/>
    <w:rPr>
      <w:b/>
      <w:bCs/>
      <w:smallCaps/>
      <w:color w:themeColor="accent1" w:themeShade="bf" w:val="0F4761"/>
      <w:spacing w:val="5"/>
    </w:rPr>
  </w:style>
  <w:style w:type="character" w:styleId="ZaglavljestraniceChar" w:customStyle="1">
    <w:name w:val="Zaglavlje stranice Char"/>
    <w:basedOn w:val="DefaultParagraphFont"/>
    <w:link w:val="Header"/>
    <w:uiPriority w:val="99"/>
    <w:qFormat/>
    <w:rsid w:val="001e05de"/>
    <w:rPr/>
  </w:style>
  <w:style w:type="character" w:styleId="PodnojestraniceChar" w:customStyle="1">
    <w:name w:val="Podnožje stranice Char"/>
    <w:basedOn w:val="DefaultParagraphFont"/>
    <w:link w:val="Footer"/>
    <w:uiPriority w:val="99"/>
    <w:qFormat/>
    <w:rsid w:val="001e05de"/>
    <w:rPr/>
  </w:style>
  <w:style w:type="character" w:styleId="PlaceholderText">
    <w:name w:val="Placeholder Text"/>
    <w:basedOn w:val="DefaultParagraphFont"/>
    <w:uiPriority w:val="99"/>
    <w:semiHidden/>
    <w:qFormat/>
    <w:rsid w:val="0008439e"/>
    <w:rPr>
      <w:color w:val="666666"/>
    </w:rPr>
  </w:style>
  <w:style w:type="character" w:styleId="Strong">
    <w:name w:val="Strong"/>
    <w:basedOn w:val="DefaultParagraphFont"/>
    <w:uiPriority w:val="22"/>
    <w:qFormat/>
    <w:rsid w:val="00c53363"/>
    <w:rPr>
      <w:b/>
      <w:bCs/>
    </w:rPr>
  </w:style>
  <w:style w:type="character" w:styleId="whitespace-normal" w:customStyle="1">
    <w:name w:val="whitespace-normal"/>
    <w:basedOn w:val="DefaultParagraphFont"/>
    <w:qFormat/>
    <w:rsid w:val="00c63041"/>
    <w:rPr/>
  </w:style>
  <w:style w:type="character" w:styleId="Hyperlink">
    <w:name w:val="Hyperlink"/>
    <w:basedOn w:val="DefaultParagraphFont"/>
    <w:uiPriority w:val="99"/>
    <w:unhideWhenUsed/>
    <w:rsid w:val="000c4f40"/>
    <w:rPr>
      <w:color w:themeColor="hyperlink" w:val="467886"/>
      <w:u w:val="single"/>
    </w:rPr>
  </w:style>
  <w:style w:type="character" w:styleId="UnresolvedMention">
    <w:name w:val="Unresolved Mention"/>
    <w:basedOn w:val="DefaultParagraphFont"/>
    <w:uiPriority w:val="99"/>
    <w:semiHidden/>
    <w:unhideWhenUsed/>
    <w:qFormat/>
    <w:rsid w:val="000c4f40"/>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NaslovChar"/>
    <w:uiPriority w:val="10"/>
    <w:qFormat/>
    <w:rsid w:val="001e05de"/>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PodnaslovChar"/>
    <w:uiPriority w:val="11"/>
    <w:qFormat/>
    <w:rsid w:val="001e05de"/>
    <w:pPr/>
    <w:rPr>
      <w:rFonts w:eastAsia="" w:cs="" w:cstheme="majorBidi" w:eastAsiaTheme="majorEastAsia"/>
      <w:color w:themeColor="text1" w:themeTint="a6" w:val="595959"/>
      <w:spacing w:val="15"/>
      <w:sz w:val="28"/>
      <w:szCs w:val="28"/>
    </w:rPr>
  </w:style>
  <w:style w:type="paragraph" w:styleId="Quote">
    <w:name w:val="Quote"/>
    <w:basedOn w:val="Normal"/>
    <w:next w:val="Normal"/>
    <w:link w:val="NavoenjeChar"/>
    <w:uiPriority w:val="29"/>
    <w:qFormat/>
    <w:rsid w:val="001e05de"/>
    <w:pPr>
      <w:spacing w:before="160" w:after="160"/>
      <w:jc w:val="center"/>
    </w:pPr>
    <w:rPr>
      <w:i/>
      <w:iCs/>
      <w:color w:themeColor="text1" w:themeTint="bf" w:val="404040"/>
    </w:rPr>
  </w:style>
  <w:style w:type="paragraph" w:styleId="ListParagraph">
    <w:name w:val="List Paragraph"/>
    <w:basedOn w:val="Normal"/>
    <w:uiPriority w:val="34"/>
    <w:qFormat/>
    <w:rsid w:val="001e05de"/>
    <w:pPr>
      <w:spacing w:before="0" w:after="160"/>
      <w:ind w:left="720"/>
      <w:contextualSpacing/>
    </w:pPr>
    <w:rPr/>
  </w:style>
  <w:style w:type="paragraph" w:styleId="IntenseQuote">
    <w:name w:val="Intense Quote"/>
    <w:basedOn w:val="Normal"/>
    <w:next w:val="Normal"/>
    <w:link w:val="PodebljaninavodniciChar"/>
    <w:uiPriority w:val="30"/>
    <w:qFormat/>
    <w:rsid w:val="001e05d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Style5" w:customStyle="1">
    <w:name w:val="Наслов"/>
    <w:basedOn w:val="Title"/>
    <w:next w:val="Normal"/>
    <w:qFormat/>
    <w:rsid w:val="001e05de"/>
    <w:pPr>
      <w:jc w:val="center"/>
    </w:pPr>
    <w:rPr>
      <w:rFonts w:ascii="Times New Roman" w:hAnsi="Times New Roman"/>
      <w:sz w:val="44"/>
    </w:rPr>
  </w:style>
  <w:style w:type="paragraph" w:styleId="Revision">
    <w:name w:val="Revision"/>
    <w:uiPriority w:val="99"/>
    <w:semiHidden/>
    <w:qFormat/>
    <w:rsid w:val="001e05de"/>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Style6" w:customStyle="1">
    <w:name w:val="Заглавље"/>
    <w:basedOn w:val="Subtitle"/>
    <w:next w:val="Normal"/>
    <w:qFormat/>
    <w:rsid w:val="00c206cc"/>
    <w:pPr>
      <w:numPr>
        <w:ilvl w:val="0"/>
        <w:numId w:val="1"/>
      </w:numPr>
    </w:pPr>
    <w:rPr>
      <w:i/>
      <w:color w:themeColor="text1" w:val="000000"/>
      <w:szCs w:val="32"/>
      <w:lang w:val="sr-RS"/>
    </w:rPr>
  </w:style>
  <w:style w:type="paragraph" w:styleId="HeaderandFooter">
    <w:name w:val="Header and Footer"/>
    <w:basedOn w:val="Normal"/>
    <w:qFormat/>
    <w:pPr/>
    <w:rPr/>
  </w:style>
  <w:style w:type="paragraph" w:styleId="Header">
    <w:name w:val="Header"/>
    <w:basedOn w:val="Normal"/>
    <w:link w:val="ZaglavljestraniceChar"/>
    <w:uiPriority w:val="99"/>
    <w:unhideWhenUsed/>
    <w:rsid w:val="001e05de"/>
    <w:pPr>
      <w:tabs>
        <w:tab w:val="clear" w:pos="720"/>
        <w:tab w:val="center" w:pos="4680" w:leader="none"/>
        <w:tab w:val="right" w:pos="9360" w:leader="none"/>
      </w:tabs>
      <w:spacing w:before="0" w:after="0"/>
    </w:pPr>
    <w:rPr/>
  </w:style>
  <w:style w:type="paragraph" w:styleId="Footer">
    <w:name w:val="Footer"/>
    <w:basedOn w:val="Normal"/>
    <w:link w:val="PodnojestraniceChar"/>
    <w:uiPriority w:val="99"/>
    <w:unhideWhenUsed/>
    <w:rsid w:val="001e05de"/>
    <w:pPr>
      <w:tabs>
        <w:tab w:val="clear" w:pos="720"/>
        <w:tab w:val="center" w:pos="4680" w:leader="none"/>
        <w:tab w:val="right" w:pos="9360" w:leader="none"/>
      </w:tabs>
      <w:spacing w:before="0" w:after="0"/>
    </w:pPr>
    <w:rPr/>
  </w:style>
  <w:style w:type="paragraph" w:styleId="Bibliography">
    <w:name w:val="Bibliography"/>
    <w:basedOn w:val="Normal"/>
    <w:next w:val="Normal"/>
    <w:uiPriority w:val="37"/>
    <w:unhideWhenUsed/>
    <w:qFormat/>
    <w:rsid w:val="009a5571"/>
    <w:pPr/>
    <w:rPr/>
  </w:style>
  <w:style w:type="paragraph" w:styleId="NormalWeb">
    <w:name w:val="Normal (Web)"/>
    <w:basedOn w:val="Normal"/>
    <w:uiPriority w:val="99"/>
    <w:semiHidden/>
    <w:unhideWhenUsed/>
    <w:qFormat/>
    <w:rsid w:val="0008439e"/>
    <w:pPr/>
    <w:rPr>
      <w:rFonts w:cs="Times New Roman"/>
    </w:rPr>
  </w:style>
  <w:style w:type="paragraph" w:styleId="FrameContents">
    <w:name w:val="Frame Contents"/>
    <w:basedOn w:val="Normal"/>
    <w:qFormat/>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natabela">
    <w:name w:val="Normal Table"/>
    <w:uiPriority w:val="99"/>
    <w:semiHidden/>
    <w:unhideWhenUsed/>
    <w:tblPr>
      <w:tblCellMar>
        <w:top w:w="0" w:type="dxa"/>
        <w:left w:w="108" w:type="dxa"/>
        <w:bottom w:w="0" w:type="dxa"/>
        <w:right w:w="108" w:type="dxa"/>
      </w:tblCellMar>
    </w:tblPr>
  </w:style>
  <w:style w:type="table" w:styleId="Koordinatnamreatabele">
    <w:name w:val="Table Grid"/>
    <w:basedOn w:val="Normalnatabela"/>
    <w:uiPriority w:val="39"/>
    <w:rsid w:val="001e05d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vetlakoordinatnamreatabele">
    <w:name w:val="Grid Table Light"/>
    <w:basedOn w:val="Normalnatabela"/>
    <w:uiPriority w:val="40"/>
    <w:rsid w:val="00435f0c"/>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eg"/><Relationship Id="rId30" Type="http://schemas.openxmlformats.org/officeDocument/2006/relationships/hyperlink" Target="https://mybillbook.in/store/flauta_customs_llp/item/3b1857d2-077b-4d96-8b15-f02a7f747b02?category=eafb3a3c-75af-4d36-a8a8-23b43029842f&amp;page_no=1" TargetMode="External"/><Relationship Id="rId31" Type="http://schemas.openxmlformats.org/officeDocument/2006/relationships/image" Target="media/image20.png"/><Relationship Id="rId32" Type="http://schemas.openxmlformats.org/officeDocument/2006/relationships/hyperlink" Target="https://mybillbook.in/store/flauta_customs_llp/item/0ae8394d-d88d-467f-a215-6a9ffcc9d581?page_no=2" TargetMode="External"/><Relationship Id="rId33" Type="http://schemas.openxmlformats.org/officeDocument/2006/relationships/image" Target="media/image21.jpeg"/><Relationship Id="rId34" Type="http://schemas.openxmlformats.org/officeDocument/2006/relationships/hyperlink" Target="https://mybillbook.in/store/flauta_customs_llp/item/b46e7f9c-be82-449f-bc7c-7e9fed8f6cdd?page_no=1&amp;category=eafb3a3c-75af-4d36-a8a8-23b43029842f" TargetMode="External"/><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7.jpeg"/><Relationship Id="rId40" Type="http://schemas.openxmlformats.org/officeDocument/2006/relationships/hyperlink" Target="https://mybillbook.in/store/flauta_customs_llp/item/63c305d2-c7f0-4335-8c90-44b56d446152?category=eafb3a3c-75af-4d36-a8a8-23b43029842f&amp;page_no=1" TargetMode="Externa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MLA" Version="2006">
  <b:Source>
    <b:Tag>Аутно</b:Tag>
    <b:SourceType>Report</b:SourceType>
    <b:Guid>{B6349377-59AD-48AD-9A2D-9ED71B9A493F}</b:Guid>
    <b:Author>
      <b:Author>
        <b:NameList>
          <b:Person>
            <b:Last>Autor</b:Last>
          </b:Person>
        </b:NameList>
      </b:Author>
    </b:Author>
    <b:Title>Naslov</b:Title>
    <b:Year>Godina</b:Year>
    <b:RefOrder>1</b:RefOrder>
  </b:Source>
</b:Sources>
</file>

<file path=customXml/itemProps1.xml><?xml version="1.0" encoding="utf-8"?>
<ds:datastoreItem xmlns:ds="http://schemas.openxmlformats.org/officeDocument/2006/customXml" ds:itemID="{A971DC4C-0524-4FF0-83A8-0BABBBD89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10738</TotalTime>
  <Application>LibreOffice/24.2.7.2$Linux_X86_64 LibreOffice_project/420$Build-2</Application>
  <AppVersion>15.0000</AppVersion>
  <Pages>25</Pages>
  <Words>3597</Words>
  <Characters>20130</Characters>
  <CharactersWithSpaces>23337</CharactersWithSpaces>
  <Paragraphs>399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2025-11-19T20:30:00Z</dcterms:created>
  <dc:creator>Nuždić</dc:creator>
  <dc:description/>
  <dc:language>en-US</dc:language>
  <cp:lastModifiedBy/>
  <dcterms:modified xsi:type="dcterms:W3CDTF">2026-05-22T17:48:39Z</dcterms:modified>
  <cp:revision>287</cp:revision>
  <dc:subject/>
  <dc:title/>
</cp:coreProperties>
</file>

<file path=docProps/custom.xml><?xml version="1.0" encoding="utf-8"?>
<Properties xmlns="http://schemas.openxmlformats.org/officeDocument/2006/custom-properties" xmlns:vt="http://schemas.openxmlformats.org/officeDocument/2006/docPropsVTypes"/>
</file>