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5"/>
        <w:rPr/>
      </w:pPr>
      <w:r>
        <w:rPr/>
      </w:r>
    </w:p>
    <w:p>
      <w:pPr>
        <w:pStyle w:val="Style5"/>
        <w:rPr/>
      </w:pPr>
      <w:r>
        <w:rPr/>
      </w:r>
    </w:p>
    <w:p>
      <w:pPr>
        <w:pStyle w:val="Style5"/>
        <w:rPr>
          <w:lang w:val="sr-Latn-RS"/>
        </w:rPr>
      </w:pPr>
      <w:r>
        <w:rPr>
          <w:lang w:val="sr-Latn-RS"/>
        </w:rPr>
        <w:t>SISTEM ZA PRAĆENJE TEMPERATURE BATERIJE</w:t>
      </w:r>
    </w:p>
    <w:p>
      <w:pPr>
        <w:pStyle w:val="Style5"/>
        <w:rPr>
          <w:lang w:val="sr-RS"/>
        </w:rPr>
      </w:pPr>
      <w:r>
        <w:rPr>
          <w:lang w:val="sr-RS"/>
        </w:rPr>
        <w:t>-</w:t>
      </w:r>
      <w:r>
        <w:rPr>
          <w:lang w:val="sr-Latn-RS"/>
        </w:rPr>
        <w:t>IZVEŠTAJ O RADU</w:t>
      </w:r>
      <w:r>
        <w:rPr>
          <w:lang w:val="sr-RS"/>
        </w:rPr>
        <w:t>-</w:t>
      </w:r>
    </w:p>
    <w:tbl>
      <w:tblPr>
        <w:tblStyle w:val="Svetlakoordinatnamreatabele"/>
        <w:tblpPr w:vertAnchor="page" w:horzAnchor="text" w:leftFromText="180" w:rightFromText="180" w:tblpX="0" w:tblpY="3391"/>
        <w:tblW w:w="104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065"/>
        <w:gridCol w:w="8390"/>
      </w:tblGrid>
      <w:tr>
        <w:trPr>
          <w:trHeight w:val="350" w:hRule="atLeast"/>
        </w:trPr>
        <w:tc>
          <w:tcPr>
            <w:tcW w:w="10455" w:type="dxa"/>
            <w:gridSpan w:val="2"/>
            <w:tcBorders/>
          </w:tcPr>
          <w:p>
            <w:pPr>
              <w:pStyle w:val="Normal"/>
              <w:widowControl/>
              <w:suppressAutoHyphens w:val="true"/>
              <w:spacing w:before="0" w:after="0"/>
              <w:jc w:val="center"/>
              <w:rPr>
                <w:rFonts w:cs="Times New Roman"/>
                <w:b/>
                <w:bCs/>
                <w:lang w:val="sr-Latn-RS"/>
              </w:rPr>
            </w:pPr>
            <w:r>
              <w:rPr>
                <w:rFonts w:eastAsia="Aptos" w:cs="Times New Roman"/>
                <w:b/>
                <w:bCs/>
                <w:kern w:val="2"/>
                <w:sz w:val="24"/>
                <w:szCs w:val="24"/>
                <w:lang w:val="sr-Latn-RS" w:eastAsia="en-US" w:bidi="ar-SA"/>
              </w:rPr>
              <w:t>PODACI O ČLANU</w:t>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Ime i prezime</w:t>
            </w:r>
            <w:r>
              <w:rPr>
                <w:rFonts w:eastAsia="Aptos" w:cs="Times New Roman"/>
                <w:b/>
                <w:bCs/>
                <w:kern w:val="2"/>
                <w:sz w:val="24"/>
                <w:szCs w:val="24"/>
                <w:lang w:val="sr-RS" w:eastAsia="en-US" w:bidi="ar-SA"/>
              </w:rPr>
              <w:t xml:space="preserve"> :</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Ivan Berenić</w:t>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 xml:space="preserve">Podtim </w:t>
            </w:r>
            <w:r>
              <w:rPr>
                <w:rFonts w:eastAsia="Aptos" w:cs="Times New Roman"/>
                <w:b/>
                <w:bCs/>
                <w:kern w:val="2"/>
                <w:sz w:val="24"/>
                <w:szCs w:val="24"/>
                <w:lang w:val="en-US" w:eastAsia="en-US" w:bidi="ar-SA"/>
              </w:rPr>
              <w:t>:</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 xml:space="preserve">Niskonaponski sistemi </w:t>
            </w:r>
            <w:r>
              <w:fldChar w:fldCharType="begin"/>
            </w:r>
            <w:r>
              <w:rPr>
                <w:sz w:val="24"/>
                <w:kern w:val="2"/>
                <w:szCs w:val="24"/>
                <w:rFonts w:eastAsia="Aptos" w:cs="Times New Roman"/>
                <w:lang w:val="sr-Latn-RS" w:eastAsia="en-US" w:bidi="ar-SA"/>
              </w:rPr>
              <w:instrText xml:space="preserve"> XE "(naziv podtima): : : " </w:instrText>
            </w:r>
            <w:r>
              <w:rPr>
                <w:sz w:val="24"/>
                <w:kern w:val="2"/>
                <w:szCs w:val="24"/>
                <w:rFonts w:eastAsia="Aptos" w:cs="Times New Roman"/>
                <w:lang w:val="sr-Latn-RS" w:eastAsia="en-US" w:bidi="ar-SA"/>
              </w:rPr>
              <w:fldChar w:fldCharType="separate"/>
            </w:r>
            <w:r>
              <w:rPr>
                <w:rFonts w:eastAsia="Aptos" w:cs="Times New Roman"/>
                <w:kern w:val="2"/>
                <w:sz w:val="24"/>
                <w:szCs w:val="24"/>
                <w:lang w:val="sr-Latn-RS" w:eastAsia="en-US" w:bidi="ar-SA"/>
              </w:rPr>
            </w:r>
            <w:r>
              <w:rPr>
                <w:sz w:val="24"/>
                <w:kern w:val="2"/>
                <w:szCs w:val="24"/>
                <w:rFonts w:eastAsia="Aptos" w:cs="Times New Roman"/>
                <w:lang w:val="sr-Latn-RS" w:eastAsia="en-US" w:bidi="ar-SA"/>
              </w:rPr>
              <w:fldChar w:fldCharType="end"/>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 xml:space="preserve">Podlider(i) </w:t>
            </w:r>
            <w:r>
              <w:rPr>
                <w:rFonts w:eastAsia="Aptos" w:cs="Times New Roman"/>
                <w:b/>
                <w:bCs/>
                <w:kern w:val="2"/>
                <w:sz w:val="24"/>
                <w:szCs w:val="24"/>
                <w:lang w:val="en-US" w:eastAsia="en-US" w:bidi="ar-SA"/>
              </w:rPr>
              <w:t>:</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Predrag Nuždić, Ivan Berenić</w:t>
            </w:r>
          </w:p>
        </w:tc>
      </w:tr>
    </w:tbl>
    <w:p>
      <w:pPr>
        <w:pStyle w:val="Normal"/>
        <w:rPr/>
      </w:pPr>
      <w:r>
        <w:rPr/>
      </w:r>
    </w:p>
    <w:p>
      <w:pPr>
        <w:pStyle w:val="Style6"/>
        <w:numPr>
          <w:ilvl w:val="0"/>
          <w:numId w:val="0"/>
        </w:numPr>
        <w:ind w:hanging="0" w:left="0"/>
        <w:rPr/>
      </w:pPr>
      <w:r>
        <w:rPr/>
      </w:r>
    </w:p>
    <w:tbl>
      <w:tblPr>
        <w:tblStyle w:val="Svetlakoordinatnamreatabele"/>
        <w:tblW w:w="104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52"/>
        <w:gridCol w:w="8303"/>
      </w:tblGrid>
      <w:tr>
        <w:trPr>
          <w:trHeight w:val="350" w:hRule="atLeast"/>
        </w:trPr>
        <w:tc>
          <w:tcPr>
            <w:tcW w:w="10455" w:type="dxa"/>
            <w:gridSpan w:val="2"/>
            <w:tcBorders/>
          </w:tcPr>
          <w:p>
            <w:pPr>
              <w:pStyle w:val="Normal"/>
              <w:widowControl/>
              <w:suppressAutoHyphens w:val="true"/>
              <w:spacing w:before="0" w:after="0"/>
              <w:jc w:val="center"/>
              <w:rPr>
                <w:rFonts w:cs="Times New Roman"/>
                <w:b/>
                <w:bCs/>
                <w:lang w:val="sr-Latn-RS"/>
              </w:rPr>
            </w:pPr>
            <w:r>
              <w:rPr>
                <w:rFonts w:eastAsia="Aptos" w:cs="Times New Roman"/>
                <w:b/>
                <w:bCs/>
                <w:kern w:val="2"/>
                <w:sz w:val="24"/>
                <w:szCs w:val="24"/>
                <w:lang w:val="sr-Latn-RS" w:eastAsia="en-US" w:bidi="ar-SA"/>
              </w:rPr>
              <w:t>APSTRAKT</w:t>
            </w:r>
          </w:p>
        </w:tc>
      </w:tr>
      <w:tr>
        <w:trPr>
          <w:trHeight w:val="692" w:hRule="atLeast"/>
        </w:trPr>
        <w:tc>
          <w:tcPr>
            <w:tcW w:w="2152"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Opis problema</w:t>
            </w:r>
            <w:r>
              <w:rPr>
                <w:rFonts w:eastAsia="Aptos" w:cs="Times New Roman"/>
                <w:b/>
                <w:bCs/>
                <w:kern w:val="2"/>
                <w:sz w:val="24"/>
                <w:szCs w:val="24"/>
                <w:lang w:val="en-US" w:eastAsia="en-US" w:bidi="ar-SA"/>
              </w:rPr>
              <w:t xml:space="preserve"> :</w:t>
            </w:r>
          </w:p>
        </w:tc>
        <w:tc>
          <w:tcPr>
            <w:tcW w:w="8303" w:type="dxa"/>
            <w:tcBorders/>
          </w:tcPr>
          <w:p>
            <w:pPr>
              <w:pStyle w:val="Normal"/>
              <w:widowControl/>
              <w:suppressAutoHyphens w:val="true"/>
              <w:spacing w:before="0" w:after="0"/>
              <w:rPr>
                <w:rFonts w:cs="Times New Roman"/>
                <w:lang w:val="sr-RS"/>
              </w:rPr>
            </w:pPr>
            <w:r>
              <w:rPr>
                <w:rFonts w:eastAsia="Aptos" w:cs="Times New Roman"/>
                <w:i/>
                <w:iCs/>
                <w:kern w:val="2"/>
                <w:sz w:val="24"/>
                <w:szCs w:val="24"/>
                <w:lang w:val="en-US" w:eastAsia="en-US" w:bidi="ar-SA"/>
              </w:rPr>
              <w:t>Enepaq</w:t>
            </w:r>
            <w:r>
              <w:rPr>
                <w:rFonts w:eastAsia="Aptos" w:cs="Times New Roman"/>
                <w:kern w:val="2"/>
                <w:sz w:val="24"/>
                <w:szCs w:val="24"/>
                <w:lang w:val="en-US" w:eastAsia="en-US" w:bidi="ar-SA"/>
              </w:rPr>
              <w:t xml:space="preserve"> baterijski modul koristi temperaturni senzor zasnovan na principu ponašanja Zener diode, dok </w:t>
            </w:r>
            <w:r>
              <w:rPr>
                <w:rFonts w:eastAsia="Aptos" w:cs="Times New Roman"/>
                <w:i/>
                <w:iCs/>
                <w:kern w:val="2"/>
                <w:sz w:val="24"/>
                <w:szCs w:val="24"/>
                <w:lang w:val="en-US" w:eastAsia="en-US" w:bidi="ar-SA"/>
              </w:rPr>
              <w:t>Orion 2 BMS</w:t>
            </w:r>
            <w:r>
              <w:rPr>
                <w:rFonts w:eastAsia="Aptos" w:cs="Times New Roman"/>
                <w:kern w:val="2"/>
                <w:sz w:val="24"/>
                <w:szCs w:val="24"/>
                <w:lang w:val="en-US" w:eastAsia="en-US" w:bidi="ar-SA"/>
              </w:rPr>
              <w:t xml:space="preserve"> podržava isključivo ulaz za NTC senzore Ova nekompatibilnost onemogućava direktno povezivanje modula sa BMS-om i sprečava dobijanje pouzdanih informacija o temperaturi ćelija.</w:t>
            </w:r>
          </w:p>
        </w:tc>
      </w:tr>
      <w:tr>
        <w:trPr>
          <w:trHeight w:val="440" w:hRule="atLeast"/>
        </w:trPr>
        <w:tc>
          <w:tcPr>
            <w:tcW w:w="2152"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Opis rešenja</w:t>
            </w:r>
            <w:r>
              <w:rPr>
                <w:rFonts w:eastAsia="Aptos" w:cs="Times New Roman"/>
                <w:b/>
                <w:bCs/>
                <w:kern w:val="2"/>
                <w:sz w:val="24"/>
                <w:szCs w:val="24"/>
                <w:lang w:val="en-US" w:eastAsia="en-US" w:bidi="ar-SA"/>
              </w:rPr>
              <w:t xml:space="preserve"> :</w:t>
            </w:r>
          </w:p>
        </w:tc>
        <w:tc>
          <w:tcPr>
            <w:tcW w:w="8303" w:type="dxa"/>
            <w:tcBorders/>
          </w:tcPr>
          <w:p>
            <w:pPr>
              <w:pStyle w:val="Normal"/>
              <w:widowControl/>
              <w:suppressAutoHyphens w:val="true"/>
              <w:spacing w:before="0" w:after="0"/>
              <w:jc w:val="left"/>
              <w:rPr>
                <w:rFonts w:cs="Times New Roman"/>
                <w:lang w:val="sr-Latn-RS"/>
              </w:rPr>
            </w:pPr>
            <w:r>
              <w:rPr>
                <w:rFonts w:eastAsia="Aptos" w:cs="Times New Roman"/>
                <w:kern w:val="2"/>
                <w:sz w:val="24"/>
                <w:szCs w:val="24"/>
                <w:lang w:val="sr-Latn-RS" w:eastAsia="en-US" w:bidi="ar-SA"/>
              </w:rPr>
              <w:t xml:space="preserve">Predloženo rešenje je razvoj nezavisnog podsistema koji očitava temperaturu preko Zener senzora, obrađuje signal i omogućava njegovo povezivanje sa </w:t>
            </w:r>
            <w:r>
              <w:rPr>
                <w:rFonts w:eastAsia="Aptos" w:cs="Times New Roman"/>
                <w:i/>
                <w:iCs/>
                <w:kern w:val="2"/>
                <w:sz w:val="24"/>
                <w:szCs w:val="24"/>
                <w:lang w:val="sr-Latn-RS" w:eastAsia="en-US" w:bidi="ar-SA"/>
              </w:rPr>
              <w:t>Orion 2 BMS-om</w:t>
            </w:r>
            <w:r>
              <w:rPr>
                <w:rFonts w:eastAsia="Aptos" w:cs="Times New Roman"/>
                <w:kern w:val="2"/>
                <w:sz w:val="24"/>
                <w:szCs w:val="24"/>
                <w:lang w:val="sr-Latn-RS" w:eastAsia="en-US" w:bidi="ar-SA"/>
              </w:rPr>
              <w:t xml:space="preserve"> putem CAN magistrale. Sistem vrši potrebnu konverziju i prilagođavanje signala tako da BMS može pouzdano primati podatke o temperaturi ćelija, čime se obezbeđuje bezbedan i efikasan rad baterijskog sistema.</w:t>
            </w:r>
          </w:p>
        </w:tc>
      </w:tr>
      <w:tr>
        <w:trPr>
          <w:trHeight w:val="350" w:hRule="atLeast"/>
        </w:trPr>
        <w:tc>
          <w:tcPr>
            <w:tcW w:w="2152"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Cilj izveštaja</w:t>
            </w:r>
            <w:r>
              <w:rPr>
                <w:rFonts w:eastAsia="Aptos" w:cs="Times New Roman"/>
                <w:b/>
                <w:bCs/>
                <w:kern w:val="2"/>
                <w:sz w:val="24"/>
                <w:szCs w:val="24"/>
                <w:lang w:val="en-US" w:eastAsia="en-US" w:bidi="ar-SA"/>
              </w:rPr>
              <w:t xml:space="preserve"> :</w:t>
            </w:r>
          </w:p>
        </w:tc>
        <w:tc>
          <w:tcPr>
            <w:tcW w:w="8303" w:type="dxa"/>
            <w:tcBorders/>
          </w:tcPr>
          <w:p>
            <w:pPr>
              <w:pStyle w:val="Normal"/>
              <w:widowControl/>
              <w:suppressAutoHyphens w:val="true"/>
              <w:spacing w:before="0" w:after="0"/>
              <w:rPr>
                <w:rFonts w:cs="Times New Roman"/>
                <w:lang w:val="sr-Latn-RS"/>
              </w:rPr>
            </w:pPr>
            <w:r>
              <w:rPr>
                <w:rFonts w:eastAsia="Aptos" w:cs="Times New Roman"/>
                <w:kern w:val="2"/>
                <w:sz w:val="24"/>
                <w:szCs w:val="24"/>
                <w:lang w:val="sr-Latn-RS" w:eastAsia="en-US" w:bidi="ar-SA"/>
              </w:rPr>
              <w:t>Cilj izveštaja je da prikaže detaljnu implementaciju sistema za praćenje temperature baterijskih modula, uključujući opis elektronskih komponenti, strukturu podsistema, obradu signala i CAN komunikaciju, kao i verifikaciju funkcionalnosti sistema u okviru vozila. Izveštaj ima za cilj da dokumentuje rešenje i potvrdi da sistem pouzdano prenosi temperaturne podatke BMS-u.</w:t>
            </w:r>
          </w:p>
        </w:tc>
      </w:tr>
      <w:tr>
        <w:trPr>
          <w:trHeight w:val="350" w:hRule="atLeast"/>
        </w:trPr>
        <w:tc>
          <w:tcPr>
            <w:tcW w:w="2152"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Datum kreiranja</w:t>
            </w:r>
            <w:r>
              <w:rPr>
                <w:rFonts w:eastAsia="Aptos" w:cs="Times New Roman"/>
                <w:b/>
                <w:bCs/>
                <w:kern w:val="2"/>
                <w:sz w:val="24"/>
                <w:szCs w:val="24"/>
                <w:lang w:val="sr-RS" w:eastAsia="en-US" w:bidi="ar-SA"/>
              </w:rPr>
              <w:t xml:space="preserve"> :</w:t>
            </w:r>
          </w:p>
        </w:tc>
        <w:tc>
          <w:tcPr>
            <w:tcW w:w="8303"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4.6.2025.</w:t>
            </w:r>
          </w:p>
        </w:tc>
      </w:tr>
      <w:tr>
        <w:trPr>
          <w:trHeight w:val="350" w:hRule="atLeast"/>
        </w:trPr>
        <w:tc>
          <w:tcPr>
            <w:tcW w:w="2152"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Datum poslednje izmene</w:t>
            </w:r>
            <w:r>
              <w:rPr>
                <w:rFonts w:eastAsia="Aptos" w:cs="Times New Roman"/>
                <w:b/>
                <w:bCs/>
                <w:kern w:val="2"/>
                <w:sz w:val="24"/>
                <w:szCs w:val="24"/>
                <w:lang w:val="sr-RS" w:eastAsia="en-US" w:bidi="ar-SA"/>
              </w:rPr>
              <w:t xml:space="preserve"> :</w:t>
            </w:r>
          </w:p>
        </w:tc>
        <w:tc>
          <w:tcPr>
            <w:tcW w:w="8303"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15.6.2025.</w:t>
            </w:r>
          </w:p>
        </w:tc>
      </w:tr>
      <w:tr>
        <w:trPr>
          <w:trHeight w:val="350" w:hRule="atLeast"/>
        </w:trPr>
        <w:tc>
          <w:tcPr>
            <w:tcW w:w="2152"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Sezona</w:t>
            </w:r>
            <w:r>
              <w:rPr>
                <w:rFonts w:eastAsia="Aptos" w:cs="Times New Roman"/>
                <w:b/>
                <w:bCs/>
                <w:kern w:val="2"/>
                <w:sz w:val="24"/>
                <w:szCs w:val="24"/>
                <w:lang w:val="sr-RS" w:eastAsia="en-US" w:bidi="ar-SA"/>
              </w:rPr>
              <w:t>:</w:t>
            </w:r>
          </w:p>
        </w:tc>
        <w:tc>
          <w:tcPr>
            <w:tcW w:w="8303" w:type="dxa"/>
            <w:tcBorders/>
          </w:tcPr>
          <w:p>
            <w:pPr>
              <w:pStyle w:val="Normal"/>
              <w:widowControl/>
              <w:suppressAutoHyphens w:val="true"/>
              <w:spacing w:before="0" w:after="0"/>
              <w:jc w:val="right"/>
              <w:rPr>
                <w:rFonts w:cs="Times New Roman"/>
                <w:lang w:val="sr-RS"/>
              </w:rPr>
            </w:pPr>
            <w:r>
              <w:rPr>
                <w:rFonts w:eastAsia="Aptos" w:cs="Times New Roman"/>
                <w:kern w:val="2"/>
                <w:sz w:val="24"/>
                <w:szCs w:val="24"/>
                <w:lang w:val="sr-RS" w:eastAsia="en-US" w:bidi="ar-SA"/>
              </w:rPr>
              <w:t>2025/2026</w:t>
            </w:r>
          </w:p>
        </w:tc>
      </w:tr>
    </w:tbl>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Style6"/>
        <w:numPr>
          <w:ilvl w:val="0"/>
          <w:numId w:val="0"/>
        </w:numPr>
        <w:ind w:hanging="0" w:left="0"/>
        <w:rPr>
          <w:b/>
          <w:bCs/>
          <w:sz w:val="22"/>
          <w:szCs w:val="22"/>
          <w:lang w:val="en-US"/>
        </w:rPr>
      </w:pPr>
      <w:r>
        <w:rPr>
          <w:b/>
          <w:bCs/>
          <w:sz w:val="22"/>
          <w:szCs w:val="22"/>
          <w:lang w:val="en-US"/>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0" w:top="720" w:footer="720" w:bottom="777"/>
          <w:pgNumType w:fmt="decimal"/>
          <w:formProt w:val="false"/>
          <w:titlePg/>
          <w:textDirection w:val="lrTb"/>
          <w:docGrid w:type="default" w:linePitch="360" w:charSpace="0"/>
        </w:sectPr>
      </w:pPr>
    </w:p>
    <w:p>
      <w:pPr>
        <w:pStyle w:val="Style6"/>
        <w:numPr>
          <w:ilvl w:val="0"/>
          <w:numId w:val="1"/>
        </w:numPr>
        <w:rPr/>
      </w:pPr>
      <w:r>
        <w:rPr>
          <w:lang w:val="sr-Latn-RS"/>
        </w:rPr>
        <w:t>Uvod</w:t>
      </w:r>
    </w:p>
    <w:p>
      <w:pPr>
        <w:pStyle w:val="Normal"/>
        <w:rPr>
          <w:lang w:val="sr-Latn-RS"/>
        </w:rPr>
      </w:pPr>
      <w:bookmarkStart w:id="0" w:name="_Hlk215139235"/>
      <w:bookmarkEnd w:id="0"/>
      <w:r>
        <w:rPr>
          <w:lang w:val="sr-Latn-RS"/>
        </w:rPr>
        <w:t xml:space="preserve">U okviru </w:t>
      </w:r>
      <w:r>
        <w:rPr>
          <w:i/>
          <w:iCs/>
          <w:lang w:val="sr-Latn-RS"/>
        </w:rPr>
        <w:t>Formula Student</w:t>
      </w:r>
      <w:r>
        <w:rPr>
          <w:lang w:val="sr-Latn-RS"/>
        </w:rPr>
        <w:t xml:space="preserve"> projekta, baterijski paket mora pratiti temperaturu najmanje 30 % ukupnog broja ćelija, u skladu sa pravilnikom (EV 5.8.3) [1]. Paket se sastoji od sedam segmenata, pri čemu svaki segment sadrži 12 serijski povezanih 1s8p </w:t>
      </w:r>
      <w:hyperlink r:id="rId8">
        <w:r>
          <w:rPr>
            <w:rStyle w:val="Hyperlink"/>
            <w:i/>
            <w:iCs/>
            <w:lang w:val="sr-Latn-RS"/>
          </w:rPr>
          <w:t>Enepaq</w:t>
        </w:r>
      </w:hyperlink>
      <w:r>
        <w:rPr>
          <w:i/>
          <w:iCs/>
          <w:lang w:val="sr-Latn-RS"/>
        </w:rPr>
        <w:t xml:space="preserve"> </w:t>
      </w:r>
      <w:r>
        <w:rPr>
          <w:lang w:val="sr-Latn-RS"/>
        </w:rPr>
        <w:t>baterijskih modula.</w:t>
      </w:r>
    </w:p>
    <w:p>
      <w:pPr>
        <w:pStyle w:val="Normal"/>
        <w:rPr>
          <w:rFonts w:cs="Times New Roman"/>
          <w:lang w:val="sr-Latn-RS"/>
        </w:rPr>
      </w:pPr>
      <w:r>
        <w:rPr>
          <w:rFonts w:cs="Times New Roman"/>
          <w:lang w:val="sr-Latn-RS"/>
        </w:rPr>
        <w:t xml:space="preserve">Svaki modul opremljen je specijalnim temperaturnim senzorom koji funkcioniše slično Zener diodi </w:t>
      </w:r>
      <w:r>
        <w:rPr>
          <w:rFonts w:cs="Times New Roman"/>
          <w:lang w:val="en-GB"/>
        </w:rPr>
        <w:t>[2]</w:t>
      </w:r>
      <w:r>
        <w:rPr>
          <w:rFonts w:cs="Times New Roman"/>
          <w:lang w:val="sr-Latn-RS"/>
        </w:rPr>
        <w:t xml:space="preserve">, pri čemu napon senzora zavisi od temperature ćelije. Budući da </w:t>
      </w:r>
      <w:hyperlink r:id="rId9">
        <w:r>
          <w:rPr>
            <w:rStyle w:val="Hyperlink"/>
            <w:rFonts w:cs="Times New Roman"/>
            <w:i/>
            <w:iCs/>
            <w:lang w:val="sr-Latn-RS"/>
          </w:rPr>
          <w:t>Orion 2 BMS</w:t>
        </w:r>
      </w:hyperlink>
      <w:r>
        <w:rPr>
          <w:rFonts w:cs="Times New Roman"/>
          <w:lang w:val="sr-Latn-RS"/>
        </w:rPr>
        <w:t xml:space="preserve"> podržava samo NTC ulaze </w:t>
      </w:r>
      <w:r>
        <w:rPr>
          <w:rFonts w:eastAsia="Times New Roman" w:cs="Times New Roman"/>
          <w:kern w:val="0"/>
          <w:lang w:val="sr-Latn-RS" w:eastAsia="sr-Latn-RS"/>
          <w14:ligatures w14:val="none"/>
        </w:rPr>
        <w:t>[3]</w:t>
      </w:r>
      <w:r>
        <w:rPr>
          <w:rFonts w:cs="Times New Roman"/>
          <w:lang w:val="sr-Latn-RS"/>
        </w:rPr>
        <w:t>, nije moguće direktno očitavati temperaturu ovih senzora.</w:t>
      </w:r>
    </w:p>
    <w:p>
      <w:pPr>
        <w:pStyle w:val="Normal"/>
        <w:rPr>
          <w:rFonts w:cs="Times New Roman"/>
          <w:lang w:val="sr-Latn-RS"/>
        </w:rPr>
      </w:pPr>
      <w:r>
        <w:rPr>
          <w:rFonts w:cs="Times New Roman"/>
          <w:lang w:val="sr-Latn-RS"/>
        </w:rPr>
        <w:t>Zbog toga je neophodno razviti nezavisan sistem koji će precizno meriti temperaturu ćelija i pouzdano slati podatke BMS-u, omogućavajući pravovremenu reakciju u slučaju pregrevanja i optimizaciju rada baterijskog sistema.</w:t>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bookmarkStart w:id="1" w:name="_Hlk215139235_Copy_1"/>
      <w:bookmarkStart w:id="2" w:name="_Hlk215139235_Copy_1"/>
      <w:bookmarkEnd w:id="2"/>
    </w:p>
    <w:p>
      <w:pPr>
        <w:pStyle w:val="Style6"/>
        <w:numPr>
          <w:ilvl w:val="0"/>
          <w:numId w:val="1"/>
        </w:numPr>
        <w:rPr>
          <w:lang w:val="en-GB"/>
        </w:rPr>
      </w:pPr>
      <w:r>
        <w:rPr>
          <w:lang w:val="sr-Latn-RS"/>
        </w:rPr>
        <w:t>Razrada opcija</w:t>
      </w:r>
      <w:r>
        <w:rPr/>
        <w:t xml:space="preserve"> </w:t>
      </w:r>
    </w:p>
    <w:p>
      <w:pPr>
        <w:pStyle w:val="Normal"/>
        <w:rPr>
          <w:lang w:val="sr-Latn-RS"/>
        </w:rPr>
      </w:pPr>
      <w:r>
        <w:rPr>
          <w:b/>
          <w:bCs/>
          <w:lang w:val="en-GB"/>
        </w:rPr>
        <w:t xml:space="preserve">Pravila </w:t>
      </w:r>
      <w:r>
        <w:rPr/>
        <w:t xml:space="preserve">[1] </w:t>
      </w:r>
      <w:r>
        <w:rPr>
          <w:b/>
          <w:bCs/>
          <w:lang w:val="en-GB"/>
        </w:rPr>
        <w:t>koja se ti</w:t>
      </w:r>
      <w:r>
        <w:rPr>
          <w:b/>
          <w:bCs/>
          <w:lang w:val="sr-Latn-RS"/>
        </w:rPr>
        <w:t>ču problema</w:t>
      </w:r>
      <w:r>
        <w:rPr>
          <w:lang w:val="sr-Latn-RS"/>
        </w:rPr>
        <w:t>:</w:t>
      </w:r>
    </w:p>
    <w:tbl>
      <w:tblPr>
        <w:tblStyle w:val="Koordinatnamreatabele"/>
        <w:tblW w:w="104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9"/>
        <w:gridCol w:w="9315"/>
      </w:tblGrid>
      <w:tr>
        <w:trPr/>
        <w:tc>
          <w:tcPr>
            <w:tcW w:w="1129" w:type="dxa"/>
            <w:tcBorders/>
          </w:tcPr>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b/>
                <w:bCs/>
                <w:lang w:val="sr-Latn-RS"/>
              </w:rPr>
            </w:pPr>
            <w:r>
              <w:rPr>
                <w:b/>
                <w:bCs/>
                <w:lang w:val="sr-Latn-RS"/>
              </w:rPr>
              <w:t>EV 4.3.6</w:t>
            </w:r>
          </w:p>
        </w:tc>
        <w:tc>
          <w:tcPr>
            <w:tcW w:w="9315" w:type="dxa"/>
            <w:tcBorders/>
          </w:tcPr>
          <w:p>
            <w:pPr>
              <w:pStyle w:val="BodyText"/>
              <w:widowControl/>
              <w:suppressAutoHyphens w:val="true"/>
              <w:spacing w:before="0" w:after="0"/>
              <w:rPr>
                <w:b/>
                <w:bCs/>
                <w:lang w:val="sr-Latn-RS"/>
              </w:rPr>
            </w:pPr>
            <w:r>
              <w:rPr>
                <w:b w:val="false"/>
                <w:bCs w:val="false"/>
                <w:lang w:val="sr-Latn-RS"/>
              </w:rPr>
              <w:t xml:space="preserve">Ako se </w:t>
            </w:r>
            <w:r>
              <w:rPr>
                <w:rStyle w:val="Strong"/>
                <w:b w:val="false"/>
                <w:bCs w:val="false"/>
                <w:lang w:val="sr-Latn-RS"/>
              </w:rPr>
              <w:t xml:space="preserve">TS </w:t>
            </w:r>
            <w:r>
              <w:rPr>
                <w:b w:val="false"/>
                <w:bCs w:val="false"/>
                <w:lang w:val="sr-Latn-RS"/>
              </w:rPr>
              <w:t xml:space="preserve"> i </w:t>
            </w:r>
            <w:r>
              <w:rPr>
                <w:rStyle w:val="Strong"/>
                <w:b w:val="false"/>
                <w:bCs w:val="false"/>
                <w:lang w:val="sr-Latn-RS"/>
              </w:rPr>
              <w:t>LVS</w:t>
            </w:r>
            <w:r>
              <w:rPr>
                <w:b w:val="false"/>
                <w:bCs w:val="false"/>
                <w:lang w:val="sr-Latn-RS"/>
              </w:rPr>
              <w:t xml:space="preserve"> nalaze na isto</w:t>
            </w:r>
            <w:r>
              <w:rPr>
                <w:b w:val="false"/>
                <w:bCs w:val="false"/>
                <w:lang w:val="sr-Latn-RS"/>
              </w:rPr>
              <w:t xml:space="preserve">m </w:t>
            </w:r>
            <w:r>
              <w:rPr>
                <w:b w:val="false"/>
                <w:bCs w:val="false"/>
                <w:lang w:val="sr-Latn-RS"/>
              </w:rPr>
              <w:t xml:space="preserve">PCB-u, moraju biti smešteni u </w:t>
            </w:r>
            <w:r>
              <w:rPr>
                <w:rStyle w:val="Strong"/>
                <w:b w:val="false"/>
                <w:bCs w:val="false"/>
                <w:lang w:val="sr-Latn-RS"/>
              </w:rPr>
              <w:t>odvojene i jasno definisane oblasti ploče</w:t>
            </w:r>
            <w:r>
              <w:rPr>
                <w:b w:val="false"/>
                <w:bCs w:val="false"/>
                <w:lang w:val="sr-Latn-RS"/>
              </w:rPr>
              <w:t xml:space="preserve">, pri čemu moraju biti ispunjeni zahtevi za rastojanja navedeni </w:t>
            </w:r>
            <w:r>
              <w:rPr>
                <w:b w:val="false"/>
                <w:bCs w:val="false"/>
                <w:lang w:val="sr-Latn-RS"/>
              </w:rPr>
              <w:t>u nastavku teksta ovog pravila</w:t>
            </w:r>
            <w:r>
              <w:rPr>
                <w:b w:val="false"/>
                <w:bCs w:val="false"/>
                <w:lang w:val="sr-Latn-RS"/>
              </w:rPr>
              <w:t>.</w:t>
            </w:r>
            <w:r>
              <w:rPr>
                <w:b/>
                <w:bCs/>
                <w:lang w:val="sr-Latn-RS"/>
              </w:rPr>
              <w:t xml:space="preserve"> </w:t>
            </w:r>
            <w:r>
              <w:rPr>
                <w:b w:val="false"/>
                <w:bCs w:val="false"/>
                <w:lang w:val="sr-Latn-RS"/>
              </w:rPr>
              <w:t xml:space="preserve">Svaka oblast mora biti jasno označena oznakom </w:t>
            </w:r>
            <w:r>
              <w:rPr>
                <w:rStyle w:val="Strong"/>
                <w:b w:val="false"/>
                <w:bCs w:val="false"/>
                <w:lang w:val="sr-Latn-RS"/>
              </w:rPr>
              <w:t>„TS“</w:t>
            </w:r>
            <w:r>
              <w:rPr>
                <w:b w:val="false"/>
                <w:bCs w:val="false"/>
                <w:lang w:val="sr-Latn-RS"/>
              </w:rPr>
              <w:t xml:space="preserve"> ili </w:t>
            </w:r>
            <w:r>
              <w:rPr>
                <w:rStyle w:val="Strong"/>
                <w:b w:val="false"/>
                <w:bCs w:val="false"/>
                <w:lang w:val="sr-Latn-RS"/>
              </w:rPr>
              <w:t>„LV“</w:t>
            </w:r>
            <w:r>
              <w:rPr>
                <w:b w:val="false"/>
                <w:bCs w:val="false"/>
                <w:lang w:val="sr-Latn-RS"/>
              </w:rPr>
              <w:t xml:space="preserve">, a granice oblasti koje su relevantne za propisana rastojanja moraju biti vidljivo obeležene. </w:t>
            </w:r>
            <w:r>
              <w:rPr>
                <w:b w:val="false"/>
                <w:bCs w:val="false"/>
              </w:rPr>
              <w:t>Žlebovi (</w:t>
            </w:r>
            <w:r>
              <w:rPr>
                <w:rStyle w:val="Emphasis"/>
                <w:b w:val="false"/>
                <w:bCs w:val="false"/>
              </w:rPr>
              <w:t>grooves</w:t>
            </w:r>
            <w:r>
              <w:rPr>
                <w:b w:val="false"/>
                <w:bCs w:val="false"/>
              </w:rPr>
              <w:t>) i prorezi (</w:t>
            </w:r>
            <w:r>
              <w:rPr>
                <w:rStyle w:val="Emphasis"/>
                <w:b w:val="false"/>
                <w:bCs w:val="false"/>
              </w:rPr>
              <w:t>cut-outs</w:t>
            </w:r>
            <w:r>
              <w:rPr>
                <w:b w:val="false"/>
                <w:bCs w:val="false"/>
              </w:rPr>
              <w:t xml:space="preserve">) moraju imati minimalnu širinu od </w:t>
            </w:r>
            <w:r>
              <w:rPr>
                <w:rStyle w:val="Strong"/>
                <w:b w:val="false"/>
                <w:bCs w:val="false"/>
              </w:rPr>
              <w:t>1,5 mm</w:t>
            </w:r>
            <w:r>
              <w:rPr>
                <w:b w:val="false"/>
                <w:bCs w:val="false"/>
              </w:rPr>
              <w:t xml:space="preserve"> da bi uticali na </w:t>
            </w:r>
            <w:r>
              <w:rPr>
                <w:rStyle w:val="Strong"/>
                <w:b w:val="false"/>
                <w:bCs w:val="false"/>
              </w:rPr>
              <w:t>puznu stazu (creepage path)</w:t>
            </w:r>
            <w:r>
              <w:rPr>
                <w:b w:val="false"/>
                <w:bCs w:val="false"/>
              </w:rPr>
              <w:t xml:space="preserve">. Pojam </w:t>
            </w:r>
            <w:r>
              <w:rPr>
                <w:rStyle w:val="Strong"/>
                <w:b w:val="false"/>
                <w:bCs w:val="false"/>
              </w:rPr>
              <w:t>konformni premaz (conformal coating)</w:t>
            </w:r>
            <w:r>
              <w:rPr>
                <w:b w:val="false"/>
                <w:bCs w:val="false"/>
              </w:rPr>
              <w:t xml:space="preserve"> odnosi se na izolacioni zaštitni sloj nanet na PCB. </w:t>
            </w:r>
            <w:r>
              <w:rPr>
                <w:rStyle w:val="Strong"/>
                <w:b w:val="false"/>
                <w:bCs w:val="false"/>
              </w:rPr>
              <w:t>Lemna maska (solder resist)</w:t>
            </w:r>
            <w:r>
              <w:rPr>
                <w:b w:val="false"/>
                <w:bCs w:val="false"/>
              </w:rPr>
              <w:t xml:space="preserve"> se ne smatra</w:t>
            </w:r>
            <w:r>
              <w:rPr/>
              <w:t xml:space="preserve"> konformnim premazom.</w:t>
            </w:r>
          </w:p>
          <w:p>
            <w:pPr>
              <w:pStyle w:val="BodyText"/>
              <w:widowControl/>
              <w:suppressAutoHyphens w:val="true"/>
              <w:spacing w:before="0" w:after="0"/>
              <w:rPr>
                <w:b/>
                <w:bCs/>
                <w:lang w:val="sr-Latn-RS"/>
              </w:rPr>
            </w:pPr>
            <w:r>
              <w:rPr/>
            </w:r>
          </w:p>
          <w:tbl>
            <w:tblPr>
              <w:tblW w:w="9094" w:type="dxa"/>
              <w:jc w:val="left"/>
              <w:tblInd w:w="0" w:type="dxa"/>
              <w:tblLayout w:type="fixed"/>
              <w:tblCellMar>
                <w:top w:w="0" w:type="dxa"/>
                <w:left w:w="0" w:type="dxa"/>
                <w:bottom w:w="0" w:type="dxa"/>
                <w:right w:w="0" w:type="dxa"/>
              </w:tblCellMar>
            </w:tblPr>
            <w:tblGrid>
              <w:gridCol w:w="3033"/>
              <w:gridCol w:w="3033"/>
              <w:gridCol w:w="3028"/>
            </w:tblGrid>
            <w:tr>
              <w:trPr/>
              <w:tc>
                <w:tcPr>
                  <w:tcW w:w="3033" w:type="dxa"/>
                  <w:tcBorders/>
                </w:tcPr>
                <w:p>
                  <w:pPr>
                    <w:pStyle w:val="TableContents"/>
                    <w:spacing w:before="0" w:after="160"/>
                    <w:jc w:val="center"/>
                    <w:rPr/>
                  </w:pPr>
                  <w:r>
                    <w:rPr/>
                    <w:t>Napon TS sistema</w:t>
                  </w:r>
                </w:p>
              </w:tc>
              <w:tc>
                <w:tcPr>
                  <w:tcW w:w="3033" w:type="dxa"/>
                  <w:tcBorders/>
                </w:tcPr>
                <w:p>
                  <w:pPr>
                    <w:pStyle w:val="TableContents"/>
                    <w:spacing w:before="0" w:after="160"/>
                    <w:jc w:val="center"/>
                    <w:rPr/>
                  </w:pPr>
                  <w:r>
                    <w:rPr/>
                    <w:t>Clearance distance</w:t>
                  </w:r>
                </w:p>
              </w:tc>
              <w:tc>
                <w:tcPr>
                  <w:tcW w:w="3028" w:type="dxa"/>
                  <w:tcBorders/>
                </w:tcPr>
                <w:p>
                  <w:pPr>
                    <w:pStyle w:val="TableContents"/>
                    <w:spacing w:before="0" w:after="160"/>
                    <w:jc w:val="center"/>
                    <w:rPr/>
                  </w:pPr>
                  <w:r>
                    <w:rPr/>
                    <w:t>Crepepage distance</w:t>
                  </w:r>
                </w:p>
              </w:tc>
            </w:tr>
            <w:tr>
              <w:trPr/>
              <w:tc>
                <w:tcPr>
                  <w:tcW w:w="3033" w:type="dxa"/>
                  <w:tcBorders/>
                </w:tcPr>
                <w:p>
                  <w:pPr>
                    <w:pStyle w:val="TableContents"/>
                    <w:spacing w:before="0" w:after="160"/>
                    <w:jc w:val="center"/>
                    <w:rPr/>
                  </w:pPr>
                  <w:r>
                    <w:rPr/>
                    <w:t>0-50 VDC</w:t>
                  </w:r>
                </w:p>
              </w:tc>
              <w:tc>
                <w:tcPr>
                  <w:tcW w:w="3033" w:type="dxa"/>
                  <w:tcBorders/>
                </w:tcPr>
                <w:p>
                  <w:pPr>
                    <w:pStyle w:val="TableContents"/>
                    <w:spacing w:before="0" w:after="160"/>
                    <w:jc w:val="center"/>
                    <w:rPr/>
                  </w:pPr>
                  <w:r>
                    <w:rPr/>
                    <w:t>1.0 mm</w:t>
                  </w:r>
                </w:p>
              </w:tc>
              <w:tc>
                <w:tcPr>
                  <w:tcW w:w="3028" w:type="dxa"/>
                  <w:tcBorders/>
                </w:tcPr>
                <w:p>
                  <w:pPr>
                    <w:pStyle w:val="TableContents"/>
                    <w:spacing w:before="0" w:after="160"/>
                    <w:jc w:val="center"/>
                    <w:rPr/>
                  </w:pPr>
                  <w:r>
                    <w:rPr/>
                    <w:t>1.0 mm</w:t>
                  </w:r>
                </w:p>
              </w:tc>
            </w:tr>
            <w:tr>
              <w:trPr/>
              <w:tc>
                <w:tcPr>
                  <w:tcW w:w="3033" w:type="dxa"/>
                  <w:tcBorders/>
                </w:tcPr>
                <w:p>
                  <w:pPr>
                    <w:pStyle w:val="TableContents"/>
                    <w:spacing w:before="0" w:after="160"/>
                    <w:jc w:val="center"/>
                    <w:rPr/>
                  </w:pPr>
                  <w:r>
                    <w:rPr/>
                    <w:t>50-150 VDC</w:t>
                  </w:r>
                </w:p>
              </w:tc>
              <w:tc>
                <w:tcPr>
                  <w:tcW w:w="3033" w:type="dxa"/>
                  <w:tcBorders/>
                </w:tcPr>
                <w:p>
                  <w:pPr>
                    <w:pStyle w:val="TableContents"/>
                    <w:spacing w:before="0" w:after="160"/>
                    <w:jc w:val="center"/>
                    <w:rPr/>
                  </w:pPr>
                  <w:r>
                    <w:rPr/>
                    <w:t>1.0 mm</w:t>
                  </w:r>
                </w:p>
              </w:tc>
              <w:tc>
                <w:tcPr>
                  <w:tcW w:w="3028" w:type="dxa"/>
                  <w:tcBorders/>
                </w:tcPr>
                <w:p>
                  <w:pPr>
                    <w:pStyle w:val="TableContents"/>
                    <w:spacing w:before="0" w:after="160"/>
                    <w:jc w:val="center"/>
                    <w:rPr/>
                  </w:pPr>
                  <w:r>
                    <w:rPr/>
                    <w:t>4.0 mm</w:t>
                  </w:r>
                </w:p>
              </w:tc>
            </w:tr>
            <w:tr>
              <w:trPr/>
              <w:tc>
                <w:tcPr>
                  <w:tcW w:w="3033" w:type="dxa"/>
                  <w:tcBorders/>
                </w:tcPr>
                <w:p>
                  <w:pPr>
                    <w:pStyle w:val="TableContents"/>
                    <w:spacing w:before="0" w:after="160"/>
                    <w:jc w:val="center"/>
                    <w:rPr/>
                  </w:pPr>
                  <w:r>
                    <w:rPr/>
                    <w:t>150-300 VDC</w:t>
                  </w:r>
                </w:p>
              </w:tc>
              <w:tc>
                <w:tcPr>
                  <w:tcW w:w="3033" w:type="dxa"/>
                  <w:tcBorders/>
                </w:tcPr>
                <w:p>
                  <w:pPr>
                    <w:pStyle w:val="TableContents"/>
                    <w:spacing w:before="0" w:after="160"/>
                    <w:jc w:val="center"/>
                    <w:rPr/>
                  </w:pPr>
                  <w:r>
                    <w:rPr/>
                    <w:t>1.5 mm</w:t>
                  </w:r>
                </w:p>
              </w:tc>
              <w:tc>
                <w:tcPr>
                  <w:tcW w:w="3028" w:type="dxa"/>
                  <w:tcBorders/>
                </w:tcPr>
                <w:p>
                  <w:pPr>
                    <w:pStyle w:val="TableContents"/>
                    <w:spacing w:before="0" w:after="160"/>
                    <w:jc w:val="center"/>
                    <w:rPr/>
                  </w:pPr>
                  <w:r>
                    <w:rPr/>
                    <w:t>10.0 mm</w:t>
                  </w:r>
                </w:p>
              </w:tc>
            </w:tr>
            <w:tr>
              <w:trPr/>
              <w:tc>
                <w:tcPr>
                  <w:tcW w:w="3033" w:type="dxa"/>
                  <w:tcBorders/>
                </w:tcPr>
                <w:p>
                  <w:pPr>
                    <w:pStyle w:val="TableContents"/>
                    <w:spacing w:before="0" w:after="160"/>
                    <w:jc w:val="center"/>
                    <w:rPr/>
                  </w:pPr>
                  <w:r>
                    <w:rPr/>
                    <w:t>300-600VDC</w:t>
                  </w:r>
                </w:p>
              </w:tc>
              <w:tc>
                <w:tcPr>
                  <w:tcW w:w="3033" w:type="dxa"/>
                  <w:tcBorders/>
                </w:tcPr>
                <w:p>
                  <w:pPr>
                    <w:pStyle w:val="TableContents"/>
                    <w:spacing w:before="0" w:after="160"/>
                    <w:jc w:val="center"/>
                    <w:rPr/>
                  </w:pPr>
                  <w:r>
                    <w:rPr/>
                    <w:t>3.0 mm</w:t>
                  </w:r>
                </w:p>
              </w:tc>
              <w:tc>
                <w:tcPr>
                  <w:tcW w:w="3028" w:type="dxa"/>
                  <w:tcBorders/>
                </w:tcPr>
                <w:p>
                  <w:pPr>
                    <w:pStyle w:val="TableContents"/>
                    <w:spacing w:before="0" w:after="160"/>
                    <w:jc w:val="center"/>
                    <w:rPr/>
                  </w:pPr>
                  <w:r>
                    <w:rPr/>
                    <w:t>20.0 mm</w:t>
                  </w:r>
                </w:p>
              </w:tc>
            </w:tr>
          </w:tbl>
          <w:p>
            <w:pPr>
              <w:pStyle w:val="Normal"/>
              <w:widowControl/>
              <w:suppressAutoHyphens w:val="true"/>
              <w:spacing w:before="0" w:after="0"/>
              <w:rPr>
                <w:b/>
                <w:bCs/>
                <w:lang w:val="sr-Latn-RS"/>
              </w:rPr>
            </w:pPr>
            <w:r>
              <w:rPr/>
              <w:br/>
            </w:r>
          </w:p>
        </w:tc>
      </w:tr>
      <w:tr>
        <w:trPr/>
        <w:tc>
          <w:tcPr>
            <w:tcW w:w="1129" w:type="dxa"/>
            <w:tcBorders>
              <w:top w:val="nil"/>
            </w:tcBorders>
          </w:tcPr>
          <w:p>
            <w:pPr>
              <w:pStyle w:val="Normal"/>
              <w:widowControl/>
              <w:suppressAutoHyphens w:val="true"/>
              <w:spacing w:before="0" w:after="0"/>
              <w:rPr>
                <w:b/>
                <w:bCs/>
                <w:lang w:val="sr-Latn-RS"/>
              </w:rPr>
            </w:pPr>
            <w:r>
              <w:rPr>
                <w:b/>
                <w:bCs/>
                <w:lang w:val="sr-Latn-RS"/>
              </w:rPr>
            </w:r>
          </w:p>
          <w:p>
            <w:pPr>
              <w:pStyle w:val="Normal"/>
              <w:widowControl/>
              <w:suppressAutoHyphens w:val="true"/>
              <w:spacing w:before="0" w:after="0"/>
              <w:rPr>
                <w:lang w:val="sr-Latn-RS"/>
              </w:rPr>
            </w:pPr>
            <w:r>
              <w:rPr>
                <w:rFonts w:eastAsia="Aptos" w:cs="Arial"/>
                <w:b/>
                <w:bCs/>
                <w:kern w:val="2"/>
                <w:sz w:val="24"/>
                <w:szCs w:val="24"/>
                <w:lang w:val="sr-Latn-RS" w:eastAsia="en-US" w:bidi="ar-SA"/>
              </w:rPr>
              <w:t>EV5.8.3</w:t>
            </w:r>
          </w:p>
        </w:tc>
        <w:tc>
          <w:tcPr>
            <w:tcW w:w="9315" w:type="dxa"/>
            <w:tcBorders>
              <w:top w:val="nil"/>
            </w:tcBorders>
          </w:tcPr>
          <w:p>
            <w:pPr>
              <w:pStyle w:val="Normal"/>
              <w:widowControl/>
              <w:suppressAutoHyphens w:val="true"/>
              <w:spacing w:before="0" w:after="0"/>
              <w:rPr>
                <w:b/>
                <w:bCs/>
                <w:lang w:val="sr-Latn-RS"/>
              </w:rPr>
            </w:pPr>
            <w:r>
              <w:rPr>
                <w:rFonts w:eastAsia="Aptos" w:cs="Arial"/>
                <w:kern w:val="2"/>
                <w:sz w:val="24"/>
                <w:szCs w:val="24"/>
                <w:lang w:val="sr-Latn-RS" w:eastAsia="en-US" w:bidi="ar-SA"/>
              </w:rPr>
              <w:t>AMS mora kontinuirano meriti sve napone ćelija, TS struju i temperaturu termički kritičnih ćelija. Za litijumske ćelije mora pratiti temperaturu najmanje 30 % ćelija, ravnomerno raspoređenih u TSAC-u.</w:t>
            </w:r>
          </w:p>
        </w:tc>
      </w:tr>
      <w:tr>
        <w:trPr/>
        <w:tc>
          <w:tcPr>
            <w:tcW w:w="1129" w:type="dxa"/>
            <w:tcBorders/>
          </w:tcPr>
          <w:p>
            <w:pPr>
              <w:pStyle w:val="Normal"/>
              <w:widowControl/>
              <w:suppressAutoHyphens w:val="true"/>
              <w:spacing w:before="0" w:after="0"/>
              <w:rPr>
                <w:b/>
                <w:bCs/>
              </w:rPr>
            </w:pPr>
            <w:r>
              <w:rPr>
                <w:b/>
                <w:bCs/>
              </w:rPr>
            </w:r>
          </w:p>
          <w:p>
            <w:pPr>
              <w:pStyle w:val="Normal"/>
              <w:widowControl/>
              <w:suppressAutoHyphens w:val="true"/>
              <w:spacing w:before="0" w:after="0"/>
              <w:rPr>
                <w:lang w:val="sr-Latn-RS"/>
              </w:rPr>
            </w:pPr>
            <w:r>
              <w:rPr>
                <w:rFonts w:eastAsia="Aptos" w:cs="Arial"/>
                <w:b/>
                <w:bCs/>
                <w:kern w:val="2"/>
                <w:sz w:val="24"/>
                <w:szCs w:val="24"/>
                <w:lang w:val="en-US" w:eastAsia="en-US" w:bidi="ar-SA"/>
              </w:rPr>
              <w:t>EV5.8.4</w:t>
            </w:r>
          </w:p>
        </w:tc>
        <w:tc>
          <w:tcPr>
            <w:tcW w:w="9315" w:type="dxa"/>
            <w:tcBorders/>
          </w:tcPr>
          <w:p>
            <w:pPr>
              <w:pStyle w:val="Normal"/>
              <w:widowControl/>
              <w:suppressAutoHyphens w:val="true"/>
              <w:spacing w:before="0" w:after="0"/>
              <w:rPr>
                <w:lang w:val="sr-Latn-RS"/>
              </w:rPr>
            </w:pPr>
            <w:r>
              <w:rPr>
                <w:rFonts w:eastAsia="Aptos" w:cs="Arial"/>
                <w:kern w:val="2"/>
                <w:sz w:val="24"/>
                <w:szCs w:val="24"/>
                <w:lang w:val="en-US" w:eastAsia="en-US" w:bidi="ar-SA"/>
              </w:rPr>
              <w:t>Temperatura ćelije mora biti merenа na mestu koje reprezentuje maksimalnu temperaturu ćelije. Korišćeni senzor mora biti u direktnom kontaktu sa električno izloženim delom ćelije ili na udaljenosti manjoj od 10 mm duž puta visokog strujnog toka, udaljen od terminala koji je u direktnom kontaktu sa odgovarajućom sabirnicom.</w:t>
            </w:r>
          </w:p>
        </w:tc>
      </w:tr>
      <w:tr>
        <w:trPr/>
        <w:tc>
          <w:tcPr>
            <w:tcW w:w="1129" w:type="dxa"/>
            <w:tcBorders/>
          </w:tcPr>
          <w:p>
            <w:pPr>
              <w:pStyle w:val="Normal"/>
              <w:widowControl/>
              <w:suppressAutoHyphens w:val="true"/>
              <w:spacing w:before="0" w:after="0"/>
              <w:rPr>
                <w:lang w:val="sr-Latn-RS"/>
              </w:rPr>
            </w:pPr>
            <w:r>
              <w:rPr>
                <w:rFonts w:eastAsia="Aptos" w:cs="Times New Roman"/>
                <w:b/>
                <w:bCs/>
                <w:kern w:val="2"/>
                <w:sz w:val="24"/>
                <w:szCs w:val="24"/>
                <w:lang w:val="sr-Latn-RS" w:eastAsia="en-US" w:bidi="ar-SA"/>
              </w:rPr>
              <w:t>EV5.8.5</w:t>
            </w:r>
          </w:p>
        </w:tc>
        <w:tc>
          <w:tcPr>
            <w:tcW w:w="9315" w:type="dxa"/>
            <w:tcBorders/>
          </w:tcPr>
          <w:p>
            <w:pPr>
              <w:pStyle w:val="Normal"/>
              <w:widowControl/>
              <w:suppressAutoHyphens w:val="true"/>
              <w:spacing w:before="0" w:after="0"/>
              <w:rPr>
                <w:lang w:val="sr-Latn-RS"/>
              </w:rPr>
            </w:pPr>
            <w:r>
              <w:rPr>
                <w:rFonts w:eastAsia="Aptos" w:cs="Times New Roman"/>
                <w:kern w:val="2"/>
                <w:sz w:val="24"/>
                <w:szCs w:val="24"/>
                <w:lang w:val="sr-Latn-RS" w:eastAsia="en-US" w:bidi="ar-SA"/>
              </w:rPr>
              <w:t>Maksimalna temperatura ćelije je 60 °C ili vrednost iz datasheet-a ćelije, koja god je niža.</w:t>
            </w:r>
          </w:p>
        </w:tc>
      </w:tr>
      <w:tr>
        <w:trPr/>
        <w:tc>
          <w:tcPr>
            <w:tcW w:w="1129" w:type="dxa"/>
            <w:tcBorders/>
          </w:tcPr>
          <w:p>
            <w:pPr>
              <w:pStyle w:val="Normal"/>
              <w:widowControl/>
              <w:suppressAutoHyphens w:val="true"/>
              <w:spacing w:before="0" w:after="0"/>
              <w:rPr>
                <w:lang w:val="sr-Latn-RS"/>
              </w:rPr>
            </w:pPr>
            <w:r>
              <w:rPr>
                <w:rFonts w:eastAsia="Times New Roman" w:cs="Times New Roman"/>
                <w:b/>
                <w:bCs/>
                <w:kern w:val="0"/>
                <w:sz w:val="24"/>
                <w:szCs w:val="24"/>
                <w:lang w:val="sr-Latn-RS" w:eastAsia="sr-Latn-RS" w:bidi="ar-SA"/>
                <w14:ligatures w14:val="none"/>
              </w:rPr>
              <w:t>EV5.8.7</w:t>
            </w:r>
          </w:p>
        </w:tc>
        <w:tc>
          <w:tcPr>
            <w:tcW w:w="9315" w:type="dxa"/>
            <w:tcBorders/>
          </w:tcPr>
          <w:p>
            <w:pPr>
              <w:pStyle w:val="Normal"/>
              <w:widowControl/>
              <w:suppressAutoHyphens w:val="true"/>
              <w:spacing w:before="0" w:after="0"/>
              <w:rPr>
                <w:lang w:val="sr-Latn-RS"/>
              </w:rPr>
            </w:pPr>
            <w:r>
              <w:rPr>
                <w:rFonts w:eastAsia="Times New Roman" w:cs="Times New Roman"/>
                <w:kern w:val="0"/>
                <w:sz w:val="24"/>
                <w:szCs w:val="24"/>
                <w:lang w:val="sr-Latn-RS" w:eastAsia="sr-Latn-RS" w:bidi="ar-SA"/>
                <w14:ligatures w14:val="none"/>
              </w:rPr>
              <w:t xml:space="preserve">BMS mora otvoriti SDC ukoliko kritična vrednost temperature, prema datasheet-u ćelije ili ovim pravilima, traje duže od 1 s za temperaturu Pri tome se mora uzeti u obzir tačnost, šum i brzina uzorkovanja merenja. </w:t>
            </w:r>
          </w:p>
        </w:tc>
      </w:tr>
    </w:tbl>
    <w:p>
      <w:pPr>
        <w:pStyle w:val="Normal"/>
        <w:spacing w:beforeAutospacing="1" w:afterAutospacing="1"/>
        <w:jc w:val="left"/>
        <w:rPr>
          <w:rFonts w:eastAsia="Times New Roman" w:cs="Times New Roman"/>
          <w:kern w:val="0"/>
          <w:lang w:eastAsia="sr-Latn-RS"/>
          <w14:ligatures w14:val="none"/>
        </w:rPr>
      </w:pPr>
      <w:r>
        <w:rPr>
          <w:rFonts w:eastAsia="Times New Roman" w:cs="Times New Roman"/>
          <w:kern w:val="0"/>
          <w:lang w:eastAsia="sr-Latn-RS"/>
          <w14:ligatures w14:val="none"/>
        </w:rPr>
        <w:t>Odlučeno je da svaki segment baterijskog paketa bude opremljen sopstvenim kontrolerom koji nezavisno meri temperaturu ćelija unutar segmenta, vrši digitalizaciju i formira CAN poruke.</w:t>
      </w:r>
    </w:p>
    <w:p>
      <w:pPr>
        <w:pStyle w:val="Normal"/>
        <w:spacing w:beforeAutospacing="1" w:afterAutospacing="1"/>
        <w:rPr>
          <w:rFonts w:eastAsia="Times New Roman" w:cs="Times New Roman"/>
          <w:kern w:val="0"/>
          <w:lang w:eastAsia="sr-Latn-RS"/>
          <w14:ligatures w14:val="none"/>
        </w:rPr>
      </w:pPr>
      <w:r>
        <w:rPr>
          <w:rFonts w:eastAsia="Times New Roman" w:cs="Times New Roman"/>
          <w:kern w:val="0"/>
          <w:lang w:val="sr-Latn-RS" w:eastAsia="sr-Latn-RS"/>
          <w14:ligatures w14:val="none"/>
        </w:rPr>
        <w:t xml:space="preserve">Svi segmentni kontroleri povezani su na zajedničku CAN magistralu preko koje šalju podatke na </w:t>
      </w:r>
      <w:r>
        <w:rPr>
          <w:rFonts w:eastAsia="Times New Roman" w:cs="Times New Roman"/>
          <w:i/>
          <w:iCs/>
          <w:kern w:val="0"/>
          <w:lang w:val="sr-Latn-RS" w:eastAsia="sr-Latn-RS"/>
          <w14:ligatures w14:val="none"/>
        </w:rPr>
        <w:t>Orion 2 BMS</w:t>
      </w:r>
      <w:r>
        <w:rPr>
          <w:rFonts w:eastAsia="Times New Roman" w:cs="Times New Roman"/>
          <w:kern w:val="0"/>
          <w:lang w:val="sr-Latn-RS" w:eastAsia="sr-Latn-RS"/>
          <w14:ligatures w14:val="none"/>
        </w:rPr>
        <w:t xml:space="preserve">, koristeći CAN 2 interfejs kojem je potrebno dodati terminacione otpornike [3]. </w:t>
      </w:r>
      <w:r>
        <w:rPr>
          <w:rFonts w:eastAsia="Times New Roman" w:cs="Times New Roman"/>
          <w:i/>
          <w:iCs/>
          <w:kern w:val="0"/>
          <w:lang w:val="sr-Latn-RS" w:eastAsia="sr-Latn-RS"/>
          <w14:ligatures w14:val="none"/>
        </w:rPr>
        <w:t>Orion 2 BMS</w:t>
      </w:r>
      <w:r>
        <w:rPr>
          <w:rFonts w:eastAsia="Times New Roman" w:cs="Times New Roman"/>
          <w:kern w:val="0"/>
          <w:lang w:val="sr-Latn-RS" w:eastAsia="sr-Latn-RS"/>
          <w14:ligatures w14:val="none"/>
        </w:rPr>
        <w:t xml:space="preserve"> sadrži i interfejs sa već ugrađenim terminacionim otpornicima, ali on se koristi za komunikaciju sa ECU. </w:t>
      </w:r>
    </w:p>
    <w:p>
      <w:pPr>
        <w:pStyle w:val="Normal"/>
        <w:spacing w:beforeAutospacing="1" w:afterAutospacing="1"/>
        <w:jc w:val="left"/>
        <w:rPr>
          <w:rFonts w:eastAsia="Times New Roman" w:cs="Times New Roman"/>
          <w:kern w:val="0"/>
          <w:lang w:val="sr-Latn-RS" w:eastAsia="sr-Latn-RS"/>
          <w14:ligatures w14:val="none"/>
        </w:rPr>
      </w:pPr>
      <w:r>
        <w:rPr>
          <w:rFonts w:eastAsia="Times New Roman" w:cs="Times New Roman"/>
          <w:b/>
          <w:bCs/>
          <w:kern w:val="0"/>
          <w:lang w:val="sr-Latn-RS" w:eastAsia="sr-Latn-RS"/>
          <w14:ligatures w14:val="none"/>
        </w:rPr>
        <w:t>Arhitektura sistema</w:t>
      </w:r>
    </w:p>
    <w:p>
      <w:pPr>
        <w:pStyle w:val="Normal"/>
        <w:spacing w:beforeAutospacing="1" w:afterAutospacing="1"/>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Sistem se sastoji od sedam identičnih podsistema, pri čemu svaki sadrži sledeće funkcionalne blokove:</w:t>
      </w:r>
    </w:p>
    <w:p>
      <w:pPr>
        <w:pStyle w:val="Normal"/>
        <w:numPr>
          <w:ilvl w:val="0"/>
          <w:numId w:val="14"/>
        </w:numPr>
        <w:spacing w:beforeAutospacing="1"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Senzor temperature (Zener dioda)</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RC niskopropusni filter</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Analogno-digitalni konverter (ADC)</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Digitalna izolacija (isoSPI) između ADC-a i MCU-a</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Mikrokontroler (MCU) sa integrisanim CAN kontrolerom</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CAN transiver za fizički sloj CAN magistrale</w:t>
      </w:r>
    </w:p>
    <w:p>
      <w:pPr>
        <w:pStyle w:val="Normal"/>
        <w:numPr>
          <w:ilvl w:val="0"/>
          <w:numId w:val="14"/>
        </w:numPr>
        <w:spacing w:before="0" w:afterAutospacing="1"/>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Napajanje i izolacija napajanja</w:t>
      </w:r>
    </w:p>
    <w:p>
      <w:pPr>
        <w:pStyle w:val="Normal"/>
        <w:spacing w:beforeAutospacing="1" w:afterAutospacing="1"/>
        <w:jc w:val="center"/>
        <w:rPr>
          <w:rFonts w:eastAsia="Times New Roman" w:cs="Times New Roman"/>
          <w:color w:val="EE0000"/>
          <w:kern w:val="0"/>
          <w:lang w:val="sr-Latn-RS" w:eastAsia="sr-Latn-RS"/>
          <w14:ligatures w14:val="none"/>
        </w:rPr>
      </w:pPr>
      <w:r>
        <w:rPr/>
        <w:drawing>
          <wp:inline distT="0" distB="0" distL="0" distR="0">
            <wp:extent cx="6576060" cy="2425065"/>
            <wp:effectExtent l="0" t="0" r="0" b="0"/>
            <wp:docPr id="6" name="Slik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ka 1" descr=""/>
                    <pic:cNvPicPr>
                      <a:picLocks noChangeAspect="1" noChangeArrowheads="1"/>
                    </pic:cNvPicPr>
                  </pic:nvPicPr>
                  <pic:blipFill>
                    <a:blip r:embed="rId10"/>
                    <a:stretch>
                      <a:fillRect/>
                    </a:stretch>
                  </pic:blipFill>
                  <pic:spPr bwMode="auto">
                    <a:xfrm>
                      <a:off x="0" y="0"/>
                      <a:ext cx="6576060" cy="2425065"/>
                    </a:xfrm>
                    <a:prstGeom prst="rect">
                      <a:avLst/>
                    </a:prstGeom>
                  </pic:spPr>
                </pic:pic>
              </a:graphicData>
            </a:graphic>
          </wp:inline>
        </w:drawing>
      </w:r>
      <w:r>
        <w:rPr>
          <w:rFonts w:eastAsia="Times New Roman" w:cs="Times New Roman"/>
          <w:color w:val="EE0000"/>
          <w:kern w:val="0"/>
          <w:lang w:val="sr-Latn-RS" w:eastAsia="sr-Latn-RS"/>
          <w14:ligatures w14:val="none"/>
        </w:rPr>
        <w:br/>
      </w:r>
      <w:r>
        <w:rPr>
          <w:rFonts w:eastAsia="Times New Roman" w:cs="Times New Roman"/>
          <w:color w:val="000000"/>
          <w:kern w:val="0"/>
          <w:lang w:val="sr-Latn-RS" w:eastAsia="sr-Latn-RS"/>
          <w14:ligatures w14:val="none"/>
        </w:rPr>
        <w:t>Slika 2.1 Blok dijagram pločice</w:t>
      </w:r>
    </w:p>
    <w:p>
      <w:pPr>
        <w:pStyle w:val="Normal"/>
        <w:keepNext w:val="true"/>
        <w:jc w:val="center"/>
        <w:rPr/>
      </w:pPr>
      <w:r>
        <w:rPr/>
        <w:drawing>
          <wp:inline distT="0" distB="0" distL="0" distR="0">
            <wp:extent cx="3639185" cy="142176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11"/>
                    <a:stretch>
                      <a:fillRect/>
                    </a:stretch>
                  </pic:blipFill>
                  <pic:spPr bwMode="auto">
                    <a:xfrm>
                      <a:off x="0" y="0"/>
                      <a:ext cx="3639185" cy="1421765"/>
                    </a:xfrm>
                    <a:prstGeom prst="rect">
                      <a:avLst/>
                    </a:prstGeom>
                  </pic:spPr>
                </pic:pic>
              </a:graphicData>
            </a:graphic>
          </wp:inline>
        </w:drawing>
      </w:r>
      <w:r>
        <w:rPr>
          <w:rFonts w:eastAsia="Times New Roman" w:cs="Times New Roman"/>
          <w:color w:val="EE0000"/>
          <w:kern w:val="0"/>
          <w:lang w:val="sr-Latn-RS" w:eastAsia="sr-Latn-RS"/>
          <w14:ligatures w14:val="none"/>
        </w:rPr>
        <w:br/>
      </w:r>
      <w:r>
        <w:rPr>
          <w:rFonts w:eastAsia="Times New Roman" w:cs="Times New Roman"/>
          <w:color w:val="000000"/>
          <w:kern w:val="0"/>
          <w:lang w:val="sr-Latn-RS" w:eastAsia="sr-Latn-RS"/>
          <w14:ligatures w14:val="none"/>
        </w:rPr>
        <w:t>Slika 2.2 Blok dijagram kompletnog sistema</w:t>
      </w:r>
      <w:r>
        <w:rPr/>
        <w:t xml:space="preserve"> </w:t>
      </w:r>
    </w:p>
    <w:p>
      <w:pPr>
        <w:pStyle w:val="Normal"/>
        <w:spacing w:beforeAutospacing="1" w:afterAutospacing="1"/>
        <w:jc w:val="left"/>
        <w:rPr>
          <w:rFonts w:eastAsia="Times New Roman" w:cs="Times New Roman"/>
          <w:kern w:val="0"/>
          <w:lang w:eastAsia="sr-Latn-RS"/>
          <w14:ligatures w14:val="none"/>
        </w:rPr>
      </w:pPr>
      <w:r>
        <w:rPr>
          <w:rFonts w:eastAsia="Times New Roman" w:cs="Times New Roman"/>
          <w:b/>
          <w:bCs/>
          <w:kern w:val="0"/>
          <w:lang w:eastAsia="sr-Latn-RS"/>
          <w14:ligatures w14:val="none"/>
        </w:rPr>
        <w:t>Opis rada</w:t>
      </w:r>
    </w:p>
    <w:p>
      <w:pPr>
        <w:pStyle w:val="ListParagraph"/>
        <w:numPr>
          <w:ilvl w:val="0"/>
          <w:numId w:val="22"/>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Zener dioda meri temperaturu ćelija kroz promenu reverznog napona u zavisnosti od temperature. </w:t>
      </w:r>
    </w:p>
    <w:p>
      <w:pPr>
        <w:pStyle w:val="ListParagraph"/>
        <w:numPr>
          <w:ilvl w:val="0"/>
          <w:numId w:val="22"/>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Signal prolazi kroz RC niskopropusni filter radi uklanjanja visokofrekventnih smetnji i konačno se digitalizuje putem eksternog ADC-a (0–3,3 V). </w:t>
      </w:r>
    </w:p>
    <w:p>
      <w:pPr>
        <w:pStyle w:val="ListParagraph"/>
        <w:numPr>
          <w:ilvl w:val="0"/>
          <w:numId w:val="22"/>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Digitalni podaci se prenose preko izolovanog SPI interfejsa (isoSPI) do mikrokontrolera, čime se obezbeđuje galvanska izolacija između ADC-a i ostatka sistema. </w:t>
      </w:r>
    </w:p>
    <w:p>
      <w:pPr>
        <w:pStyle w:val="ListParagraph"/>
        <w:numPr>
          <w:ilvl w:val="0"/>
          <w:numId w:val="22"/>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MCU obrađuje podatke, formira CAN poruke i šalje ih putem eksternog CAN transivera do Orion 2 BMS-a, koji istovremeno prima i obrađuje podatke sa svih sedam temperaturnih tačaka.</w:t>
      </w:r>
    </w:p>
    <w:p>
      <w:pPr>
        <w:pStyle w:val="ListParagraph"/>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r>
    </w:p>
    <w:p>
      <w:pPr>
        <w:pStyle w:val="Normal"/>
        <w:rPr>
          <w:rFonts w:eastAsia="Times New Roman" w:cs="Times New Roman"/>
          <w:kern w:val="0"/>
          <w:lang w:val="sr-Latn-RS" w:eastAsia="sr-Latn-RS"/>
          <w14:ligatures w14:val="none"/>
        </w:rPr>
      </w:pPr>
      <w:r>
        <w:rPr>
          <w:rFonts w:eastAsia="Times New Roman" w:cs="Times New Roman"/>
          <w:b/>
          <w:bCs/>
          <w:kern w:val="0"/>
          <w:lang w:val="sr-Latn-RS" w:eastAsia="sr-Latn-RS"/>
          <w14:ligatures w14:val="none"/>
        </w:rPr>
        <w:t xml:space="preserve">Napajanje </w:t>
      </w:r>
      <w:r>
        <w:rPr>
          <w:rFonts w:eastAsia="Times New Roman" w:cs="Times New Roman"/>
          <w:b/>
          <w:bCs/>
          <w:kern w:val="0"/>
          <w:lang w:val="sr-Latn-RS" w:eastAsia="sr-Latn-RS"/>
          <w14:ligatures w14:val="none"/>
        </w:rPr>
        <w:t>i izolacija</w:t>
      </w:r>
    </w:p>
    <w:p>
      <w:pPr>
        <w:pStyle w:val="Normal"/>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ADC i senzori temperature nalaze se na strani koja je električno povezana sa baterijskim (HV) segmentom. Zbog toga se njihovo napajanje realizuje pomoću linearnog regulatora koji obara napon sa 12 V na 5 V, nakon čega izolovani DC/DC konvertor generiše izolovan napon od 3,3 V. Na taj način ostvaruje se galvanska izolacija između mernog dela sistema i ostatka elektronike.</w:t>
      </w:r>
    </w:p>
    <w:p>
      <w:pPr>
        <w:pStyle w:val="Normal"/>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Mikrokontroler, CAN transiver i Orion 2 BMS nalaze se na </w:t>
      </w:r>
      <w:r>
        <w:rPr>
          <w:rStyle w:val="Strong"/>
          <w:rFonts w:eastAsia="Times New Roman" w:cs="Times New Roman"/>
          <w:b w:val="false"/>
          <w:bCs w:val="false"/>
          <w:kern w:val="0"/>
          <w:lang w:val="sr-Latn-RS" w:eastAsia="sr-Latn-RS"/>
          <w14:ligatures w14:val="none"/>
        </w:rPr>
        <w:t>LV strani</w:t>
      </w:r>
      <w:r>
        <w:rPr>
          <w:rFonts w:eastAsia="Times New Roman" w:cs="Times New Roman"/>
          <w:b w:val="false"/>
          <w:bCs w:val="false"/>
          <w:kern w:val="0"/>
          <w:lang w:val="sr-Latn-RS" w:eastAsia="sr-Latn-RS"/>
          <w14:ligatures w14:val="none"/>
        </w:rPr>
        <w:t xml:space="preserve"> i napajaju</w:t>
      </w:r>
      <w:r>
        <w:rPr>
          <w:rFonts w:eastAsia="Times New Roman" w:cs="Times New Roman"/>
          <w:kern w:val="0"/>
          <w:lang w:val="sr-Latn-RS" w:eastAsia="sr-Latn-RS"/>
          <w14:ligatures w14:val="none"/>
        </w:rPr>
        <w:t xml:space="preserve"> se direktno iz 12 V LV baterije preko LDO regulatora koji obezbeđuje napon od 3,3 V.</w:t>
      </w:r>
    </w:p>
    <w:p>
      <w:pPr>
        <w:pStyle w:val="Normal"/>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Komunikacija između ADC-a i mikrokontrolera ostvaruje se preko </w:t>
      </w:r>
      <w:r>
        <w:rPr>
          <w:rStyle w:val="Strong"/>
          <w:rFonts w:eastAsia="Times New Roman" w:cs="Times New Roman"/>
          <w:b w:val="false"/>
          <w:bCs w:val="false"/>
          <w:kern w:val="0"/>
          <w:lang w:val="sr-Latn-RS" w:eastAsia="sr-Latn-RS"/>
          <w14:ligatures w14:val="none"/>
        </w:rPr>
        <w:t>izolovanog SPI interfejsa (isoSPI)</w:t>
      </w:r>
      <w:r>
        <w:rPr>
          <w:rFonts w:eastAsia="Times New Roman" w:cs="Times New Roman"/>
          <w:b w:val="false"/>
          <w:bCs w:val="false"/>
          <w:kern w:val="0"/>
          <w:lang w:val="sr-Latn-RS" w:eastAsia="sr-Latn-RS"/>
          <w14:ligatures w14:val="none"/>
        </w:rPr>
        <w:t>,</w:t>
      </w:r>
      <w:r>
        <w:rPr>
          <w:rFonts w:eastAsia="Times New Roman" w:cs="Times New Roman"/>
          <w:kern w:val="0"/>
          <w:lang w:val="sr-Latn-RS" w:eastAsia="sr-Latn-RS"/>
          <w14:ligatures w14:val="none"/>
        </w:rPr>
        <w:t xml:space="preserve"> tako da ne postoji direktna električna veza između mernog dela i digitalnog dela sistema.</w:t>
      </w:r>
    </w:p>
    <w:p>
      <w:pPr>
        <w:pStyle w:val="BodyText"/>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Na ovaj način:</w:t>
      </w:r>
    </w:p>
    <w:p>
      <w:pPr>
        <w:pStyle w:val="BodyText"/>
        <w:numPr>
          <w:ilvl w:val="0"/>
          <w:numId w:val="23"/>
        </w:numPr>
        <w:tabs>
          <w:tab w:val="clear" w:pos="720"/>
          <w:tab w:val="left" w:pos="0" w:leader="none"/>
        </w:tabs>
        <w:spacing w:before="0" w:after="0"/>
        <w:ind w:hanging="283" w:left="709"/>
        <w:rPr/>
      </w:pPr>
      <w:r>
        <w:rPr/>
        <w:t xml:space="preserve">senzori i ADC su galvanski odvojeni od LV sistema, </w:t>
      </w:r>
    </w:p>
    <w:p>
      <w:pPr>
        <w:pStyle w:val="BodyText"/>
        <w:numPr>
          <w:ilvl w:val="0"/>
          <w:numId w:val="23"/>
        </w:numPr>
        <w:tabs>
          <w:tab w:val="clear" w:pos="720"/>
          <w:tab w:val="left" w:pos="0" w:leader="none"/>
        </w:tabs>
        <w:spacing w:before="0" w:after="0"/>
        <w:ind w:hanging="283" w:left="709"/>
        <w:rPr/>
      </w:pPr>
      <w:r>
        <w:rPr/>
        <w:t xml:space="preserve">mikrokontroler i CAN komunikacija ostaju na bezbednoj LV strani, </w:t>
      </w:r>
    </w:p>
    <w:p>
      <w:pPr>
        <w:pStyle w:val="BodyText"/>
        <w:numPr>
          <w:ilvl w:val="0"/>
          <w:numId w:val="23"/>
        </w:numPr>
        <w:tabs>
          <w:tab w:val="clear" w:pos="720"/>
          <w:tab w:val="left" w:pos="0" w:leader="none"/>
        </w:tabs>
        <w:ind w:hanging="283" w:left="709"/>
        <w:rPr/>
      </w:pPr>
      <w:r>
        <w:rPr/>
        <w:t>eventualni visoki naponi sa baterijskog segmenta ne mogu da se prenesu na BMS i ostatak elektronike.</w:t>
      </w:r>
    </w:p>
    <w:p>
      <w:pPr>
        <w:pStyle w:val="Normal"/>
        <w:rPr>
          <w:lang w:val="sr-Latn-RS"/>
        </w:rPr>
      </w:pPr>
      <w:r>
        <w:rPr>
          <w:b/>
          <w:bCs/>
          <w:lang w:val="sr-Latn-RS"/>
        </w:rPr>
        <w:t>Alternativna opcija</w:t>
      </w:r>
    </w:p>
    <w:p>
      <w:pPr>
        <w:pStyle w:val="Normal"/>
        <w:rPr>
          <w:lang w:val="sr-Latn-RS"/>
        </w:rPr>
      </w:pPr>
      <w:r>
        <w:rPr>
          <w:lang w:val="sr-Latn-RS"/>
        </w:rPr>
        <w:t>Aleternativna opcija mogla bi biti korišćenje drugog BMS-a. Iako bi teoretski moglo biti rešenje, zbog velikog broja tehničkih zahteva i ograničene ponude BMS uređaja na tržištu, ova opcija nije razmatrana.</w:t>
      </w:r>
    </w:p>
    <w:p>
      <w:pPr>
        <w:pStyle w:val="Normal"/>
        <w:numPr>
          <w:ilvl w:val="0"/>
          <w:numId w:val="24"/>
        </w:numPr>
        <w:rPr>
          <w:lang w:val="sr-Latn-RS"/>
        </w:rPr>
      </w:pPr>
      <w:r>
        <w:rPr>
          <w:lang w:val="sr-Latn-RS"/>
        </w:rPr>
        <w:t xml:space="preserve">Inženjeri iz kompanije </w:t>
      </w:r>
      <w:r>
        <w:rPr>
          <w:i/>
          <w:iCs/>
          <w:lang w:val="sr-Latn-RS"/>
        </w:rPr>
        <w:t>Typhoon Hil</w:t>
      </w:r>
      <w:r>
        <w:rPr>
          <w:i w:val="false"/>
          <w:iCs w:val="false"/>
          <w:lang w:val="sr-Latn-RS"/>
        </w:rPr>
        <w:t xml:space="preserve"> su predložili </w:t>
      </w:r>
      <w:r>
        <w:rPr>
          <w:i w:val="false"/>
          <w:iCs w:val="false"/>
          <w:lang w:val="sr-Latn-RS"/>
        </w:rPr>
        <w:t>foxBMS kao alternativu, ali s obzirom na već projektovane sisteme koji su zavisni od BMS-a, ovaj BMS nije razmatran kao opcija za ovu sezonu.</w:t>
      </w:r>
    </w:p>
    <w:p>
      <w:pPr>
        <w:pStyle w:val="Normal"/>
        <w:rPr>
          <w:lang w:val="sr-Latn-RS"/>
        </w:rPr>
      </w:pPr>
      <w:r>
        <w:rPr>
          <w:lang w:val="sr-Latn-RS"/>
        </w:rPr>
        <w:t>Postojale su i druge tehničke varijante za izolaciju senzorskog i digitalnog dela sistema. Jedna od njih uključivala je korišćenje linearnih optokaplera IL300 sa operacionim pojačavačima i izolacionim DC/DC konvertorom za napajanje obe strane. Ova varijanta bi zahtevala dodatne komponente i precizno podešavanje pojačanja, a zbog toga što optokapler prenosi analognu temperaturu kroz duži tok signala, povećava se rizik od šuma i degradacije signala, što bi zahtevalo dodatnu kalibraciju i filtere.</w:t>
      </w:r>
    </w:p>
    <w:p>
      <w:pPr>
        <w:pStyle w:val="Normal"/>
        <w:rPr>
          <w:lang w:val="sr-Latn-RS"/>
        </w:rPr>
      </w:pPr>
      <w:r>
        <w:rPr>
          <w:lang w:val="sr-Latn-RS"/>
        </w:rPr>
        <w:t>Druga tehnička varijanta bila je korišćenje izolovanog CAN transivera (isoCAN) umesto isoSPI interfejsa. Iako bi isoCAN takođe obezbeđivao izolaciju i pouzdanu komunikaciju sa BMS-om, njegova implementacija zahtevala bi dodatno napajanje preko izolovanog DC/DC konvertora, složenije povezivanje i dodatno projektovanje LDO rasporeda, što bi povećalo kompleksnost sistema u poređenju sa izabranom isoSPI varijantom.</w:t>
      </w:r>
    </w:p>
    <w:p>
      <w:pPr>
        <w:pStyle w:val="Normal"/>
        <w:rPr>
          <w:lang w:val="sr-Latn-RS"/>
        </w:rPr>
      </w:pPr>
      <w:r>
        <w:rPr>
          <w:lang w:val="sr-Latn-RS"/>
        </w:rPr>
        <w:t xml:space="preserve">Zbog jednostavnijeg napajanja, manjih hardverskih zahteva i lakše implementacije, kao i fleksibilnijeg rasporeda LDO regulatora, odlučeno je da se koristi </w:t>
      </w:r>
      <w:r>
        <w:rPr>
          <w:b w:val="false"/>
          <w:bCs w:val="false"/>
          <w:lang w:val="sr-Latn-RS"/>
        </w:rPr>
        <w:t>isoSPI varijanta</w:t>
      </w:r>
      <w:r>
        <w:rPr>
          <w:lang w:val="sr-Latn-RS"/>
        </w:rPr>
        <w:t>, koja pruža dovoljnu izolaciju, pouzdanu komunikaciju i manju složenost sistema.</w:t>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Style6"/>
        <w:numPr>
          <w:ilvl w:val="0"/>
          <w:numId w:val="1"/>
        </w:numPr>
        <w:rPr>
          <w:lang w:val="sr-Latn-RS"/>
        </w:rPr>
      </w:pPr>
      <w:r>
        <w:rPr>
          <w:lang w:val="sr-Latn-RS"/>
        </w:rPr>
        <w:t>Detalji implementacij</w:t>
      </w:r>
      <w:r>
        <w:rPr>
          <w:lang w:val="sr-Latn-RS"/>
        </w:rPr>
        <w:t>e</w:t>
      </w:r>
    </w:p>
    <w:p>
      <w:pPr>
        <w:pStyle w:val="Style6"/>
        <w:numPr>
          <w:ilvl w:val="1"/>
          <w:numId w:val="1"/>
        </w:numPr>
        <w:rPr>
          <w:lang w:val="sr-Latn-RS"/>
        </w:rPr>
      </w:pPr>
      <w:r>
        <w:rPr>
          <w:lang w:val="sr-Latn-RS"/>
        </w:rPr>
        <w:t>Komponente</w:t>
      </w:r>
    </w:p>
    <w:p>
      <w:pPr>
        <w:pStyle w:val="Normal"/>
        <w:rPr>
          <w:rFonts w:cs="Times New Roman"/>
        </w:rPr>
      </w:pPr>
      <w:r>
        <w:rPr>
          <w:rFonts w:cs="Times New Roman"/>
        </w:rPr>
        <w:t xml:space="preserve">Izbor komponenti pratio je </w:t>
      </w:r>
      <w:r>
        <w:rPr>
          <w:rFonts w:cs="Times New Roman"/>
          <w:b/>
          <w:bCs/>
        </w:rPr>
        <w:t>hijerarhijski pristup</w:t>
      </w:r>
      <w:r>
        <w:rPr>
          <w:rFonts w:cs="Times New Roman"/>
        </w:rPr>
        <w:t xml:space="preserve">: </w:t>
      </w:r>
    </w:p>
    <w:p>
      <w:pPr>
        <w:pStyle w:val="ListParagraph"/>
        <w:numPr>
          <w:ilvl w:val="0"/>
          <w:numId w:val="5"/>
        </w:numPr>
        <w:rPr>
          <w:rFonts w:cs="Times New Roman"/>
        </w:rPr>
      </w:pPr>
      <w:r>
        <w:rPr>
          <w:rFonts w:cs="Times New Roman"/>
        </w:rPr>
        <w:t xml:space="preserve">prvo je izabran mikrokontroler (MCU) sa CAN transiverom, </w:t>
      </w:r>
    </w:p>
    <w:p>
      <w:pPr>
        <w:pStyle w:val="ListParagraph"/>
        <w:numPr>
          <w:ilvl w:val="0"/>
          <w:numId w:val="5"/>
        </w:numPr>
        <w:rPr>
          <w:rFonts w:cs="Times New Roman"/>
        </w:rPr>
      </w:pPr>
      <w:r>
        <w:rPr>
          <w:rFonts w:cs="Times New Roman"/>
        </w:rPr>
        <w:t xml:space="preserve">zatim analogno-digitalni konverter (ADC) u skladu sa zahtevima MCU-a, </w:t>
      </w:r>
    </w:p>
    <w:p>
      <w:pPr>
        <w:pStyle w:val="ListParagraph"/>
        <w:numPr>
          <w:ilvl w:val="0"/>
          <w:numId w:val="5"/>
        </w:numPr>
        <w:rPr>
          <w:rFonts w:cs="Times New Roman"/>
        </w:rPr>
      </w:pPr>
      <w:r>
        <w:rPr>
          <w:rFonts w:cs="Times New Roman"/>
        </w:rPr>
        <w:t>a potom je projektovan RC filter.</w:t>
      </w:r>
    </w:p>
    <w:p>
      <w:pPr>
        <w:pStyle w:val="Style6"/>
        <w:numPr>
          <w:ilvl w:val="2"/>
          <w:numId w:val="1"/>
        </w:numPr>
        <w:rPr>
          <w:lang w:val="en-GB"/>
        </w:rPr>
      </w:pPr>
      <w:r>
        <w:rPr/>
        <w:t>Mikrokontroler</w:t>
      </w:r>
      <w:r>
        <w:rPr>
          <w:lang w:val="en-GB"/>
        </w:rPr>
        <w:t xml:space="preserve"> i CAN transiver</w:t>
      </w:r>
    </w:p>
    <w:p>
      <w:pPr>
        <w:pStyle w:val="Normal"/>
        <w:ind w:left="360"/>
        <w:rPr>
          <w:b/>
          <w:bCs/>
          <w:lang w:val="sr-Latn-RS"/>
        </w:rPr>
      </w:pPr>
      <w:r>
        <w:rPr>
          <w:b/>
          <w:bCs/>
          <w:lang w:val="sr-Latn-RS"/>
        </w:rPr>
        <w:t>Kriterijumi za izbor MCU-a:</w:t>
      </w:r>
    </w:p>
    <w:p>
      <w:pPr>
        <w:pStyle w:val="ListParagraph"/>
        <w:numPr>
          <w:ilvl w:val="0"/>
          <w:numId w:val="2"/>
        </w:numPr>
        <w:ind w:hanging="360" w:left="1080"/>
        <w:rPr>
          <w:b/>
          <w:bCs/>
          <w:lang w:val="sr-Latn-RS"/>
        </w:rPr>
      </w:pPr>
      <w:r>
        <w:rPr>
          <w:lang w:val="sr-Latn-RS"/>
        </w:rPr>
        <w:t>Integrisan CAN kontroler za komunikaciju sa BMS-om.</w:t>
      </w:r>
    </w:p>
    <w:p>
      <w:pPr>
        <w:pStyle w:val="ListParagraph"/>
        <w:numPr>
          <w:ilvl w:val="0"/>
          <w:numId w:val="2"/>
        </w:numPr>
        <w:ind w:hanging="360" w:left="1080"/>
        <w:rPr>
          <w:b/>
          <w:bCs/>
          <w:lang w:val="sr-Latn-RS"/>
        </w:rPr>
      </w:pPr>
      <w:r>
        <w:rPr>
          <w:lang w:val="sr-Latn-RS"/>
        </w:rPr>
        <w:t>Serijska komunikacija sa eksternim ADC-om (SPI ili I2C).</w:t>
      </w:r>
    </w:p>
    <w:p>
      <w:pPr>
        <w:pStyle w:val="ListParagraph"/>
        <w:numPr>
          <w:ilvl w:val="0"/>
          <w:numId w:val="2"/>
        </w:numPr>
        <w:ind w:hanging="360" w:left="1080"/>
        <w:rPr>
          <w:b/>
          <w:bCs/>
          <w:lang w:val="sr-Latn-RS"/>
        </w:rPr>
      </w:pPr>
      <w:r>
        <w:rPr>
          <w:lang w:val="sr-Latn-RS"/>
        </w:rPr>
        <w:t>Brza obrada u realnom vremenu.</w:t>
      </w:r>
    </w:p>
    <w:p>
      <w:pPr>
        <w:pStyle w:val="ListParagraph"/>
        <w:numPr>
          <w:ilvl w:val="0"/>
          <w:numId w:val="2"/>
        </w:numPr>
        <w:ind w:hanging="360" w:left="1080"/>
        <w:rPr>
          <w:b/>
          <w:bCs/>
          <w:lang w:val="sr-Latn-RS"/>
        </w:rPr>
      </w:pPr>
      <w:r>
        <w:rPr>
          <w:lang w:val="sr-Latn-RS"/>
        </w:rPr>
        <w:t>Cena i dostupnost na tržištu.</w:t>
      </w:r>
    </w:p>
    <w:p>
      <w:pPr>
        <w:pStyle w:val="Normal"/>
        <w:ind w:left="360"/>
        <w:rPr>
          <w:lang w:val="sr-Latn-RS"/>
        </w:rPr>
      </w:pPr>
      <w:r>
        <w:rPr>
          <w:b/>
          <w:bCs/>
          <w:lang w:val="sr-Latn-RS"/>
        </w:rPr>
        <w:t>Izabrani MCU</w:t>
      </w:r>
      <w:r>
        <w:rPr>
          <w:lang w:val="sr-Latn-RS"/>
        </w:rPr>
        <w:t xml:space="preserve"> je </w:t>
      </w:r>
      <w:hyperlink r:id="rId12">
        <w:r>
          <w:rPr>
            <w:rStyle w:val="Hyperlink"/>
            <w:b/>
            <w:bCs/>
            <w:lang w:val="sr-Latn-RS"/>
          </w:rPr>
          <w:t>STM32F103C8T6</w:t>
        </w:r>
      </w:hyperlink>
      <w:r>
        <w:rPr>
          <w:lang w:val="sr-Latn-RS"/>
        </w:rPr>
        <w:t xml:space="preserve"> (ARM Cortex-M3, STMicroelectronics) </w:t>
      </w:r>
      <w:r>
        <w:rPr>
          <w:lang w:val="en-GB"/>
        </w:rPr>
        <w:t>[4]</w:t>
      </w:r>
      <w:r>
        <w:rPr>
          <w:lang w:val="sr-Latn-RS"/>
        </w:rPr>
        <w:t>, koji zadovoljava sve kriterijume.</w:t>
      </w:r>
    </w:p>
    <w:p>
      <w:pPr>
        <w:pStyle w:val="Normal"/>
        <w:ind w:left="360"/>
        <w:rPr>
          <w:lang w:val="sr-Latn-RS"/>
        </w:rPr>
      </w:pPr>
      <w:r>
        <w:rPr>
          <w:lang w:val="sr-Latn-RS"/>
        </w:rPr>
        <w:t xml:space="preserve">Pošto STM32F103C8T6 ima integrisan CAN kontroler, ali nema fizički CAN interfejs, koristi se </w:t>
      </w:r>
      <w:r>
        <w:rPr>
          <w:b/>
          <w:bCs/>
          <w:lang w:val="sr-Latn-RS"/>
        </w:rPr>
        <w:t>eksterni CAN transiver.</w:t>
      </w:r>
    </w:p>
    <w:p>
      <w:pPr>
        <w:pStyle w:val="Normal"/>
        <w:ind w:left="360"/>
        <w:rPr>
          <w:lang w:val="sr-Latn-RS"/>
        </w:rPr>
      </w:pPr>
      <w:r>
        <w:rPr>
          <w:b/>
          <w:bCs/>
          <w:lang w:val="sr-Latn-RS"/>
        </w:rPr>
        <w:t>Kriterijumi za izbor CAN transivera:</w:t>
      </w:r>
    </w:p>
    <w:p>
      <w:pPr>
        <w:pStyle w:val="ListParagraph"/>
        <w:numPr>
          <w:ilvl w:val="0"/>
          <w:numId w:val="3"/>
        </w:numPr>
        <w:ind w:hanging="360" w:left="1080"/>
        <w:rPr>
          <w:lang w:val="sr-Latn-RS"/>
        </w:rPr>
      </w:pPr>
      <w:r>
        <w:rPr>
          <w:lang w:val="sr-Latn-RS"/>
        </w:rPr>
        <w:t>Radni napon kompatibilan sa 3.3 V logikom MCU-a.</w:t>
      </w:r>
    </w:p>
    <w:p>
      <w:pPr>
        <w:pStyle w:val="ListParagraph"/>
        <w:numPr>
          <w:ilvl w:val="0"/>
          <w:numId w:val="3"/>
        </w:numPr>
        <w:ind w:hanging="360" w:left="1080"/>
        <w:rPr>
          <w:lang w:val="sr-Latn-RS"/>
        </w:rPr>
      </w:pPr>
      <w:r>
        <w:rPr>
          <w:lang w:val="sr-Latn-RS"/>
        </w:rPr>
        <w:t>Podrška za CAN 2.0B standard.</w:t>
      </w:r>
    </w:p>
    <w:p>
      <w:pPr>
        <w:pStyle w:val="ListParagraph"/>
        <w:numPr>
          <w:ilvl w:val="0"/>
          <w:numId w:val="3"/>
        </w:numPr>
        <w:ind w:hanging="360" w:left="1080"/>
        <w:rPr>
          <w:lang w:val="sr-Latn-RS"/>
        </w:rPr>
      </w:pPr>
      <w:r>
        <w:rPr>
          <w:lang w:val="sr-Latn-RS"/>
        </w:rPr>
        <w:t>Cena i dostupnost na tržištu.</w:t>
      </w:r>
    </w:p>
    <w:p>
      <w:pPr>
        <w:pStyle w:val="Normal"/>
        <w:ind w:left="360"/>
        <w:rPr>
          <w:lang w:val="sr-Latn-RS"/>
        </w:rPr>
      </w:pPr>
      <w:r>
        <w:rPr>
          <w:b/>
          <w:bCs/>
          <w:lang w:val="sr-Latn-RS"/>
        </w:rPr>
        <w:t xml:space="preserve">Izabrani transiver </w:t>
      </w:r>
      <w:r>
        <w:rPr>
          <w:lang w:val="sr-Latn-RS"/>
        </w:rPr>
        <w:t>je TCAN340x [5].</w:t>
      </w:r>
    </w:p>
    <w:p>
      <w:pPr>
        <w:pStyle w:val="Style6"/>
        <w:numPr>
          <w:ilvl w:val="2"/>
          <w:numId w:val="1"/>
        </w:numPr>
        <w:rPr>
          <w:lang w:val="en-GB"/>
        </w:rPr>
      </w:pPr>
      <w:r>
        <w:rPr>
          <w:lang w:val="en-GB"/>
        </w:rPr>
        <w:t>isoSPI modul</w:t>
      </w:r>
    </w:p>
    <w:p>
      <w:pPr>
        <w:pStyle w:val="Normal"/>
        <w:rPr>
          <w:lang w:val="en-GB"/>
        </w:rPr>
      </w:pPr>
      <w:r>
        <w:rPr>
          <w:lang w:val="en-GB"/>
        </w:rPr>
        <w:t>Potrebno je obezbediti izolaciju sledećih signala:</w:t>
      </w:r>
    </w:p>
    <w:p>
      <w:pPr>
        <w:sectPr>
          <w:type w:val="continuous"/>
          <w:pgSz w:w="11906" w:h="16838"/>
          <w:pgMar w:left="720" w:right="720" w:gutter="0" w:header="0" w:top="720" w:footer="720" w:bottom="777"/>
          <w:formProt w:val="false"/>
          <w:titlePg/>
          <w:textDirection w:val="lrTb"/>
          <w:docGrid w:type="default" w:linePitch="360" w:charSpace="0"/>
        </w:sectPr>
      </w:pPr>
    </w:p>
    <w:p>
      <w:pPr>
        <w:pStyle w:val="ListParagraph"/>
        <w:numPr>
          <w:ilvl w:val="0"/>
          <w:numId w:val="16"/>
        </w:numPr>
        <w:rPr>
          <w:lang w:val="en-GB"/>
        </w:rPr>
      </w:pPr>
      <w:r>
        <w:rPr>
          <w:lang w:val="en-GB"/>
        </w:rPr>
        <w:t>MISO</w:t>
      </w:r>
    </w:p>
    <w:p>
      <w:pPr>
        <w:pStyle w:val="ListParagraph"/>
        <w:numPr>
          <w:ilvl w:val="0"/>
          <w:numId w:val="16"/>
        </w:numPr>
        <w:rPr>
          <w:lang w:val="en-GB"/>
        </w:rPr>
      </w:pPr>
      <w:r>
        <w:rPr>
          <w:lang w:val="en-GB"/>
        </w:rPr>
        <w:t>MOSI</w:t>
      </w:r>
    </w:p>
    <w:p>
      <w:pPr>
        <w:pStyle w:val="ListParagraph"/>
        <w:numPr>
          <w:ilvl w:val="0"/>
          <w:numId w:val="16"/>
        </w:numPr>
        <w:jc w:val="left"/>
        <w:rPr>
          <w:lang w:val="en-GB"/>
        </w:rPr>
      </w:pPr>
      <w:r>
        <w:rPr/>
      </w:r>
      <m:oMathPara xmlns:m="http://schemas.openxmlformats.org/officeDocument/2006/math">
        <m:oMathParaPr>
          <m:jc m:val="left"/>
        </m:oMathParaPr>
        <m:oMath>
          <m:bar>
            <m:barPr>
              <m:pos m:val="top"/>
            </m:barPr>
            <m:e>
              <m:r>
                <w:rPr>
                  <w:rFonts w:ascii="Cambria Math" w:hAnsi="Cambria Math"/>
                </w:rPr>
                <m:t xml:space="preserve">CS</m:t>
              </m:r>
            </m:e>
          </m:bar>
        </m:oMath>
      </m:oMathPara>
    </w:p>
    <w:p>
      <w:pPr>
        <w:pStyle w:val="ListParagraph"/>
        <w:numPr>
          <w:ilvl w:val="0"/>
          <w:numId w:val="16"/>
        </w:numPr>
        <w:rPr>
          <w:b/>
          <w:bCs/>
          <w:lang w:val="sr-Latn-RS"/>
        </w:rPr>
      </w:pPr>
      <w:r>
        <w:rPr/>
        <w:t>START/SYNC</w:t>
      </w:r>
    </w:p>
    <w:p>
      <w:pPr>
        <w:pStyle w:val="ListParagraph"/>
        <w:numPr>
          <w:ilvl w:val="0"/>
          <w:numId w:val="16"/>
        </w:numPr>
        <w:jc w:val="left"/>
        <w:rPr>
          <w:lang w:val="en-GB"/>
        </w:rPr>
      </w:pPr>
      <w:r>
        <w:rPr/>
      </w:r>
      <m:oMathPara xmlns:m="http://schemas.openxmlformats.org/officeDocument/2006/math">
        <m:oMathParaPr>
          <m:jc m:val="left"/>
        </m:oMathParaPr>
        <m:oMath>
          <m:bar>
            <m:barPr>
              <m:pos m:val="top"/>
            </m:barPr>
            <m:e>
              <m:r>
                <w:rPr>
                  <w:rFonts w:ascii="Cambria Math" w:hAnsi="Cambria Math"/>
                </w:rPr>
                <m:t xml:space="preserve">RESET</m:t>
              </m:r>
            </m:e>
          </m:bar>
        </m:oMath>
      </m:oMathPara>
    </w:p>
    <w:p>
      <w:pPr>
        <w:pStyle w:val="ListParagraph"/>
        <w:numPr>
          <w:ilvl w:val="0"/>
          <w:numId w:val="16"/>
        </w:numPr>
        <w:rPr>
          <w:lang w:val="en-GB"/>
        </w:rPr>
      </w:pPr>
      <w:r>
        <w:rPr>
          <w:rFonts w:eastAsia="" w:eastAsiaTheme="minorEastAsia"/>
        </w:rPr>
        <w:t>SCLK</w:t>
      </w:r>
    </w:p>
    <w:p>
      <w:pPr>
        <w:sectPr>
          <w:type w:val="continuous"/>
          <w:pgSz w:w="11906" w:h="16838"/>
          <w:pgMar w:left="720" w:right="720" w:gutter="0" w:header="0" w:top="720" w:footer="720" w:bottom="777"/>
          <w:cols w:num="2" w:space="720" w:equalWidth="true" w:sep="false"/>
          <w:formProt w:val="false"/>
          <w:titlePg/>
          <w:textDirection w:val="lrTb"/>
          <w:docGrid w:type="default" w:linePitch="360" w:charSpace="0"/>
        </w:sectPr>
      </w:pPr>
    </w:p>
    <w:p>
      <w:pPr>
        <w:pStyle w:val="Normal"/>
        <w:rPr>
          <w:lang w:val="en-GB"/>
        </w:rPr>
      </w:pPr>
      <w:r>
        <w:rPr>
          <w:b/>
          <w:bCs/>
          <w:lang w:val="sr-Latn-RS"/>
        </w:rPr>
        <w:t xml:space="preserve">      </w:t>
      </w:r>
      <w:r>
        <w:rPr>
          <w:b/>
          <w:bCs/>
          <w:lang w:val="sr-Latn-RS"/>
        </w:rPr>
        <w:t xml:space="preserve">Izabrani modul </w:t>
      </w:r>
      <w:r>
        <w:rPr>
          <w:lang w:val="sr-Latn-RS"/>
        </w:rPr>
        <w:t>je XISO6463DWR. No, potrebno je koristiti 2 modula zbog broja signala.</w:t>
      </w:r>
    </w:p>
    <w:p>
      <w:pPr>
        <w:pStyle w:val="Style6"/>
        <w:numPr>
          <w:ilvl w:val="2"/>
          <w:numId w:val="1"/>
        </w:numPr>
        <w:rPr>
          <w:lang w:val="en-GB"/>
        </w:rPr>
      </w:pPr>
      <w:r>
        <w:rPr>
          <w:lang w:val="en-GB"/>
        </w:rPr>
        <w:t xml:space="preserve">Analogno-digitalni konverter </w:t>
      </w:r>
    </w:p>
    <w:p>
      <w:pPr>
        <w:pStyle w:val="Normal"/>
        <w:ind w:left="360"/>
        <w:rPr>
          <w:lang w:val="sr-Latn-RS"/>
        </w:rPr>
      </w:pPr>
      <w:r>
        <w:rPr>
          <w:b/>
          <w:bCs/>
          <w:lang w:val="sr-Latn-RS"/>
        </w:rPr>
        <w:t>Kriterijumi za izbor ADC-a:</w:t>
      </w:r>
    </w:p>
    <w:p>
      <w:pPr>
        <w:pStyle w:val="ListParagraph"/>
        <w:numPr>
          <w:ilvl w:val="0"/>
          <w:numId w:val="4"/>
        </w:numPr>
        <w:ind w:hanging="360" w:left="1080"/>
        <w:rPr>
          <w:lang w:val="sr-Latn-RS"/>
        </w:rPr>
      </w:pPr>
      <w:r>
        <w:rPr>
          <w:lang w:val="sr-Latn-RS"/>
        </w:rPr>
        <w:t>Podrška za SPI/I2C komunikaciju.</w:t>
      </w:r>
    </w:p>
    <w:p>
      <w:pPr>
        <w:pStyle w:val="ListParagraph"/>
        <w:numPr>
          <w:ilvl w:val="0"/>
          <w:numId w:val="4"/>
        </w:numPr>
        <w:ind w:hanging="360" w:left="1080"/>
        <w:rPr>
          <w:lang w:val="sr-Latn-RS"/>
        </w:rPr>
      </w:pPr>
      <w:r>
        <w:rPr>
          <w:lang w:val="sr-Latn-RS"/>
        </w:rPr>
        <w:t>Dovoljno ulaznih kanala za 12 senzora.</w:t>
      </w:r>
    </w:p>
    <w:p>
      <w:pPr>
        <w:pStyle w:val="ListParagraph"/>
        <w:numPr>
          <w:ilvl w:val="0"/>
          <w:numId w:val="4"/>
        </w:numPr>
        <w:ind w:hanging="360" w:left="1080"/>
        <w:rPr>
          <w:lang w:val="sr-Latn-RS"/>
        </w:rPr>
      </w:pPr>
      <w:r>
        <w:rPr>
          <w:lang w:val="sr-Latn-RS"/>
        </w:rPr>
        <w:t>Radni napon kompatibilan sa MCU logikom.</w:t>
      </w:r>
    </w:p>
    <w:p>
      <w:pPr>
        <w:pStyle w:val="Normal"/>
        <w:ind w:left="360"/>
        <w:rPr>
          <w:lang w:val="sr-Latn-RS"/>
        </w:rPr>
      </w:pPr>
      <w:r>
        <w:rPr>
          <w:b/>
          <w:bCs/>
          <w:lang w:val="sr-Latn-RS"/>
        </w:rPr>
        <w:t xml:space="preserve">Izbabrani ADC </w:t>
      </w:r>
      <w:r>
        <w:rPr>
          <w:lang w:val="sr-Latn-RS"/>
        </w:rPr>
        <w:t xml:space="preserve">je </w:t>
      </w:r>
      <w:hyperlink r:id="rId13">
        <w:r>
          <w:rPr>
            <w:rStyle w:val="Hyperlink"/>
            <w:b/>
            <w:bCs/>
            <w:lang w:val="sr-Latn-RS"/>
          </w:rPr>
          <w:t>ADS114S08B</w:t>
        </w:r>
      </w:hyperlink>
      <w:r>
        <w:rPr>
          <w:b/>
          <w:bCs/>
          <w:lang w:val="sr-Latn-RS"/>
        </w:rPr>
        <w:t xml:space="preserve"> </w:t>
      </w:r>
      <w:r>
        <w:rPr>
          <w:lang w:val="sr-Latn-RS"/>
        </w:rPr>
        <w:t>(Texas Instruments) [6], koji nudi visoku rezoluciju i zadovoljava sve tehničke kriterijume.</w:t>
      </w:r>
    </w:p>
    <w:p>
      <w:pPr>
        <w:pStyle w:val="Style6"/>
        <w:numPr>
          <w:ilvl w:val="2"/>
          <w:numId w:val="1"/>
        </w:numPr>
        <w:rPr>
          <w:lang w:val="sr-Latn-RS"/>
        </w:rPr>
      </w:pPr>
      <w:r>
        <w:rPr>
          <w:lang w:val="en-GB"/>
        </w:rPr>
        <w:t>Analiza potrebe za operacionim poja</w:t>
      </w:r>
      <w:r>
        <w:rPr>
          <w:lang w:val="sr-Latn-RS"/>
        </w:rPr>
        <w:t>čavačem</w:t>
      </w:r>
    </w:p>
    <w:p>
      <w:pPr>
        <w:pStyle w:val="Normal"/>
        <w:ind w:left="360"/>
        <w:rPr>
          <w:lang w:val="sr-Latn-RS"/>
        </w:rPr>
      </w:pPr>
      <w:r>
        <w:rPr>
          <w:b/>
          <w:bCs/>
          <w:lang w:val="sr-Latn-RS"/>
        </w:rPr>
        <w:t>Signal sa senzora</w:t>
      </w:r>
      <w:r>
        <w:rPr>
          <w:lang w:val="sr-Latn-RS"/>
        </w:rPr>
        <w:t>: 1.30 V – 2.44 V</w:t>
      </w:r>
    </w:p>
    <w:p>
      <w:pPr>
        <w:pStyle w:val="Normal"/>
        <w:ind w:left="360"/>
        <w:rPr>
          <w:lang w:val="sr-Latn-RS"/>
        </w:rPr>
      </w:pPr>
      <w:r>
        <w:rPr>
          <w:b/>
          <w:bCs/>
          <w:lang w:val="sr-Latn-RS"/>
        </w:rPr>
        <w:t>ADC puni opseg</w:t>
      </w:r>
      <w:r>
        <w:rPr>
          <w:lang w:val="sr-Latn-RS"/>
        </w:rPr>
        <w:t>: 0 – 3.3 V, rezolucija 2^16 = 65536 koraka</w:t>
      </w:r>
    </w:p>
    <w:p>
      <w:pPr>
        <w:pStyle w:val="Normal"/>
        <w:ind w:left="360"/>
        <w:rPr>
          <w:lang w:val="sr-Latn-RS"/>
        </w:rPr>
      </w:pPr>
      <w:r>
        <w:rPr>
          <w:b/>
          <w:bCs/>
          <w:lang w:val="sr-Latn-RS"/>
        </w:rPr>
        <w:t>Iskorišćenost opsega</w:t>
      </w:r>
      <w:r>
        <w:rPr>
          <w:lang w:val="sr-Latn-RS"/>
        </w:rPr>
        <w:t xml:space="preserve"> ADC-a ≈ 34.5 %, što daje ~22636 koraka</w:t>
      </w:r>
    </w:p>
    <w:p>
      <w:pPr>
        <w:pStyle w:val="Normal"/>
        <w:ind w:left="360"/>
        <w:rPr>
          <w:lang w:val="sr-Latn-RS"/>
        </w:rPr>
      </w:pPr>
      <w:r>
        <w:rPr>
          <w:b/>
          <w:bCs/>
          <w:lang w:val="sr-Latn-RS"/>
        </w:rPr>
        <w:t>Temperaturna rezolucija</w:t>
      </w:r>
      <w:r>
        <w:rPr>
          <w:lang w:val="sr-Latn-RS"/>
        </w:rPr>
        <w:t xml:space="preserve"> ≈ 0.007 °C/korak</w:t>
      </w:r>
    </w:p>
    <w:p>
      <w:pPr>
        <w:pStyle w:val="Normal"/>
        <w:ind w:left="360"/>
        <w:rPr>
          <w:lang w:val="sr-Latn-RS"/>
        </w:rPr>
      </w:pPr>
      <w:r>
        <w:rPr>
          <w:b/>
          <w:bCs/>
          <w:lang w:val="sr-Latn-RS"/>
        </w:rPr>
        <w:t xml:space="preserve">Zaključak: </w:t>
      </w:r>
      <w:r>
        <w:rPr>
          <w:lang w:val="sr-Latn-RS"/>
        </w:rPr>
        <w:t xml:space="preserve">S obzirom na to da signal senzora zauzima dovoljan deo opsega ADC-a i da obezbeđuje visok nivo rezolucije, upotreba operacionog pojačavača nije neophodna. </w:t>
      </w:r>
    </w:p>
    <w:p>
      <w:pPr>
        <w:pStyle w:val="Normal"/>
        <w:ind w:left="360"/>
        <w:rPr>
          <w:lang w:val="sr-Latn-RS"/>
        </w:rPr>
      </w:pPr>
      <w:r>
        <w:rPr>
          <w:lang w:val="sr-Latn-RS"/>
        </w:rPr>
        <w:t xml:space="preserve">Detalji proračuna dati su u odeljku </w:t>
      </w:r>
      <w:r>
        <w:rPr>
          <w:i/>
          <w:iCs/>
          <w:lang w:val="sr-Latn-RS"/>
        </w:rPr>
        <w:t>Prilog</w:t>
      </w:r>
      <w:r>
        <w:rPr>
          <w:lang w:val="sr-Latn-RS"/>
        </w:rPr>
        <w:t>.</w:t>
      </w:r>
    </w:p>
    <w:p>
      <w:pPr>
        <w:pStyle w:val="Style6"/>
        <w:numPr>
          <w:ilvl w:val="2"/>
          <w:numId w:val="1"/>
        </w:numPr>
        <w:rPr>
          <w:lang w:val="en-GB"/>
        </w:rPr>
      </w:pPr>
      <w:r>
        <w:rPr>
          <w:lang w:val="sr-Latn-RS"/>
        </w:rPr>
        <w:t>RC filter</w:t>
      </w:r>
    </w:p>
    <w:p>
      <w:pPr>
        <w:pStyle w:val="Normal"/>
        <w:ind w:left="360"/>
        <w:rPr>
          <w:lang w:val="sr-Latn-RS"/>
        </w:rPr>
      </w:pPr>
      <w:r>
        <w:rPr/>
        <w:t xml:space="preserve">Pasivni </w:t>
      </w:r>
      <w:r>
        <w:rPr>
          <w:b/>
          <w:bCs/>
        </w:rPr>
        <w:t>RC niskopropusni filter</w:t>
      </w:r>
      <w:r>
        <w:rPr/>
        <w:t xml:space="preserve"> uklanja visokofrekventne smetnje i sprečava aliasing pri digitalizaciji. Filter je postavljen između optokaplera i ADC ulaza.</w:t>
      </w:r>
    </w:p>
    <w:p>
      <w:pPr>
        <w:pStyle w:val="Normal"/>
        <w:ind w:left="360"/>
        <w:rPr>
          <w:lang w:val="sr-Latn-RS"/>
        </w:rPr>
      </w:pPr>
      <w:r>
        <w:rPr>
          <w:b/>
          <w:bCs/>
          <w:lang w:val="sr-Latn-RS"/>
        </w:rPr>
        <w:t>Odabrane komponente</w:t>
      </w:r>
      <w:r>
        <w:rPr>
          <w:lang w:val="sr-Latn-RS"/>
        </w:rPr>
        <w:t>:</w:t>
      </w:r>
    </w:p>
    <w:p>
      <w:pPr>
        <w:pStyle w:val="ListParagraph"/>
        <w:numPr>
          <w:ilvl w:val="0"/>
          <w:numId w:val="8"/>
        </w:numPr>
        <w:rPr>
          <w:lang w:val="sr-Latn-RS"/>
        </w:rPr>
      </w:pPr>
      <w:r>
        <w:rPr>
          <w:lang w:val="sr-Latn-RS"/>
        </w:rPr>
        <w:t>C = 330 nF</w:t>
      </w:r>
    </w:p>
    <w:p>
      <w:pPr>
        <w:pStyle w:val="ListParagraph"/>
        <w:numPr>
          <w:ilvl w:val="0"/>
          <w:numId w:val="8"/>
        </w:numPr>
        <w:rPr>
          <w:lang w:val="sr-Latn-RS"/>
        </w:rPr>
      </w:pPr>
      <w:r>
        <w:rPr>
          <w:lang w:val="sr-Latn-RS"/>
        </w:rPr>
        <w:t>R = 4.7 kΩ</w:t>
      </w:r>
    </w:p>
    <w:p>
      <w:pPr>
        <w:pStyle w:val="Normal"/>
        <w:ind w:left="360"/>
        <w:rPr>
          <w:lang w:val="sr-Latn-RS"/>
        </w:rPr>
      </w:pPr>
      <w:r>
        <w:rPr>
          <w:lang w:val="sr-Latn-RS"/>
        </w:rPr>
        <w:t xml:space="preserve">Detalji proračuna dati su u odeljku </w:t>
      </w:r>
      <w:r>
        <w:rPr>
          <w:i/>
          <w:iCs/>
          <w:lang w:val="sr-Latn-RS"/>
        </w:rPr>
        <w:t>Prilog</w:t>
      </w:r>
      <w:r>
        <w:rPr>
          <w:lang w:val="sr-Latn-RS"/>
        </w:rPr>
        <w:t>.</w:t>
      </w:r>
    </w:p>
    <w:p>
      <w:pPr>
        <w:pStyle w:val="Style6"/>
        <w:numPr>
          <w:ilvl w:val="0"/>
          <w:numId w:val="15"/>
        </w:numPr>
        <w:rPr>
          <w:lang w:val="sr-Latn-RS"/>
        </w:rPr>
      </w:pPr>
      <w:r>
        <w:rPr>
          <w:lang w:val="sr-Latn-RS"/>
        </w:rPr>
        <w:t xml:space="preserve">Senzor </w:t>
      </w:r>
    </w:p>
    <w:p>
      <w:pPr>
        <w:pStyle w:val="Normal"/>
        <w:ind w:left="360"/>
        <w:rPr>
          <w:lang w:val="sr-Latn-RS"/>
        </w:rPr>
      </w:pPr>
      <w:r>
        <w:rPr>
          <w:lang w:val="sr-Latn-RS"/>
        </w:rPr>
        <w:t xml:space="preserve">Svaki </w:t>
      </w:r>
      <w:r>
        <w:rPr>
          <w:i/>
          <w:iCs/>
          <w:lang w:val="sr-Latn-RS"/>
        </w:rPr>
        <w:t>Enepaq</w:t>
      </w:r>
      <w:r>
        <w:rPr>
          <w:lang w:val="sr-Latn-RS"/>
        </w:rPr>
        <w:t xml:space="preserve"> modul ima integrisan temperaturni senzor koji zadovoljava zahteve  pravilnika, uz mogućnost detekcije pregrevanja sa vrlo kratkim odzivnim vremenom. Konstrukcija senzora je takva da je </w:t>
      </w:r>
      <w:r>
        <w:rPr>
          <w:b/>
          <w:bCs/>
          <w:lang w:val="sr-Latn-RS"/>
        </w:rPr>
        <w:t>fizički u kontaktu sa negativnim polom dve susedne ćelije</w:t>
      </w:r>
      <w:r>
        <w:rPr>
          <w:lang w:val="sr-Latn-RS"/>
        </w:rPr>
        <w:t xml:space="preserve">, što omogućava brz prenos toplote i rano otkrivanje tzv. </w:t>
      </w:r>
      <w:r>
        <w:rPr>
          <w:i/>
          <w:iCs/>
          <w:lang w:val="sr-Latn-RS"/>
        </w:rPr>
        <w:t>hot-spot</w:t>
      </w:r>
      <w:r>
        <w:rPr>
          <w:lang w:val="sr-Latn-RS"/>
        </w:rPr>
        <w:t xml:space="preserve"> lokacija. Unutar jednog </w:t>
      </w:r>
      <w:r>
        <w:rPr>
          <w:i/>
          <w:iCs/>
          <w:lang w:val="sr-Latn-RS"/>
        </w:rPr>
        <w:t xml:space="preserve">Enepaq </w:t>
      </w:r>
      <w:r>
        <w:rPr>
          <w:lang w:val="sr-Latn-RS"/>
        </w:rPr>
        <w:t>modula nalaze se 4 senzora. [2]</w:t>
      </w:r>
    </w:p>
    <w:p>
      <w:pPr>
        <w:pStyle w:val="Normal"/>
        <w:ind w:left="360"/>
        <w:rPr>
          <w:lang w:val="sr-Latn-RS"/>
        </w:rPr>
      </w:pPr>
      <w:r>
        <w:rPr>
          <w:lang w:val="sr-Latn-RS"/>
        </w:rPr>
        <w:t xml:space="preserve">Modul koristi inovativnu analognu OR tehniku, kojom se svi temperaturni signali kombinuju tako da se na izlazu prenosi </w:t>
      </w:r>
      <w:r>
        <w:rPr>
          <w:b/>
          <w:bCs/>
          <w:lang w:val="sr-Latn-RS"/>
        </w:rPr>
        <w:t>maksimalna izmerena temperatura</w:t>
      </w:r>
      <w:r>
        <w:rPr>
          <w:lang w:val="sr-Latn-RS"/>
        </w:rPr>
        <w:t xml:space="preserve"> među ćelijama. Time se eliminiše potreba za individualnim merenjem svake ćelije, dok se istovremeno obezbeđuje </w:t>
      </w:r>
      <w:r>
        <w:rPr>
          <w:b/>
          <w:bCs/>
          <w:lang w:val="sr-Latn-RS"/>
        </w:rPr>
        <w:t>praćenje 100 % ćelija</w:t>
      </w:r>
      <w:r>
        <w:rPr>
          <w:lang w:val="sr-Latn-RS"/>
        </w:rPr>
        <w:t xml:space="preserve"> (dok pravilnik zahteva ≥ 30%). U normalnim radnim uslovima </w:t>
      </w:r>
      <w:r>
        <w:rPr>
          <w:b/>
          <w:bCs/>
          <w:lang w:val="sr-Latn-RS"/>
        </w:rPr>
        <w:t>sve ćelije imaju približno istu temperaturu</w:t>
      </w:r>
      <w:r>
        <w:rPr>
          <w:lang w:val="sr-Latn-RS"/>
        </w:rPr>
        <w:t>, pa signal pouzdano odražava stanje modula, dok se u slučaju greške anomalija brzo otkriva. [2]</w:t>
      </w:r>
    </w:p>
    <w:p>
      <w:pPr>
        <w:pStyle w:val="Normal"/>
        <w:ind w:left="360"/>
        <w:rPr>
          <w:lang w:val="sr-Latn-RS"/>
        </w:rPr>
      </w:pPr>
      <w:r>
        <w:rPr>
          <w:lang w:val="sr-Latn-RS"/>
        </w:rPr>
        <w:t xml:space="preserve">Senzor se ponaša kao temperaturno-zavisan šent referentni element — praktično kao </w:t>
      </w:r>
      <w:r>
        <w:rPr>
          <w:b/>
          <w:bCs/>
          <w:lang w:val="sr-Latn-RS"/>
        </w:rPr>
        <w:t>Zener dioda</w:t>
      </w:r>
      <w:r>
        <w:rPr>
          <w:lang w:val="sr-Latn-RS"/>
        </w:rPr>
        <w:t xml:space="preserve"> čiji se pad napona smanjuje sa porastom temperature. Za ispravan rad na naponu ćelija neophodan je </w:t>
      </w:r>
      <w:r>
        <w:rPr>
          <w:b/>
          <w:bCs/>
          <w:lang w:val="sr-Latn-RS"/>
        </w:rPr>
        <w:t>pull-up otpornik od 680 Ω</w:t>
      </w:r>
      <w:r>
        <w:rPr>
          <w:lang w:val="sr-Latn-RS"/>
        </w:rPr>
        <w:t>, čime se formira napon merenja na izlazu modula. Napon senzora je nelinearan, ali je interna kompenzacija omogućila praktično najravniju karakteristiku u opsegu od –40 °C do +120 °C. Vrednosti konverzije su navedene u tabeli proizvođača, dok se za međuvrednosti preporučuje korišćenje linearne interpolacije. [2]</w:t>
      </w:r>
    </w:p>
    <w:p>
      <w:pPr>
        <w:pStyle w:val="Normal"/>
        <w:ind w:left="360"/>
        <w:rPr>
          <w:lang w:val="sr-Latn-RS"/>
        </w:rPr>
      </w:pPr>
      <w:r>
        <w:rPr>
          <w:lang w:val="sr-Latn-RS"/>
        </w:rPr>
        <w:t xml:space="preserve">Nakon izolacije, signal postaje bezbedan za dalju obradu. </w:t>
      </w:r>
    </w:p>
    <w:p>
      <w:pPr>
        <w:pStyle w:val="Normal"/>
        <w:ind w:left="360"/>
        <w:rPr>
          <w:lang w:val="sr-Latn-RS"/>
        </w:rPr>
      </w:pPr>
      <w:r>
        <w:rPr>
          <w:lang w:val="sr-Latn-RS"/>
        </w:rPr>
        <w:t xml:space="preserve">Pogledati </w:t>
      </w:r>
      <w:r>
        <w:rPr>
          <w:i w:val="false"/>
          <w:iCs w:val="false"/>
          <w:lang w:val="sr-Latn-RS"/>
        </w:rPr>
        <w:t>sliku 3.1</w:t>
      </w:r>
      <w:r>
        <w:rPr>
          <w:lang w:val="sr-Latn-RS"/>
        </w:rPr>
        <w:t xml:space="preserve">. </w:t>
      </w:r>
    </w:p>
    <w:p>
      <w:pPr>
        <w:pStyle w:val="Normal"/>
        <w:ind w:left="360"/>
        <w:jc w:val="center"/>
        <w:rPr>
          <w:lang w:val="sr-Latn-RS"/>
        </w:rPr>
      </w:pPr>
      <w: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4488180" cy="2511425"/>
            <wp:effectExtent l="0" t="0" r="0" b="0"/>
            <wp:wrapTopAndBottom/>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4"/>
                    <a:stretch>
                      <a:fillRect/>
                    </a:stretch>
                  </pic:blipFill>
                  <pic:spPr bwMode="auto">
                    <a:xfrm>
                      <a:off x="0" y="0"/>
                      <a:ext cx="4488180" cy="2511425"/>
                    </a:xfrm>
                    <a:prstGeom prst="rect">
                      <a:avLst/>
                    </a:prstGeom>
                  </pic:spPr>
                </pic:pic>
              </a:graphicData>
            </a:graphic>
          </wp:anchor>
        </w:drawing>
      </w:r>
      <w:r>
        <w:rPr/>
        <w:t xml:space="preserve">Slika 3.1 </w:t>
      </w:r>
      <w:r>
        <w:rPr>
          <w:i/>
          <w:iCs/>
        </w:rPr>
        <w:t xml:space="preserve">Enepaq </w:t>
      </w:r>
      <w:r>
        <w:rPr>
          <w:i w:val="false"/>
          <w:iCs w:val="false"/>
        </w:rPr>
        <w:t>modul</w:t>
      </w:r>
    </w:p>
    <w:p>
      <w:pPr>
        <w:pStyle w:val="Normal"/>
        <w:ind w:left="360"/>
        <w:rPr>
          <w:lang w:val="sr-Latn-RS"/>
        </w:rPr>
      </w:pPr>
      <w:r>
        <w:rPr>
          <w:lang w:val="sr-Latn-RS"/>
        </w:rPr>
        <w:t xml:space="preserve">Napomena: </w:t>
      </w:r>
      <w:r>
        <w:rPr>
          <w:lang w:val="sr-Latn-RS"/>
        </w:rPr>
        <w:t>Slika</w:t>
      </w:r>
      <w:r>
        <w:rPr>
          <w:i/>
          <w:iCs/>
          <w:lang w:val="sr-Latn-RS"/>
        </w:rPr>
        <w:t xml:space="preserve"> </w:t>
      </w:r>
      <w:r>
        <w:rPr>
          <w:i w:val="false"/>
          <w:iCs w:val="false"/>
          <w:lang w:val="sr-Latn-RS"/>
        </w:rPr>
        <w:t>3</w:t>
      </w:r>
      <w:r>
        <w:rPr>
          <w:i w:val="false"/>
          <w:iCs w:val="false"/>
          <w:lang w:val="sr-Latn-RS"/>
        </w:rPr>
        <w:t>.1</w:t>
      </w:r>
      <w:r>
        <w:rPr>
          <w:lang w:val="sr-Latn-RS"/>
        </w:rPr>
        <w:t xml:space="preserve"> prikazuje </w:t>
      </w:r>
      <w:r>
        <w:rPr>
          <w:i/>
          <w:iCs/>
          <w:lang w:val="sr-Latn-RS"/>
        </w:rPr>
        <w:t>Enepaq 1s10p model</w:t>
      </w:r>
      <w:r>
        <w:rPr>
          <w:lang w:val="sr-Latn-RS"/>
        </w:rPr>
        <w:t>, koji ne koristi naš sistem. No, raspored ćelija je drugačiji, ali princip merenje temperature je isti.</w:t>
      </w:r>
    </w:p>
    <w:p>
      <w:pPr>
        <w:pStyle w:val="Style6"/>
        <w:numPr>
          <w:ilvl w:val="0"/>
          <w:numId w:val="15"/>
        </w:numPr>
        <w:rPr>
          <w:lang w:val="sr-Latn-RS"/>
        </w:rPr>
      </w:pPr>
      <w:r>
        <w:rPr>
          <w:lang w:val="sr-Latn-RS"/>
        </w:rPr>
        <w:t>Napajanje</w:t>
      </w:r>
    </w:p>
    <w:p>
      <w:pPr>
        <w:pStyle w:val="ListParagraph"/>
        <w:numPr>
          <w:ilvl w:val="0"/>
          <w:numId w:val="17"/>
        </w:numPr>
        <w:rPr>
          <w:lang w:val="sr-Latn-RS"/>
        </w:rPr>
      </w:pPr>
      <w:r>
        <w:rPr>
          <w:lang w:val="sr-Latn-RS"/>
        </w:rPr>
        <w:t>Digitalna strana:</w:t>
      </w:r>
    </w:p>
    <w:p>
      <w:pPr>
        <w:pStyle w:val="ListParagraph"/>
        <w:numPr>
          <w:ilvl w:val="1"/>
          <w:numId w:val="17"/>
        </w:numPr>
        <w:rPr>
          <w:lang w:val="sr-Latn-RS"/>
        </w:rPr>
      </w:pPr>
      <w:r>
        <w:rPr>
          <w:lang w:val="sr-Latn-RS"/>
        </w:rPr>
        <w:t>LDO za spuštanje napona sa 12 V na 3.3 V.</w:t>
      </w:r>
    </w:p>
    <w:p>
      <w:pPr>
        <w:pStyle w:val="ListParagraph"/>
        <w:numPr>
          <w:ilvl w:val="2"/>
          <w:numId w:val="17"/>
        </w:numPr>
        <w:rPr>
          <w:lang w:val="sr-Latn-RS"/>
        </w:rPr>
      </w:pPr>
      <w:r>
        <w:rPr>
          <w:lang w:val="sr-Latn-RS"/>
        </w:rPr>
        <w:t>Izabran je AMS1117.</w:t>
      </w:r>
    </w:p>
    <w:p>
      <w:pPr>
        <w:pStyle w:val="ListParagraph"/>
        <w:numPr>
          <w:ilvl w:val="0"/>
          <w:numId w:val="17"/>
        </w:numPr>
        <w:rPr>
          <w:lang w:val="sr-Latn-RS"/>
        </w:rPr>
      </w:pPr>
      <w:r>
        <w:rPr>
          <w:lang w:val="sr-Latn-RS"/>
        </w:rPr>
        <w:t>Napajanje ADC-a:</w:t>
      </w:r>
    </w:p>
    <w:p>
      <w:pPr>
        <w:pStyle w:val="ListParagraph"/>
        <w:numPr>
          <w:ilvl w:val="1"/>
          <w:numId w:val="17"/>
        </w:numPr>
        <w:rPr>
          <w:lang w:val="sr-Latn-RS"/>
        </w:rPr>
      </w:pPr>
      <w:r>
        <w:rPr>
          <w:lang w:val="sr-Latn-RS"/>
        </w:rPr>
        <w:t>LDO za spuštanje napona sa 12 V na 5 V.</w:t>
      </w:r>
    </w:p>
    <w:p>
      <w:pPr>
        <w:pStyle w:val="ListParagraph"/>
        <w:numPr>
          <w:ilvl w:val="1"/>
          <w:numId w:val="17"/>
        </w:numPr>
        <w:rPr>
          <w:lang w:val="sr-Latn-RS"/>
        </w:rPr>
      </w:pPr>
      <w:r>
        <w:rPr>
          <w:lang w:val="sr-Latn-RS"/>
        </w:rPr>
        <w:t>Izolacioni DC/DC za spuštanje napona sa 5 V na izolovanih 3.3 V</w:t>
      </w:r>
    </w:p>
    <w:p>
      <w:pPr>
        <w:pStyle w:val="ListParagraph"/>
        <w:numPr>
          <w:ilvl w:val="2"/>
          <w:numId w:val="17"/>
        </w:numPr>
        <w:rPr>
          <w:lang w:val="sr-Latn-RS"/>
        </w:rPr>
      </w:pPr>
      <w:r>
        <w:rPr>
          <w:lang w:val="sr-Latn-RS"/>
        </w:rPr>
        <w:t>Izabran je UCC1204DVE.</w:t>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Style6"/>
        <w:numPr>
          <w:ilvl w:val="1"/>
          <w:numId w:val="1"/>
        </w:numPr>
        <w:rPr>
          <w:lang w:val="sr-Latn-RS"/>
        </w:rPr>
      </w:pPr>
      <w:r>
        <w:rPr>
          <w:lang w:val="sr-Latn-RS"/>
        </w:rPr>
        <w:t>Električna šema i PCB</w:t>
      </w:r>
    </w:p>
    <w:p>
      <w:pPr>
        <w:pStyle w:val="Normal"/>
        <w:rPr>
          <w:b/>
          <w:bCs/>
        </w:rPr>
      </w:pPr>
      <w:r>
        <w:rPr>
          <w:b/>
          <w:bCs/>
        </w:rPr>
        <w:t>Šema je koncipirana tako da je podeljen u 3 fajla:</w:t>
      </w:r>
    </w:p>
    <w:p>
      <w:pPr>
        <w:pStyle w:val="ListParagraph"/>
        <w:numPr>
          <w:ilvl w:val="0"/>
          <w:numId w:val="9"/>
        </w:numPr>
        <w:rPr/>
      </w:pPr>
      <w:r>
        <w:rPr>
          <w:i/>
          <w:iCs/>
        </w:rPr>
        <w:t xml:space="preserve">root </w:t>
      </w:r>
      <w:r>
        <w:rPr>
          <w:i w:val="false"/>
          <w:iCs w:val="false"/>
        </w:rPr>
        <w:t>-</w:t>
      </w:r>
      <w:r>
        <w:rPr/>
        <w:t xml:space="preserve"> Power Supply and SPI Interface </w:t>
      </w:r>
    </w:p>
    <w:p>
      <w:pPr>
        <w:pStyle w:val="ListParagraph"/>
        <w:numPr>
          <w:ilvl w:val="1"/>
          <w:numId w:val="9"/>
        </w:numPr>
        <w:rPr/>
      </w:pPr>
      <w:r>
        <w:rPr>
          <w:i/>
          <w:iCs/>
        </w:rPr>
        <w:t xml:space="preserve">mcu_can </w:t>
      </w:r>
      <w:r>
        <w:rPr>
          <w:i w:val="false"/>
          <w:iCs w:val="false"/>
        </w:rPr>
        <w:t xml:space="preserve">- </w:t>
      </w:r>
      <w:bookmarkStart w:id="3" w:name="_Hlk215160581"/>
      <w:r>
        <w:rPr/>
        <w:t>Data Processing &amp; CAN Interface</w:t>
      </w:r>
      <w:bookmarkEnd w:id="3"/>
    </w:p>
    <w:p>
      <w:pPr>
        <w:pStyle w:val="ListParagraph"/>
        <w:numPr>
          <w:ilvl w:val="1"/>
          <w:numId w:val="9"/>
        </w:numPr>
        <w:rPr/>
      </w:pPr>
      <w:r>
        <w:rPr>
          <w:i/>
          <w:iCs/>
        </w:rPr>
        <w:t xml:space="preserve">adc_rc </w:t>
      </w:r>
      <w:r>
        <w:rPr>
          <w:i w:val="false"/>
          <w:iCs w:val="false"/>
        </w:rPr>
        <w:t xml:space="preserve">- </w:t>
      </w:r>
      <w:r>
        <w:rPr/>
        <w:t>Signal Conditioning (RC filter + ADC)</w:t>
      </w:r>
    </w:p>
    <w:p>
      <w:pPr>
        <w:pStyle w:val="Normal"/>
        <w:jc w:val="center"/>
        <w:rPr/>
      </w:pPr>
      <w:r>
        <w:drawing>
          <wp:anchor behindDoc="0" distT="0" distB="0" distL="0" distR="0" simplePos="0" locked="0" layoutInCell="0" allowOverlap="1" relativeHeight="72">
            <wp:simplePos x="0" y="0"/>
            <wp:positionH relativeFrom="column">
              <wp:posOffset>705485</wp:posOffset>
            </wp:positionH>
            <wp:positionV relativeFrom="paragraph">
              <wp:posOffset>63500</wp:posOffset>
            </wp:positionV>
            <wp:extent cx="5217795" cy="6110605"/>
            <wp:effectExtent l="0" t="0" r="0" b="0"/>
            <wp:wrapTopAndBottom/>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5"/>
                    <a:stretch>
                      <a:fillRect/>
                    </a:stretch>
                  </pic:blipFill>
                  <pic:spPr bwMode="auto">
                    <a:xfrm>
                      <a:off x="0" y="0"/>
                      <a:ext cx="5217795" cy="6110605"/>
                    </a:xfrm>
                    <a:prstGeom prst="rect">
                      <a:avLst/>
                    </a:prstGeom>
                  </pic:spPr>
                </pic:pic>
              </a:graphicData>
            </a:graphic>
          </wp:anchor>
        </w:drawing>
      </w:r>
      <w:r>
        <w:rPr/>
        <w:t xml:space="preserve">3.2 </w:t>
      </w:r>
      <w:r>
        <w:rPr>
          <w:i/>
          <w:iCs/>
        </w:rPr>
        <w:t xml:space="preserve">root </w:t>
      </w:r>
      <w:r>
        <w:rPr>
          <w:i w:val="false"/>
          <w:iCs w:val="false"/>
        </w:rPr>
        <w:t xml:space="preserve">- </w:t>
      </w:r>
      <w:r>
        <w:rPr>
          <w:b w:val="false"/>
          <w:bCs w:val="false"/>
          <w:color w:val="000000"/>
        </w:rPr>
        <w:t>Power Supply &amp; SPI Interface</w:t>
      </w:r>
    </w:p>
    <w:p>
      <w:pPr>
        <w:pStyle w:val="BodyText"/>
        <w:jc w:val="both"/>
        <w:rPr/>
      </w:pPr>
      <w:r>
        <w:rPr>
          <w:rStyle w:val="Strong"/>
          <w:color w:val="000000"/>
        </w:rPr>
        <w:t>GND</w:t>
      </w:r>
      <w:r>
        <w:rPr>
          <w:b w:val="false"/>
          <w:bCs w:val="false"/>
          <w:color w:val="000000"/>
        </w:rPr>
        <w:t xml:space="preserve"> je uzemljenje niskonaponskog (LV) sistema vozila , dok </w:t>
      </w:r>
      <w:r>
        <w:rPr>
          <w:rStyle w:val="Strong"/>
          <w:color w:val="000000"/>
        </w:rPr>
        <w:t>GND_ISO</w:t>
      </w:r>
      <w:r>
        <w:rPr>
          <w:b w:val="false"/>
          <w:bCs w:val="false"/>
          <w:color w:val="000000"/>
        </w:rPr>
        <w:t xml:space="preserve"> </w:t>
      </w:r>
      <w:r>
        <w:rPr>
          <w:b w:val="false"/>
          <w:bCs w:val="false"/>
          <w:color w:val="000000"/>
        </w:rPr>
        <w:t>predstavlja</w:t>
      </w:r>
      <w:r>
        <w:rPr>
          <w:b w:val="false"/>
          <w:bCs w:val="false"/>
          <w:color w:val="000000"/>
        </w:rPr>
        <w:t xml:space="preserve"> uzemljenje izolovane strane, fizički povezano na minus pol baterijskog paketa (HV strana), galvanski odvojeno od LV sistema putem izolacionih barijera (digitalni izolator XISO6463DWR i izolovani DC/DC konverter UCC1204DVE).</w:t>
      </w:r>
    </w:p>
    <w:p>
      <w:pPr>
        <w:pStyle w:val="Normal"/>
        <w:jc w:val="center"/>
        <w:rPr>
          <w:b w:val="false"/>
          <w:bCs w:val="false"/>
          <w:color w:val="000000"/>
        </w:rPr>
      </w:pPr>
      <w: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6645910" cy="4459605"/>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6"/>
                    <a:stretch>
                      <a:fillRect/>
                    </a:stretch>
                  </pic:blipFill>
                  <pic:spPr bwMode="auto">
                    <a:xfrm>
                      <a:off x="0" y="0"/>
                      <a:ext cx="6645910" cy="4459605"/>
                    </a:xfrm>
                    <a:prstGeom prst="rect">
                      <a:avLst/>
                    </a:prstGeom>
                  </pic:spPr>
                </pic:pic>
              </a:graphicData>
            </a:graphic>
          </wp:anchor>
        </w:drawing>
      </w:r>
      <w:r>
        <w:rPr>
          <w:b w:val="false"/>
          <w:bCs w:val="false"/>
          <w:color w:val="000000"/>
        </w:rPr>
        <w:t xml:space="preserve">Slika 3.2 </w:t>
      </w:r>
      <w:r>
        <w:rPr>
          <w:b w:val="false"/>
          <w:bCs w:val="false"/>
          <w:i/>
          <w:iCs/>
          <w:color w:val="000000"/>
        </w:rPr>
        <w:t xml:space="preserve">mcu_can - </w:t>
      </w:r>
      <w:r>
        <w:rPr>
          <w:b w:val="false"/>
          <w:bCs w:val="false"/>
          <w:color w:val="000000"/>
        </w:rPr>
        <w:t>Data Processing &amp; CAN Interface</w:t>
      </w:r>
    </w:p>
    <w:p>
      <w:pPr>
        <w:pStyle w:val="ListParagraph"/>
        <w:numPr>
          <w:ilvl w:val="0"/>
          <w:numId w:val="10"/>
        </w:numPr>
        <w:rPr>
          <w:color w:val="000000"/>
        </w:rPr>
      </w:pPr>
      <w:r>
        <w:rPr>
          <w:b/>
          <w:bCs/>
          <w:color w:val="000000"/>
        </w:rPr>
        <w:t>Napajanje</w:t>
      </w:r>
    </w:p>
    <w:p>
      <w:pPr>
        <w:pStyle w:val="Normal"/>
        <w:rPr>
          <w:color w:val="000000"/>
        </w:rPr>
      </w:pPr>
      <w:r>
        <w:rPr>
          <w:color w:val="000000"/>
        </w:rPr>
        <w:t xml:space="preserve">Kada mikrokontroler brzo menja stanja i zahteva nagle promene struje, struja ne može dovoljno brzo da stigne preko dužih vodova i kablova zbog induktivnosti. Zato svaki VDD i VBAT pin treba da ima po jedan </w:t>
      </w:r>
      <w:r>
        <w:rPr>
          <w:i/>
          <w:iCs/>
          <w:color w:val="000000"/>
        </w:rPr>
        <w:t>decoupling</w:t>
      </w:r>
      <w:r>
        <w:rPr>
          <w:color w:val="000000"/>
        </w:rPr>
        <w:t xml:space="preserve"> kondenzator od 100 nF, postavljen što bliže pinu, kako bi se obezbedile male lokalne rezerve energije. Osim toga, dobra praksa je dodati i jedan </w:t>
      </w:r>
      <w:r>
        <w:rPr>
          <w:i/>
          <w:iCs/>
          <w:color w:val="000000"/>
        </w:rPr>
        <w:t>bulk</w:t>
      </w:r>
      <w:r>
        <w:rPr>
          <w:color w:val="000000"/>
        </w:rPr>
        <w:t xml:space="preserve"> kondenzator od oko 10 µF, blizu samog integrisanog kola, koji služi za dodatno stabilizovanje napajanja. [7]</w:t>
      </w:r>
    </w:p>
    <w:p>
      <w:pPr>
        <w:pStyle w:val="Normal"/>
        <w:rPr>
          <w:color w:val="000000"/>
        </w:rPr>
      </w:pPr>
      <w:r>
        <w:rPr>
          <w:color w:val="000000"/>
        </w:rPr>
        <w:t xml:space="preserve">VDDA pin služi za analogni deo mikrokontrolera. </w:t>
      </w:r>
      <w:r>
        <w:rPr>
          <w:b/>
          <w:bCs/>
          <w:color w:val="000000"/>
        </w:rPr>
        <w:t>Analogno napajanje</w:t>
      </w:r>
      <w:r>
        <w:rPr>
          <w:color w:val="000000"/>
        </w:rPr>
        <w:t xml:space="preserve"> je osetljivije na smetnje, pa je dobra praksa da se dodatno filtrira. Postavljaju se dva kondenzatora paralelno: jedan od 10 nF i jedan od 1 µF, prema preporuci STMicroelectronics. Da bi se analogno odvojilo od </w:t>
      </w:r>
      <w:r>
        <w:rPr>
          <w:b/>
          <w:bCs/>
          <w:color w:val="000000"/>
        </w:rPr>
        <w:t>digitalnog napajanja</w:t>
      </w:r>
      <w:r>
        <w:rPr>
          <w:color w:val="000000"/>
        </w:rPr>
        <w:t>, koristi se feritna perla vrednosti oko 120 Ω na 100 MHz. Na strani VDDA pina se dodaje i još jedan kondenzator od 1 µF kao kao filter za stabilizaciju napona. [7]</w:t>
      </w:r>
    </w:p>
    <w:p>
      <w:pPr>
        <w:pStyle w:val="Normal"/>
        <w:rPr>
          <w:color w:val="000000"/>
        </w:rPr>
      </w:pPr>
      <w:r>
        <w:rPr>
          <w:color w:val="000000"/>
          <w:lang w:val="sr-Latn-RS"/>
        </w:rPr>
        <w:t xml:space="preserve">Sistem se napaja nominalnim naponom od 12 V </w:t>
      </w:r>
      <w:r>
        <w:rPr>
          <w:color w:val="000000"/>
          <w:lang w:val="sr-Latn-RS"/>
        </w:rPr>
        <w:t>sa LV baterije. Stabilnih 3.3V za napajanje MCU i CAN transivera dobija se sa LDO</w:t>
      </w:r>
      <w:r>
        <w:rPr>
          <w:i w:val="false"/>
          <w:iCs w:val="false"/>
          <w:color w:val="000000"/>
          <w:lang w:val="sr-Latn-RS"/>
        </w:rPr>
        <w:t xml:space="preserve"> LM1117-Q1.</w:t>
      </w:r>
      <w:r>
        <w:rPr>
          <w:i w:val="false"/>
          <w:iCs w:val="false"/>
          <w:color w:val="000000"/>
          <w:lang w:val="sr-Latn-RS"/>
        </w:rPr>
        <w:t xml:space="preserve"> </w:t>
      </w:r>
    </w:p>
    <w:p>
      <w:pPr>
        <w:pStyle w:val="ListParagraph"/>
        <w:numPr>
          <w:ilvl w:val="0"/>
          <w:numId w:val="10"/>
        </w:numPr>
        <w:rPr>
          <w:color w:val="000000"/>
        </w:rPr>
      </w:pPr>
      <w:r>
        <w:rPr>
          <w:b/>
          <w:bCs/>
          <w:color w:val="000000"/>
        </w:rPr>
        <w:t>NRST pin</w:t>
      </w:r>
    </w:p>
    <w:p>
      <w:pPr>
        <w:pStyle w:val="Normal"/>
        <w:rPr>
          <w:color w:val="000000"/>
        </w:rPr>
      </w:pPr>
      <w:r>
        <w:rPr>
          <w:color w:val="000000"/>
        </w:rPr>
        <w:t xml:space="preserve">Ovaj mikrokontroler se pri uključenju napajanja podiže i pokreće kako očekujemo, ali ima i pin za resetovanje koji nosi oznaku NRST, gde slovo „N“ znači da je logika invertovana — reset se aktivira kada je ovaj pin povučen GND. U normalnom radu, NRST pin treba da bude na visokom nivou (3.3 V) da bi mikrokontroler nastavio sa izvršavanjem programa koji je u njega učitan. Kako NRST pin već ima ugrađen unutrašnji pull-up otpornik, može ostati neobezbeđen. Međutim, dobra praksa je da se na ovaj pin poveže mali kondenzator, oko 100 nF, ka masi. Taj kondenzator služi kao filter koji sprečava da kratkotrajne smetnje ili šum izazovu neželjeno resetovanje mikrokontrolera. [7] </w:t>
      </w:r>
      <w:r>
        <w:rPr>
          <w:color w:val="000000"/>
        </w:rPr>
        <w:t>Sem toga, dodaje se taster ka masi kako bi se omogućio ručni reset.</w:t>
      </w:r>
    </w:p>
    <w:p>
      <w:pPr>
        <w:pStyle w:val="ListParagraph"/>
        <w:numPr>
          <w:ilvl w:val="0"/>
          <w:numId w:val="10"/>
        </w:numPr>
        <w:rPr>
          <w:color w:val="000000"/>
        </w:rPr>
      </w:pPr>
      <w:r>
        <w:rPr>
          <w:b/>
          <w:bCs/>
          <w:color w:val="000000"/>
        </w:rPr>
        <w:t>BOOT0 pin i režim programiranja</w:t>
      </w:r>
    </w:p>
    <w:p>
      <w:pPr>
        <w:pStyle w:val="Normal"/>
        <w:rPr>
          <w:color w:val="000000"/>
        </w:rPr>
      </w:pPr>
      <w:r>
        <w:rPr>
          <w:color w:val="000000"/>
        </w:rPr>
        <w:t>BOOT0 pin određuje način pokretanja mikrokontrolera pri uključenju napajanja. Kada je BOOT0 na niskom nivou, mikrokontroler se pokreće iz interne fleš memorije i izvršava korisnički program. Kada je BOOT0 na visokom nivou, mikrokontroler ulazi u sistemski bootloader režim, namenjen programiranju putem interfejsa kao što su UART, USB ili I2C.</w:t>
      </w:r>
    </w:p>
    <w:p>
      <w:pPr>
        <w:pStyle w:val="Normal"/>
        <w:rPr>
          <w:color w:val="000000"/>
        </w:rPr>
      </w:pPr>
      <w:r>
        <w:rPr>
          <w:color w:val="000000"/>
        </w:rPr>
        <w:t xml:space="preserve">U ovom sistemu programiranje i debagovanje mikrokontrolera realizuje se </w:t>
      </w:r>
      <w:r>
        <w:rPr>
          <w:b/>
          <w:bCs/>
          <w:color w:val="000000"/>
        </w:rPr>
        <w:t>isključivo preko Serial Wire Debug (SWD) interfejsa</w:t>
      </w:r>
      <w:r>
        <w:rPr>
          <w:color w:val="000000"/>
        </w:rPr>
        <w:t xml:space="preserve">, korišćenjem ST-Link alata. Zbog toga </w:t>
      </w:r>
      <w:r>
        <w:rPr>
          <w:b/>
          <w:bCs/>
          <w:color w:val="000000"/>
        </w:rPr>
        <w:t>nije predviđeno korišćenje sistemskog bootloadera</w:t>
      </w:r>
      <w:r>
        <w:rPr>
          <w:color w:val="000000"/>
        </w:rPr>
        <w:t>, te BOOT0 pin nema aktivnu ulogu tokom rada ili programiranja sistema.</w:t>
      </w:r>
    </w:p>
    <w:p>
      <w:pPr>
        <w:pStyle w:val="Normal"/>
        <w:rPr>
          <w:color w:val="000000"/>
        </w:rPr>
      </w:pPr>
      <w:r>
        <w:rPr>
          <w:color w:val="000000"/>
        </w:rPr>
        <w:t>BOOT0 je stoga trajno povučen na masu (GND) preko pull-down otpornika vrednosti 10 kΩ, čime se obezbeđuje pouzdano i determinističko pokretanje mikrokontrolera iz fleš memorije pri svakom uključenju napajanja. Na ovaj način se eliminiše mogućnost nenamernog ulaska u bootloader režim, što je posebno važno za pouzdan rad sistema u uslovima vibracija i elektromagnetnih smetnji prisutnih u vozilu.</w:t>
      </w:r>
    </w:p>
    <w:p>
      <w:pPr>
        <w:pStyle w:val="Normal"/>
        <w:rPr>
          <w:color w:val="000000"/>
        </w:rPr>
      </w:pPr>
      <w:r>
        <w:rPr>
          <w:color w:val="000000"/>
          <w:lang w:val="sr-Latn-RS"/>
        </w:rPr>
        <w:t>Programiranje i debagovanje STM32 mikrokontrolera obavlja se pomoću ST-Link programatora, koji se sa jedne strane povezuje na računar putem USB interfejsa, a sa druge strane na MCU preko SWD linija. [7]</w:t>
      </w:r>
    </w:p>
    <w:p>
      <w:pPr>
        <w:pStyle w:val="ListParagraph"/>
        <w:numPr>
          <w:ilvl w:val="0"/>
          <w:numId w:val="10"/>
        </w:numPr>
        <w:rPr>
          <w:color w:val="000000"/>
        </w:rPr>
      </w:pPr>
      <w:r>
        <w:rPr>
          <w:b/>
          <w:bCs/>
          <w:color w:val="000000"/>
        </w:rPr>
        <w:t>Kristalni oscilator</w:t>
      </w:r>
    </w:p>
    <w:p>
      <w:pPr>
        <w:pStyle w:val="Normal"/>
        <w:rPr>
          <w:color w:val="000000"/>
        </w:rPr>
      </w:pPr>
      <w:r>
        <w:rPr>
          <w:color w:val="000000"/>
        </w:rPr>
        <w:t xml:space="preserve">Iako ovaj mikrokontroler ima unutrašnji kristalni oscilator, on nije baš precizan, pa je zato dodat </w:t>
      </w:r>
      <w:r>
        <w:rPr>
          <w:b/>
          <w:bCs/>
          <w:color w:val="000000"/>
        </w:rPr>
        <w:t>spoljašnji kristal</w:t>
      </w:r>
      <w:r>
        <w:rPr>
          <w:color w:val="000000"/>
        </w:rPr>
        <w:t xml:space="preserve"> za bolje vremensko merenje. [7]</w:t>
      </w:r>
    </w:p>
    <w:p>
      <w:pPr>
        <w:pStyle w:val="Normal"/>
        <w:rPr>
          <w:color w:val="000000"/>
        </w:rPr>
      </w:pPr>
      <w:r>
        <w:rPr>
          <w:color w:val="000000"/>
        </w:rPr>
        <w:t xml:space="preserve">Unutar mikrokontrolera je inverter sa povratnim otpornikom koji formira oscilatorno kolo. Spoljni kristal služi kao rezonator, ali ima neželjene kapacitivnosti nastale usled trasa na ploči i samog kristala, koju ne možemo potpuno kontrolisati. Zbog toga se koriste dva opterećujuća kondenzatora, po jedan sa svake strane kristala prema masi, koji stabilizuju i preciziraju frekvenciju oscilatora. Vrednost ovih kondenzatora mora odgovarati opterećujućoj kapacitivnosti kristala iz dokumentacije. Na primer, za 16 MHz kristal sa opterećujućom kapacitivnošću od 10 pF i neželjenom kapacitivnošću od oko 5 pF, kondenzatori se računaju kao: </w:t>
      </w:r>
      <w:r>
        <w:rPr>
          <w:color w:val="000000"/>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opterećujuće</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neželjeno</m:t>
            </m:r>
          </m:sub>
        </m:sSub>
        <m:r>
          <w:rPr>
            <w:rFonts w:ascii="Cambria Math" w:hAnsi="Cambria Math"/>
          </w:rPr>
          <m:t xml:space="preserve">)</m:t>
        </m:r>
      </m:oMath>
      <w:r>
        <w:rPr>
          <w:color w:val="000000"/>
        </w:rPr>
        <w:t>≈10 pF. [7]</w:t>
      </w:r>
    </w:p>
    <w:p>
      <w:pPr>
        <w:pStyle w:val="ListParagraph"/>
        <w:numPr>
          <w:ilvl w:val="0"/>
          <w:numId w:val="10"/>
        </w:numPr>
        <w:rPr>
          <w:color w:val="000000"/>
        </w:rPr>
      </w:pPr>
      <w:r>
        <w:rPr>
          <w:b/>
          <w:bCs/>
          <w:color w:val="000000"/>
        </w:rPr>
        <w:t>CAN transiver</w:t>
      </w:r>
    </w:p>
    <w:p>
      <w:pPr>
        <w:pStyle w:val="Normal"/>
        <w:rPr>
          <w:color w:val="000000"/>
        </w:rPr>
      </w:pPr>
      <w:r>
        <w:rPr>
          <w:color w:val="000000"/>
        </w:rPr>
        <w:t xml:space="preserve">Uz VCC se postavlja </w:t>
      </w:r>
      <w:r>
        <w:rPr>
          <w:i/>
          <w:iCs/>
          <w:color w:val="000000"/>
        </w:rPr>
        <w:t>decoupling</w:t>
      </w:r>
      <w:r>
        <w:rPr>
          <w:color w:val="000000"/>
        </w:rPr>
        <w:t xml:space="preserve"> kondenzator od 100 nF ka GND, što bliže pinovima, radi filtriranja šuma i stabilizacije napajanja.  [5]</w:t>
      </w:r>
    </w:p>
    <w:p>
      <w:pPr>
        <w:pStyle w:val="Normal"/>
        <w:rPr>
          <w:color w:val="000000"/>
        </w:rPr>
      </w:pPr>
      <w:r>
        <w:rPr>
          <w:b/>
          <w:bCs/>
          <w:color w:val="000000"/>
        </w:rPr>
        <w:t>Terminacija CAN magistrale</w:t>
      </w:r>
      <w:r>
        <w:rPr>
          <w:color w:val="000000"/>
        </w:rPr>
        <w:t xml:space="preserve"> je rešena otpornikom od 120 Ω sa </w:t>
      </w:r>
      <w:r>
        <w:rPr>
          <w:b/>
          <w:bCs/>
          <w:color w:val="000000"/>
        </w:rPr>
        <w:t>serijskim džamperom</w:t>
      </w:r>
      <w:r>
        <w:rPr>
          <w:color w:val="000000"/>
        </w:rPr>
        <w:t>, pri čemu je on zatvoren samo na prvoj i poslednjoj pločici, a na ostalima otvoren.</w:t>
      </w:r>
    </w:p>
    <w:p>
      <w:pPr>
        <w:pStyle w:val="Normal"/>
        <w:jc w:val="center"/>
        <w:rPr/>
      </w:pPr>
      <w:r>
        <w:drawing>
          <wp:anchor behindDoc="0" distT="0" distB="0" distL="0" distR="0" simplePos="0" locked="0" layoutInCell="0" allowOverlap="1" relativeHeight="74">
            <wp:simplePos x="0" y="0"/>
            <wp:positionH relativeFrom="column">
              <wp:align>center</wp:align>
            </wp:positionH>
            <wp:positionV relativeFrom="paragraph">
              <wp:posOffset>635</wp:posOffset>
            </wp:positionV>
            <wp:extent cx="6645910" cy="5159375"/>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7"/>
                    <a:stretch>
                      <a:fillRect/>
                    </a:stretch>
                  </pic:blipFill>
                  <pic:spPr bwMode="auto">
                    <a:xfrm>
                      <a:off x="0" y="0"/>
                      <a:ext cx="6645910" cy="5159375"/>
                    </a:xfrm>
                    <a:prstGeom prst="rect">
                      <a:avLst/>
                    </a:prstGeom>
                  </pic:spPr>
                </pic:pic>
              </a:graphicData>
            </a:graphic>
          </wp:anchor>
        </w:drawing>
      </w:r>
      <w:r>
        <w:rPr>
          <w:b w:val="false"/>
          <w:bCs w:val="false"/>
          <w:color w:val="000000"/>
        </w:rPr>
        <w:t xml:space="preserve">Slika 3.3 </w:t>
      </w:r>
      <w:r>
        <w:rPr>
          <w:b w:val="false"/>
          <w:bCs w:val="false"/>
          <w:i/>
          <w:iCs/>
          <w:color w:val="000000"/>
        </w:rPr>
        <w:t>adc_rc</w:t>
      </w:r>
      <w:r>
        <w:rPr>
          <w:b w:val="false"/>
          <w:bCs w:val="false"/>
          <w:i w:val="false"/>
          <w:iCs w:val="false"/>
          <w:color w:val="000000"/>
        </w:rPr>
        <w:t xml:space="preserve"> -</w:t>
      </w:r>
      <w:r>
        <w:rPr>
          <w:b w:val="false"/>
          <w:bCs w:val="false"/>
          <w:i w:val="false"/>
          <w:iCs w:val="false"/>
          <w:color w:val="000000"/>
        </w:rPr>
        <w:t>Signal</w:t>
      </w:r>
      <w:r>
        <w:rPr>
          <w:b w:val="false"/>
          <w:bCs w:val="false"/>
          <w:color w:val="000000"/>
        </w:rPr>
        <w:t xml:space="preserve"> Conditioning </w:t>
      </w:r>
    </w:p>
    <w:p>
      <w:pPr>
        <w:pStyle w:val="ListParagraph"/>
        <w:numPr>
          <w:ilvl w:val="0"/>
          <w:numId w:val="10"/>
        </w:numPr>
        <w:rPr>
          <w:color w:val="000000"/>
        </w:rPr>
      </w:pPr>
      <w:r>
        <w:rPr>
          <w:b/>
          <w:bCs/>
          <w:color w:val="000000"/>
        </w:rPr>
        <w:t>Napajanje</w:t>
      </w:r>
    </w:p>
    <w:p>
      <w:pPr>
        <w:pStyle w:val="Normal"/>
        <w:rPr>
          <w:color w:val="000000"/>
        </w:rPr>
      </w:pPr>
      <w:r>
        <w:rPr>
          <w:color w:val="000000"/>
        </w:rPr>
        <w:t xml:space="preserve">ADS114S08B može da radi i sa unipolarnim i sa bipolarnim napajanjem. No, u ovom sistemu se koristi uniopolarno od 0 do 3.3 V i to: </w:t>
      </w:r>
    </w:p>
    <w:p>
      <w:pPr>
        <w:pStyle w:val="ListParagraph"/>
        <w:numPr>
          <w:ilvl w:val="0"/>
          <w:numId w:val="11"/>
        </w:numPr>
        <w:rPr>
          <w:color w:val="000000"/>
        </w:rPr>
      </w:pPr>
      <w:r>
        <w:rPr>
          <w:color w:val="000000"/>
        </w:rPr>
        <w:t>analogno (AVDD, AVSS),</w:t>
      </w:r>
    </w:p>
    <w:p>
      <w:pPr>
        <w:pStyle w:val="ListParagraph"/>
        <w:numPr>
          <w:ilvl w:val="0"/>
          <w:numId w:val="11"/>
        </w:numPr>
        <w:rPr>
          <w:color w:val="000000"/>
        </w:rPr>
      </w:pPr>
      <w:r>
        <w:rPr>
          <w:color w:val="000000"/>
        </w:rPr>
        <w:t xml:space="preserve">digitalno (DVDD, DGND) i </w:t>
      </w:r>
    </w:p>
    <w:p>
      <w:pPr>
        <w:pStyle w:val="ListParagraph"/>
        <w:numPr>
          <w:ilvl w:val="0"/>
          <w:numId w:val="11"/>
        </w:numPr>
        <w:rPr>
          <w:color w:val="000000"/>
        </w:rPr>
      </w:pPr>
      <w:r>
        <w:rPr>
          <w:color w:val="000000"/>
        </w:rPr>
        <w:t xml:space="preserve">napajanje digitalnog I/O interfejsa (IOVDD, DGND). </w:t>
      </w:r>
    </w:p>
    <w:p>
      <w:pPr>
        <w:pStyle w:val="Normal"/>
        <w:rPr>
          <w:color w:val="000000"/>
        </w:rPr>
      </w:pPr>
      <w:r>
        <w:rPr>
          <w:b w:val="false"/>
          <w:bCs w:val="false"/>
          <w:color w:val="000000"/>
        </w:rPr>
        <w:t xml:space="preserve">Analogno napajanje se filtrira </w:t>
      </w:r>
      <w:r>
        <w:rPr>
          <w:b w:val="false"/>
          <w:bCs w:val="false"/>
          <w:i/>
          <w:iCs/>
          <w:color w:val="000000"/>
        </w:rPr>
        <w:t>decoupling</w:t>
      </w:r>
      <w:r>
        <w:rPr>
          <w:b w:val="false"/>
          <w:bCs w:val="false"/>
          <w:color w:val="000000"/>
        </w:rPr>
        <w:t xml:space="preserve"> kondenzatorom od najmanje 330 nF između AVDD i AVSS, a digitalna napajanja (DVDD i IOVDD) </w:t>
      </w:r>
      <w:r>
        <w:rPr>
          <w:b w:val="false"/>
          <w:bCs w:val="false"/>
          <w:i/>
          <w:iCs/>
          <w:color w:val="000000"/>
        </w:rPr>
        <w:t>decoupling</w:t>
      </w:r>
      <w:r>
        <w:rPr>
          <w:b w:val="false"/>
          <w:bCs w:val="false"/>
          <w:color w:val="000000"/>
        </w:rPr>
        <w:t xml:space="preserve"> kondenzatorom od 1 µF prema masi DGND.</w:t>
      </w:r>
      <w:r>
        <w:rPr>
          <w:color w:val="000000"/>
        </w:rPr>
        <w:t xml:space="preserve"> [6]</w:t>
      </w:r>
    </w:p>
    <w:p>
      <w:pPr>
        <w:pStyle w:val="Normal"/>
        <w:rPr>
          <w:color w:val="000000"/>
        </w:rPr>
      </w:pPr>
      <w:r>
        <w:rPr>
          <w:color w:val="000000"/>
        </w:rPr>
        <w:t>Važno je napomenuti da su to upravo izolovanih 3.3V dobijenih sa izolacionog DC/DC-a.</w:t>
      </w:r>
    </w:p>
    <w:p>
      <w:pPr>
        <w:pStyle w:val="ListParagraph"/>
        <w:numPr>
          <w:ilvl w:val="0"/>
          <w:numId w:val="10"/>
        </w:numPr>
        <w:rPr>
          <w:color w:val="000000"/>
        </w:rPr>
      </w:pPr>
      <w:r>
        <w:rPr>
          <w:b/>
          <w:bCs/>
          <w:color w:val="000000"/>
        </w:rPr>
        <w:t>Referentni napon</w:t>
      </w:r>
    </w:p>
    <w:p>
      <w:pPr>
        <w:pStyle w:val="Normal"/>
        <w:rPr>
          <w:color w:val="000000"/>
        </w:rPr>
      </w:pPr>
      <w:r>
        <w:rPr>
          <w:color w:val="000000"/>
        </w:rPr>
        <w:t xml:space="preserve">ADS114S08B poseduje ugrađeni stabilan interni referent od 2.5 V (REFOUT/REFCOM), koji, međutim, ne obezbeđuje puni opseg merenja u rasponu 0–3.3 V. Zbog toga je neophodno korišćenje </w:t>
      </w:r>
      <w:r>
        <w:rPr>
          <w:b/>
          <w:bCs/>
          <w:color w:val="000000"/>
        </w:rPr>
        <w:t>eksternog referentnog napona</w:t>
      </w:r>
      <w:r>
        <w:rPr>
          <w:color w:val="000000"/>
        </w:rPr>
        <w:t>. U ovom sistemu realizovano je sledeće povezivanje:</w:t>
      </w:r>
    </w:p>
    <w:p>
      <w:pPr>
        <w:pStyle w:val="ListParagraph"/>
        <w:numPr>
          <w:ilvl w:val="0"/>
          <w:numId w:val="12"/>
        </w:numPr>
        <w:rPr>
          <w:color w:val="000000"/>
        </w:rPr>
      </w:pPr>
      <w:r>
        <w:rPr>
          <w:color w:val="000000"/>
        </w:rPr>
        <w:t xml:space="preserve">REFP0 → 3.3 V </w:t>
      </w:r>
    </w:p>
    <w:p>
      <w:pPr>
        <w:pStyle w:val="ListParagraph"/>
        <w:numPr>
          <w:ilvl w:val="0"/>
          <w:numId w:val="12"/>
        </w:numPr>
        <w:rPr>
          <w:color w:val="000000"/>
        </w:rPr>
      </w:pPr>
      <w:r>
        <w:rPr>
          <w:color w:val="000000"/>
        </w:rPr>
        <w:t>REFN0 → AVSS</w:t>
      </w:r>
    </w:p>
    <w:p>
      <w:pPr>
        <w:pStyle w:val="Normal"/>
        <w:rPr>
          <w:color w:val="000000"/>
        </w:rPr>
      </w:pPr>
      <w:r>
        <w:rPr>
          <w:color w:val="000000"/>
        </w:rPr>
        <w:t>Radi postizanja stabilnosti i smanjenja nivoa šuma, između REFP0 i REFN0 postavljen je decoupling kondenzator nominalne vrednosti 1 µF. [6]</w:t>
      </w:r>
    </w:p>
    <w:p>
      <w:pPr>
        <w:pStyle w:val="Normal"/>
        <w:rPr>
          <w:color w:val="000000"/>
        </w:rPr>
      </w:pPr>
      <w:r>
        <w:rPr>
          <w:color w:val="000000"/>
        </w:rPr>
        <w:t>Izbor između internog i eksternog referentnog izvora realizuje se putem unutrašnjeg multipleksera, kojim se upravlja preko REFSEL[1:0] bitova u registru za kontrolu referentnog napona (adresa 05h). Pošto je eksterni referentni par REFP0/REFN0 podešen kao podrazumevani izbor, nije neophodna dodatna konfiguracija putem SPI interfejsa. [6]</w:t>
      </w:r>
    </w:p>
    <w:p>
      <w:pPr>
        <w:pStyle w:val="ListParagraph"/>
        <w:numPr>
          <w:ilvl w:val="0"/>
          <w:numId w:val="10"/>
        </w:numPr>
        <w:rPr>
          <w:color w:val="000000"/>
        </w:rPr>
      </w:pPr>
      <w:r>
        <w:rPr>
          <w:b/>
          <w:bCs/>
          <w:color w:val="000000"/>
        </w:rPr>
        <w:t xml:space="preserve">Analogni ulazi </w:t>
      </w:r>
    </w:p>
    <w:p>
      <w:pPr>
        <w:pStyle w:val="Normal"/>
        <w:rPr>
          <w:color w:val="000000"/>
        </w:rPr>
      </w:pPr>
      <w:r>
        <w:rPr>
          <w:color w:val="000000"/>
        </w:rPr>
        <w:t xml:space="preserve">ADC raspolaže sa 12 analognih ulaza (AIN0 do AIN11), na koje se preko RC filtera dovode izlazi temperaturnih senzora. Važno je napomenuti da su pinovi REFP1 i REFN1 funkcionalno multipleksovani sa ulazima AIN6 i AIN7, respektivno. [6] </w:t>
      </w:r>
    </w:p>
    <w:p>
      <w:pPr>
        <w:pStyle w:val="BodyText"/>
        <w:rPr>
          <w:color w:val="000000"/>
        </w:rPr>
      </w:pPr>
      <w:r>
        <w:rPr>
          <w:b w:val="false"/>
          <w:bCs w:val="false"/>
          <w:color w:val="000000"/>
        </w:rPr>
        <w:t xml:space="preserve">Senzori se na PCB povezuju preko konektora tako da se </w:t>
      </w:r>
      <w:r>
        <w:rPr>
          <w:rStyle w:val="Strong"/>
          <w:b w:val="false"/>
          <w:bCs w:val="false"/>
          <w:color w:val="000000"/>
        </w:rPr>
        <w:t>MEAS+ vodi na ulaz RC filtera (merni signal ka ADC-u)</w:t>
      </w:r>
      <w:r>
        <w:rPr>
          <w:b w:val="false"/>
          <w:bCs w:val="false"/>
          <w:color w:val="000000"/>
        </w:rPr>
        <w:t xml:space="preserve">, dok se </w:t>
      </w:r>
      <w:r>
        <w:rPr>
          <w:rStyle w:val="Strong"/>
          <w:b w:val="false"/>
          <w:bCs w:val="false"/>
          <w:color w:val="000000"/>
        </w:rPr>
        <w:t>MEAS− povezuje na GND_ISO (negativni pol baterijskog segmenta)</w:t>
      </w:r>
      <w:r>
        <w:rPr>
          <w:b w:val="false"/>
          <w:bCs w:val="false"/>
          <w:color w:val="000000"/>
        </w:rPr>
        <w:t>, čime se obezbeđuje definisana referenca merenja u HV domenu sistema.</w:t>
      </w:r>
    </w:p>
    <w:p>
      <w:pPr>
        <w:pStyle w:val="BodyText"/>
        <w:rPr/>
      </w:pPr>
      <w:r>
        <w:rPr/>
        <w:t>Pull-up otpornici od 680 Ω postavljeni su pre RC filtera, u skladu sa preporukom Enepaq proizvođača [2]. Ukoliko senzor očita 3.3V, MCU logika bi trebalo da to prepozna kao grešku.</w:t>
      </w:r>
    </w:p>
    <w:p>
      <w:pPr>
        <w:pStyle w:val="ListParagraph"/>
        <w:numPr>
          <w:ilvl w:val="0"/>
          <w:numId w:val="10"/>
        </w:numPr>
        <w:rPr>
          <w:color w:val="000000"/>
        </w:rPr>
      </w:pPr>
      <w:r>
        <w:rPr>
          <w:b/>
          <w:bCs/>
          <w:color w:val="000000"/>
        </w:rPr>
        <w:t>Sistemski takt (CLK)</w:t>
      </w:r>
    </w:p>
    <w:p>
      <w:pPr>
        <w:pStyle w:val="Normal"/>
        <w:rPr>
          <w:color w:val="000000"/>
        </w:rPr>
      </w:pPr>
      <w:r>
        <w:rPr>
          <w:color w:val="000000"/>
        </w:rPr>
        <w:t xml:space="preserve">Da bi se obezbedio stabilan rad, izabrani ADC koristi </w:t>
      </w:r>
      <w:r>
        <w:rPr>
          <w:b/>
          <w:bCs/>
          <w:color w:val="000000"/>
        </w:rPr>
        <w:t>interni oscilator</w:t>
      </w:r>
      <w:r>
        <w:rPr>
          <w:color w:val="000000"/>
        </w:rPr>
        <w:t xml:space="preserve"> za sistemski takt. On radi na frekvenciji od 4.096 MHz, a njegovo korišćenje je omogućeno jednostavnim povezivanjem CLK pina na masu. Ovakav pristup eliminiše potrebu za spoljnim izvorom takta, pojednostavljuje hardverski dizajn i smanjuje potrošnju energije. [6]</w:t>
      </w:r>
    </w:p>
    <w:p>
      <w:pPr>
        <w:pStyle w:val="ListParagraph"/>
        <w:numPr>
          <w:ilvl w:val="0"/>
          <w:numId w:val="10"/>
        </w:numPr>
        <w:rPr>
          <w:color w:val="000000"/>
        </w:rPr>
      </w:pPr>
      <w:r>
        <w:rPr>
          <w:b/>
          <w:bCs/>
          <w:color w:val="000000"/>
        </w:rPr>
        <w:t>Veza MCU–ADC</w:t>
      </w:r>
    </w:p>
    <w:p>
      <w:pPr>
        <w:pStyle w:val="Normal"/>
        <w:rPr>
          <w:color w:val="000000"/>
        </w:rPr>
      </w:pPr>
      <w:r>
        <w:rPr>
          <w:b/>
          <w:bCs/>
          <w:color w:val="000000"/>
        </w:rPr>
        <w:t>SPI interfejs:</w:t>
      </w:r>
    </w:p>
    <w:p>
      <w:pPr>
        <w:pStyle w:val="ListParagraph"/>
        <w:numPr>
          <w:ilvl w:val="0"/>
          <w:numId w:val="5"/>
        </w:numPr>
        <w:rPr>
          <w:color w:val="000000"/>
        </w:rPr>
      </w:pPr>
      <w:r>
        <w:rPr>
          <w:color w:val="000000"/>
        </w:rPr>
      </w:r>
      <m:oMath xmlns:m="http://schemas.openxmlformats.org/officeDocument/2006/math">
        <m:bar>
          <m:barPr>
            <m:pos m:val="top"/>
          </m:barPr>
          <m:e>
            <m:r>
              <w:rPr>
                <w:rFonts w:ascii="Cambria Math" w:hAnsi="Cambria Math"/>
              </w:rPr>
              <m:t xml:space="preserve">CS</m:t>
            </m:r>
          </m:e>
        </m:bar>
      </m:oMath>
      <w:r>
        <w:rPr>
          <w:color w:val="000000"/>
        </w:rPr>
        <w:t xml:space="preserve"> </w:t>
      </w:r>
      <w:r>
        <w:rPr>
          <w:color w:val="000000"/>
        </w:rPr>
        <w:t>(Chip Select): Aktivno low, povezuje se na MCU. Može biti stalno spojen na masu (DGND) ako je ADC  jedini uređaj na SPI magistrali, što u ovom sistemu i jeste slučaj.</w:t>
      </w:r>
    </w:p>
    <w:p>
      <w:pPr>
        <w:pStyle w:val="ListParagraph"/>
        <w:numPr>
          <w:ilvl w:val="0"/>
          <w:numId w:val="5"/>
        </w:numPr>
        <w:rPr>
          <w:color w:val="000000"/>
        </w:rPr>
      </w:pPr>
      <w:r>
        <w:rPr>
          <w:color w:val="000000"/>
        </w:rPr>
        <w:t xml:space="preserve">SCLK (Serial Clock): Povezuje se na MCU pin za SPI takting; koristi se za sinhronizaciju prenosa podataka. Podaci se upisuju na opadajućoj ivici, a čitaju na rastućoj. </w:t>
      </w:r>
    </w:p>
    <w:p>
      <w:pPr>
        <w:pStyle w:val="ListParagraph"/>
        <w:numPr>
          <w:ilvl w:val="0"/>
          <w:numId w:val="5"/>
        </w:numPr>
        <w:rPr>
          <w:color w:val="000000"/>
        </w:rPr>
      </w:pPr>
      <w:r>
        <w:rPr>
          <w:color w:val="000000"/>
        </w:rPr>
        <w:t>DIN (Data Input): Povezuje se na MCU MOSI pin; služi za slanje komandi i registarskih podataka ka ADC-u.</w:t>
      </w:r>
    </w:p>
    <w:p>
      <w:pPr>
        <w:pStyle w:val="ListParagraph"/>
        <w:numPr>
          <w:ilvl w:val="0"/>
          <w:numId w:val="5"/>
        </w:numPr>
        <w:rPr>
          <w:color w:val="000000"/>
        </w:rPr>
      </w:pPr>
      <w:r>
        <w:rPr>
          <w:color w:val="000000"/>
        </w:rPr>
        <w:t>DOUT/</w:t>
      </w:r>
      <w:r>
        <w:rPr>
          <w:color w:val="000000"/>
        </w:rPr>
      </w:r>
      <m:oMath xmlns:m="http://schemas.openxmlformats.org/officeDocument/2006/math">
        <m:bar>
          <m:barPr>
            <m:pos m:val="top"/>
          </m:barPr>
          <m:e>
            <m:r>
              <w:rPr>
                <w:rFonts w:ascii="Cambria Math" w:hAnsi="Cambria Math"/>
              </w:rPr>
              <m:t xml:space="preserve">DRDY</m:t>
            </m:r>
          </m:e>
        </m:bar>
      </m:oMath>
      <w:r>
        <w:rPr>
          <w:color w:val="000000"/>
        </w:rPr>
        <w:t xml:space="preserve">  (Data Output / Data Ready): Povezuje se na MCU MISO pin. Služi za prenos konverzacionih podataka i za signalizaciju spremnosti novih podatak.</w:t>
      </w:r>
    </w:p>
    <w:p>
      <w:pPr>
        <w:pStyle w:val="ListParagraph"/>
        <w:numPr>
          <w:ilvl w:val="0"/>
          <w:numId w:val="5"/>
        </w:numPr>
        <w:rPr>
          <w:color w:val="000000"/>
        </w:rPr>
      </w:pPr>
      <w:r>
        <w:rPr>
          <w:color w:val="000000"/>
        </w:rPr>
      </w:r>
      <m:oMath xmlns:m="http://schemas.openxmlformats.org/officeDocument/2006/math">
        <m:bar>
          <m:barPr>
            <m:pos m:val="top"/>
          </m:barPr>
          <m:e>
            <m:r>
              <w:rPr>
                <w:rFonts w:ascii="Cambria Math" w:hAnsi="Cambria Math"/>
              </w:rPr>
              <m:t xml:space="preserve">DRDY</m:t>
            </m:r>
          </m:e>
        </m:bar>
      </m:oMath>
      <w:r>
        <w:rPr>
          <w:color w:val="000000"/>
        </w:rPr>
        <w:t xml:space="preserve"> </w:t>
      </w:r>
      <w:r>
        <w:rPr>
          <w:color w:val="000000"/>
        </w:rPr>
        <w:t>(opciono): Ako postoji više uređaja na SPI magistrali, povezuje se na MCU za pouzdano praćenje dostupnosti novih podataka.  U ovom sistemu to nije slučaj, pa pin ostaje nepovezan. [6]</w:t>
      </w:r>
    </w:p>
    <w:p>
      <w:pPr>
        <w:pStyle w:val="Normal"/>
        <w:rPr>
          <w:color w:val="000000"/>
        </w:rPr>
      </w:pPr>
      <w:r>
        <w:rPr>
          <w:b/>
          <w:bCs/>
          <w:color w:val="000000"/>
        </w:rPr>
        <w:t>Ostali pinovi:</w:t>
      </w:r>
    </w:p>
    <w:p>
      <w:pPr>
        <w:pStyle w:val="ListParagraph"/>
        <w:numPr>
          <w:ilvl w:val="0"/>
          <w:numId w:val="5"/>
        </w:numPr>
        <w:rPr>
          <w:color w:val="000000"/>
        </w:rPr>
      </w:pPr>
      <w:r>
        <w:rPr>
          <w:color w:val="000000"/>
        </w:rPr>
        <w:t>START/SYNC: Pin koji pokreće konverziju ADC-a; rising_edge signal na pinu inicira novu konverziju, a ako se koriste komande preko SPI, pin se drži low da bi se izbegli konflikti.</w:t>
      </w:r>
    </w:p>
    <w:p>
      <w:pPr>
        <w:pStyle w:val="ListParagraph"/>
        <w:numPr>
          <w:ilvl w:val="0"/>
          <w:numId w:val="5"/>
        </w:numPr>
        <w:rPr>
          <w:color w:val="000000"/>
        </w:rPr>
      </w:pPr>
      <w:r>
        <w:rPr>
          <w:color w:val="000000"/>
        </w:rPr>
      </w:r>
      <m:oMath xmlns:m="http://schemas.openxmlformats.org/officeDocument/2006/math">
        <m:bar>
          <m:barPr>
            <m:pos m:val="top"/>
          </m:barPr>
          <m:e>
            <m:r>
              <w:rPr>
                <w:rFonts w:ascii="Cambria Math" w:hAnsi="Cambria Math"/>
              </w:rPr>
              <m:t xml:space="preserve">RESET</m:t>
            </m:r>
          </m:e>
        </m:bar>
      </m:oMath>
      <w:r>
        <w:rPr>
          <w:color w:val="000000"/>
        </w:rPr>
        <w:t>: Aktivno low, koristi se za resetovanje ADC-a. [6]</w:t>
      </w:r>
    </w:p>
    <w:p>
      <w:pPr>
        <w:pStyle w:val="Normal"/>
        <w:rPr>
          <w:color w:val="EE0000"/>
        </w:rPr>
      </w:pPr>
      <w:r>
        <w:rPr>
          <w:color w:val="000000"/>
        </w:rPr>
        <w:t>Radi povećanja robusnosti sistema i stabilnosti</w:t>
      </w:r>
      <w:r>
        <w:rPr>
          <w:color w:val="EE0000"/>
        </w:rPr>
        <w:t xml:space="preserve"> </w:t>
      </w:r>
      <w:r>
        <w:rPr>
          <w:color w:val="000000"/>
        </w:rPr>
        <w:t xml:space="preserve">signala, preporučuje se postavljanje </w:t>
      </w:r>
      <w:r>
        <w:rPr>
          <w:b/>
          <w:bCs/>
          <w:color w:val="000000"/>
        </w:rPr>
        <w:t>serijskih otpornika od 47Ω</w:t>
      </w:r>
      <w:r>
        <w:rPr>
          <w:color w:val="000000"/>
        </w:rPr>
        <w:t xml:space="preserve"> na sve digitalne ulazne i izlazne linije.</w:t>
      </w:r>
      <w:r>
        <w:rPr>
          <w:color w:val="EE0000"/>
        </w:rPr>
        <w:t xml:space="preserve"> </w:t>
      </w:r>
      <w:r>
        <w:rPr>
          <w:color w:val="000000"/>
        </w:rPr>
        <w:t>Oni smanjuju elektromagnetne smetnje i prenaponske preskoke, čime poboljšavaju integritet signala i obezbeđuju osnovnu zaštitu interfejsa. [6]</w:t>
      </w:r>
    </w:p>
    <w:p>
      <w:pPr>
        <w:pStyle w:val="Normal"/>
        <w:rPr/>
      </w:pPr>
      <w:r>
        <w:rPr>
          <w:color w:val="000000"/>
        </w:rPr>
        <w:t>Pinovi su sa MCU povezani preko izolacionog SPI interfejsa.</w:t>
      </w:r>
      <w:r>
        <w:rPr>
          <w:color w:val="EE0000"/>
          <w:lang w:val="sr-Latn-RS"/>
        </w:rPr>
        <w:t xml:space="preserve"> </w:t>
      </w:r>
    </w:p>
    <w:p>
      <w:pPr>
        <w:pStyle w:val="Normal"/>
        <w:jc w:val="center"/>
        <w:rPr>
          <w:b/>
          <w:bCs/>
          <w:lang w:val="sr-Latn-RS"/>
        </w:rPr>
      </w:pPr>
      <w:r>
        <w:rPr>
          <w:color w:val="000000"/>
        </w:rPr>
      </w:r>
    </w:p>
    <w:p>
      <w:pPr>
        <w:pStyle w:val="Normal"/>
        <w:jc w:val="center"/>
        <w:rPr>
          <w:b/>
          <w:bCs/>
          <w:lang w:val="sr-Latn-RS"/>
        </w:rPr>
      </w:pPr>
      <w:r>
        <w:rPr>
          <w:color w:val="000000"/>
        </w:rPr>
      </w:r>
    </w:p>
    <w:p>
      <w:pPr>
        <w:pStyle w:val="Normal"/>
        <w:jc w:val="center"/>
        <w:rPr>
          <w:b/>
          <w:bCs/>
          <w:lang w:val="sr-Latn-RS"/>
        </w:rPr>
      </w:pPr>
      <w:r>
        <w:rPr>
          <w:color w:val="000000"/>
        </w:rPr>
      </w:r>
    </w:p>
    <w:p>
      <w:pPr>
        <w:pStyle w:val="Normal"/>
        <w:jc w:val="center"/>
        <w:rPr>
          <w:b/>
          <w:bCs/>
          <w:lang w:val="sr-Latn-RS"/>
        </w:rPr>
      </w:pPr>
      <w:r>
        <w:rPr>
          <w:color w:val="000000"/>
        </w:rPr>
      </w:r>
    </w:p>
    <w:p>
      <w:pPr>
        <w:pStyle w:val="Normal"/>
        <w:jc w:val="center"/>
        <w:rPr>
          <w:b/>
          <w:bCs/>
          <w:lang w:val="sr-Latn-RS"/>
        </w:rPr>
      </w:pPr>
      <w:r>
        <w:rPr>
          <w:color w:val="000000"/>
        </w:rPr>
      </w:r>
    </w:p>
    <w:p>
      <w:pPr>
        <w:pStyle w:val="Style6"/>
        <w:numPr>
          <w:ilvl w:val="0"/>
          <w:numId w:val="1"/>
        </w:numPr>
        <w:rPr>
          <w:color w:val="000000"/>
        </w:rPr>
      </w:pPr>
      <w:r>
        <w:rPr>
          <w:color w:val="000000"/>
          <w:lang w:val="sr-Latn-RS"/>
        </w:rPr>
        <w:t>Analiza i verifikacija</w:t>
      </w:r>
    </w:p>
    <w:p>
      <w:pPr>
        <w:pStyle w:val="Normal"/>
        <w:rPr>
          <w:b/>
          <w:bCs/>
          <w:lang w:val="sr-Latn-RS"/>
        </w:rPr>
      </w:pPr>
      <w:r>
        <w:rPr>
          <w:b/>
          <w:bCs/>
          <w:lang w:val="sr-Latn-RS"/>
        </w:rPr>
      </w:r>
    </w:p>
    <w:p>
      <w:pPr>
        <w:pStyle w:val="Style6"/>
        <w:numPr>
          <w:ilvl w:val="0"/>
          <w:numId w:val="1"/>
        </w:numPr>
        <w:rPr/>
      </w:pPr>
      <w:r>
        <w:rPr>
          <w:lang w:val="sr-Latn-RS"/>
        </w:rPr>
        <w:t>Finansije</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67"/>
        <w:gridCol w:w="2622"/>
        <w:gridCol w:w="2735"/>
        <w:gridCol w:w="2331"/>
      </w:tblGrid>
      <w:tr>
        <w:trPr/>
        <w:tc>
          <w:tcPr>
            <w:tcW w:w="2767" w:type="dxa"/>
            <w:tcBorders/>
          </w:tcPr>
          <w:p>
            <w:pPr>
              <w:pStyle w:val="Normal"/>
              <w:widowControl/>
              <w:suppressAutoHyphens w:val="true"/>
              <w:spacing w:before="0" w:after="0"/>
              <w:rPr>
                <w:rFonts w:cs="Times New Roman"/>
                <w:color w:val="EE0000"/>
                <w:lang w:val="sr-Latn-RS"/>
              </w:rPr>
            </w:pPr>
            <w:r>
              <w:rPr>
                <w:rFonts w:eastAsia="Aptos" w:cs="Arial"/>
                <w:kern w:val="2"/>
                <w:sz w:val="24"/>
                <w:szCs w:val="24"/>
                <w:lang w:val="sr-Latn-RS" w:eastAsia="en-US" w:bidi="ar-SA"/>
              </w:rPr>
              <w:t>Komponenta</w:t>
            </w:r>
          </w:p>
        </w:tc>
        <w:tc>
          <w:tcPr>
            <w:tcW w:w="2622" w:type="dxa"/>
            <w:tcBorders/>
          </w:tcPr>
          <w:p>
            <w:pPr>
              <w:pStyle w:val="Normal"/>
              <w:widowControl/>
              <w:suppressAutoHyphens w:val="true"/>
              <w:spacing w:before="0" w:after="0"/>
              <w:rPr>
                <w:rFonts w:cs="Times New Roman"/>
                <w:lang w:val="sr-Latn-RS"/>
              </w:rPr>
            </w:pPr>
            <w:r>
              <w:rPr>
                <w:rFonts w:eastAsia="Aptos" w:cs="Times New Roman"/>
                <w:kern w:val="2"/>
                <w:sz w:val="24"/>
                <w:szCs w:val="24"/>
                <w:lang w:val="sr-Latn-RS" w:eastAsia="en-US" w:bidi="ar-SA"/>
              </w:rPr>
              <w:t>Količina</w:t>
            </w:r>
          </w:p>
        </w:tc>
        <w:tc>
          <w:tcPr>
            <w:tcW w:w="2735" w:type="dxa"/>
            <w:tcBorders/>
          </w:tcPr>
          <w:p>
            <w:pPr>
              <w:pStyle w:val="Normal"/>
              <w:widowControl/>
              <w:suppressAutoHyphens w:val="true"/>
              <w:spacing w:before="0" w:after="0"/>
              <w:rPr>
                <w:rFonts w:cs="Times New Roman"/>
                <w:lang w:val="sr-Latn-RS"/>
              </w:rPr>
            </w:pPr>
            <w:r>
              <w:rPr>
                <w:rFonts w:eastAsia="Aptos" w:cs="Times New Roman"/>
                <w:kern w:val="2"/>
                <w:sz w:val="24"/>
                <w:szCs w:val="24"/>
                <w:lang w:val="sr-Latn-RS" w:eastAsia="en-US" w:bidi="ar-SA"/>
              </w:rPr>
              <w:t>Cena po komponenti</w:t>
            </w:r>
          </w:p>
        </w:tc>
        <w:tc>
          <w:tcPr>
            <w:tcW w:w="2331" w:type="dxa"/>
            <w:tcBorders/>
          </w:tcPr>
          <w:p>
            <w:pPr>
              <w:pStyle w:val="Normal"/>
              <w:widowControl/>
              <w:suppressAutoHyphens w:val="true"/>
              <w:spacing w:before="0" w:after="0"/>
              <w:rPr>
                <w:rFonts w:cs="Times New Roman"/>
                <w:lang w:val="sr-Latn-RS"/>
              </w:rPr>
            </w:pPr>
            <w:r>
              <w:rPr>
                <w:rFonts w:eastAsia="Aptos" w:cs="Times New Roman"/>
                <w:kern w:val="2"/>
                <w:sz w:val="24"/>
                <w:szCs w:val="24"/>
                <w:lang w:val="sr-Latn-RS" w:eastAsia="en-US" w:bidi="ar-SA"/>
              </w:rPr>
              <w:t>Ukupno</w:t>
            </w:r>
          </w:p>
        </w:tc>
      </w:tr>
      <w:tr>
        <w:trPr/>
        <w:tc>
          <w:tcPr>
            <w:tcW w:w="2767" w:type="dxa"/>
            <w:tcBorders/>
          </w:tcPr>
          <w:p>
            <w:pPr>
              <w:pStyle w:val="Normal"/>
              <w:widowControl/>
              <w:suppressAutoHyphens w:val="true"/>
              <w:spacing w:before="0" w:after="0"/>
              <w:rPr>
                <w:rFonts w:cs="Times New Roman"/>
                <w:lang w:val="sr-Latn-RS"/>
              </w:rPr>
            </w:pPr>
            <w:r>
              <w:rPr>
                <w:rFonts w:cs="Times New Roman"/>
                <w:lang w:val="sr-Latn-RS"/>
              </w:rPr>
            </w:r>
          </w:p>
        </w:tc>
        <w:tc>
          <w:tcPr>
            <w:tcW w:w="2622" w:type="dxa"/>
            <w:tcBorders/>
          </w:tcPr>
          <w:p>
            <w:pPr>
              <w:pStyle w:val="Normal"/>
              <w:widowControl/>
              <w:suppressAutoHyphens w:val="true"/>
              <w:spacing w:before="0" w:after="0"/>
              <w:rPr>
                <w:rFonts w:cs="Times New Roman"/>
                <w:lang w:val="sr-Latn-RS"/>
              </w:rPr>
            </w:pPr>
            <w:r>
              <w:rPr>
                <w:rFonts w:cs="Times New Roman"/>
                <w:lang w:val="sr-Latn-RS"/>
              </w:rPr>
            </w:r>
          </w:p>
        </w:tc>
        <w:tc>
          <w:tcPr>
            <w:tcW w:w="2735" w:type="dxa"/>
            <w:tcBorders/>
          </w:tcPr>
          <w:p>
            <w:pPr>
              <w:pStyle w:val="Normal"/>
              <w:widowControl/>
              <w:suppressAutoHyphens w:val="true"/>
              <w:spacing w:before="0" w:after="0"/>
              <w:rPr>
                <w:rFonts w:cs="Times New Roman"/>
                <w:lang w:val="sr-Latn-RS"/>
              </w:rPr>
            </w:pPr>
            <w:r>
              <w:rPr>
                <w:rFonts w:cs="Times New Roman"/>
                <w:lang w:val="sr-Latn-RS"/>
              </w:rPr>
            </w:r>
          </w:p>
        </w:tc>
        <w:tc>
          <w:tcPr>
            <w:tcW w:w="2331" w:type="dxa"/>
            <w:tcBorders/>
          </w:tcPr>
          <w:p>
            <w:pPr>
              <w:pStyle w:val="Normal"/>
              <w:widowControl/>
              <w:suppressAutoHyphens w:val="true"/>
              <w:spacing w:before="0" w:after="0"/>
              <w:rPr>
                <w:rFonts w:cs="Times New Roman"/>
                <w:lang w:val="sr-Latn-RS"/>
              </w:rPr>
            </w:pPr>
            <w:r>
              <w:rPr>
                <w:rFonts w:cs="Times New Roman"/>
                <w:lang w:val="sr-Latn-RS"/>
              </w:rPr>
            </w:r>
          </w:p>
        </w:tc>
      </w:tr>
    </w:tbl>
    <w:p>
      <w:pPr>
        <w:pStyle w:val="Normal"/>
        <w:rPr>
          <w:rFonts w:cs="Times New Roman"/>
          <w:color w:val="EE0000"/>
          <w:lang w:val="sr-Latn-RS"/>
        </w:rPr>
      </w:pPr>
      <w:r>
        <w:rPr>
          <w:rFonts w:cs="Times New Roman"/>
          <w:color w:val="EE0000"/>
          <w:lang w:val="sr-Latn-RS"/>
        </w:rPr>
      </w:r>
    </w:p>
    <w:p>
      <w:pPr>
        <w:pStyle w:val="Style6"/>
        <w:numPr>
          <w:ilvl w:val="0"/>
          <w:numId w:val="1"/>
        </w:numPr>
        <w:rPr/>
      </w:pPr>
      <w:r>
        <w:rPr>
          <w:lang w:val="sr-Latn-RS"/>
        </w:rPr>
        <w:t>Dalji rad</w:t>
      </w:r>
    </w:p>
    <w:p>
      <w:pPr>
        <w:pStyle w:val="Normal"/>
        <w:rPr>
          <w:color w:val="000000"/>
        </w:rPr>
      </w:pPr>
      <w:r>
        <w:rPr>
          <w:color w:val="000000"/>
          <w:lang w:val="sr-RS"/>
        </w:rPr>
        <w:t>Potencijalna unapređenja urađenog kako u bližoj, tako i u daljoj budućnosti (kada se obradi cela tema).</w:t>
      </w:r>
    </w:p>
    <w:p>
      <w:pPr>
        <w:pStyle w:val="Normal"/>
        <w:spacing w:lineRule="auto" w:line="276"/>
        <w:jc w:val="left"/>
        <w:rPr>
          <w:rFonts w:cs="Times New Roman"/>
          <w:lang w:val="sr-Latn-RS"/>
        </w:rPr>
      </w:pPr>
      <w:r>
        <w:rPr>
          <w:rFonts w:cs="Times New Roman"/>
          <w:lang w:val="sr-Latn-RS"/>
        </w:rPr>
      </w:r>
      <w:r>
        <w:br w:type="page"/>
      </w:r>
    </w:p>
    <w:sdt>
      <w:sdtPr>
        <w:docPartObj>
          <w:docPartGallery w:val="Bibliographies"/>
          <w:docPartUnique w:val="true"/>
        </w:docPartObj>
        <w:id w:val="1248844895"/>
      </w:sdtPr>
      <w:sdtContent>
        <w:p>
          <w:pPr>
            <w:pStyle w:val="Heading1"/>
            <w:spacing w:before="0" w:after="80"/>
            <w:rPr/>
          </w:pPr>
          <w:r>
            <w:rPr/>
            <w:t>Reference</w:t>
          </w:r>
        </w:p>
        <w:p>
          <w:pPr>
            <w:pStyle w:val="Normal"/>
            <w:rPr>
              <w:lang w:val="sr-Latn-RS"/>
            </w:rPr>
          </w:pPr>
          <w:r>
            <w:rPr>
              <w:lang w:val="sr-Latn-RS"/>
            </w:rPr>
            <w:t>[1]</w:t>
            <w:tab/>
            <w:t xml:space="preserve">Formula Student Germany, </w:t>
          </w:r>
          <w:r>
            <w:rPr>
              <w:i/>
              <w:iCs/>
              <w:lang w:val="sr-Latn-RS"/>
            </w:rPr>
            <w:t>FS Rules 2026 v1.0</w:t>
          </w:r>
          <w:r>
            <w:rPr>
              <w:lang w:val="sr-Latn-RS"/>
            </w:rPr>
            <w:t>. +</w:t>
          </w:r>
        </w:p>
        <w:p>
          <w:pPr>
            <w:pStyle w:val="Normal"/>
            <w:rPr>
              <w:lang w:val="sr-Latn-RS"/>
            </w:rPr>
          </w:pPr>
          <w:r>
            <w:rPr>
              <w:lang w:val="sr-Latn-RS"/>
            </w:rPr>
            <w:t xml:space="preserve">[2] </w:t>
            <w:tab/>
            <w:t xml:space="preserve">Enepaq, </w:t>
          </w:r>
          <w:r>
            <w:rPr>
              <w:i/>
              <w:iCs/>
              <w:lang w:val="sr-Latn-RS"/>
            </w:rPr>
            <w:t>Li-ion Building Block with Sony/Murata VTC6 — Datasheet</w:t>
          </w:r>
          <w:r>
            <w:rPr>
              <w:lang w:val="sr-Latn-RS"/>
            </w:rPr>
            <w:t xml:space="preserve">. </w:t>
          </w:r>
        </w:p>
        <w:p>
          <w:pPr>
            <w:pStyle w:val="Normal"/>
            <w:rPr>
              <w:lang w:val="sr-Latn-RS"/>
            </w:rPr>
          </w:pPr>
          <w:r>
            <w:rPr>
              <w:lang w:val="sr-Latn-RS"/>
            </w:rPr>
            <w:t xml:space="preserve">[3] </w:t>
            <w:tab/>
            <w:t xml:space="preserve">Ewert Energy Systems, </w:t>
          </w:r>
          <w:r>
            <w:rPr>
              <w:i/>
              <w:iCs/>
              <w:lang w:val="sr-Latn-RS"/>
            </w:rPr>
            <w:t>Orion 2 BMS — Manual</w:t>
          </w:r>
          <w:r>
            <w:rPr>
              <w:lang w:val="sr-Latn-RS"/>
            </w:rPr>
            <w:t xml:space="preserve">. </w:t>
          </w:r>
        </w:p>
        <w:p>
          <w:pPr>
            <w:pStyle w:val="Normal"/>
            <w:rPr>
              <w:lang w:val="sr-Latn-RS"/>
            </w:rPr>
          </w:pPr>
          <w:r>
            <w:rPr>
              <w:lang w:val="sr-Latn-RS"/>
            </w:rPr>
            <w:t>[4]</w:t>
            <w:tab/>
            <w:t xml:space="preserve">STMicroelectronics, </w:t>
          </w:r>
          <w:r>
            <w:rPr>
              <w:i/>
              <w:iCs/>
              <w:lang w:val="sr-Latn-RS"/>
            </w:rPr>
            <w:t>STM32F103C8 — Datasheet</w:t>
          </w:r>
          <w:r>
            <w:rPr>
              <w:lang w:val="sr-Latn-RS"/>
            </w:rPr>
            <w:t xml:space="preserve">. </w:t>
          </w:r>
        </w:p>
        <w:p>
          <w:pPr>
            <w:pStyle w:val="Normal"/>
            <w:rPr>
              <w:lang w:val="sr-Latn-RS"/>
            </w:rPr>
          </w:pPr>
          <w:r>
            <w:rPr>
              <w:lang w:val="sr-Latn-RS"/>
            </w:rPr>
            <w:t>[5]</w:t>
            <w:tab/>
            <w:t xml:space="preserve">Texas Instruments, </w:t>
          </w:r>
          <w:r>
            <w:rPr>
              <w:i/>
              <w:iCs/>
              <w:lang w:val="sr-Latn-RS"/>
            </w:rPr>
            <w:t>TCAN340x — Datasheet</w:t>
          </w:r>
          <w:r>
            <w:rPr>
              <w:lang w:val="sr-Latn-RS"/>
            </w:rPr>
            <w:t xml:space="preserve">. </w:t>
          </w:r>
        </w:p>
        <w:p>
          <w:pPr>
            <w:pStyle w:val="Normal"/>
            <w:rPr>
              <w:lang w:val="sr-Latn-RS"/>
            </w:rPr>
          </w:pPr>
          <w:r>
            <w:rPr>
              <w:lang w:val="sr-Latn-RS"/>
            </w:rPr>
            <w:t>[6]</w:t>
            <w:tab/>
            <w:t xml:space="preserve">Texas Instruments, </w:t>
          </w:r>
          <w:r>
            <w:rPr>
              <w:i/>
              <w:iCs/>
              <w:lang w:val="sr-Latn-RS"/>
            </w:rPr>
            <w:t>ADS114S08B 16-Bit, 4-kSPS, 12-Channel, Low-Power, Low-Noise Δ-Σ ADC — Datasheet</w:t>
          </w:r>
          <w:r>
            <w:rPr>
              <w:lang w:val="sr-Latn-RS"/>
            </w:rPr>
            <w:t xml:space="preserve">. </w:t>
          </w:r>
        </w:p>
        <w:p>
          <w:pPr>
            <w:pStyle w:val="Normal"/>
            <w:rPr>
              <w:lang w:val="sr-Latn-RS"/>
            </w:rPr>
          </w:pPr>
          <w:r>
            <w:rPr>
              <w:lang w:val="sr-Latn-RS"/>
            </w:rPr>
            <w:t>[7]</w:t>
            <w:tab/>
            <w:t>P. Salmon (</w:t>
          </w:r>
          <w:r>
            <w:rPr>
              <w:i/>
              <w:iCs/>
              <w:lang w:val="sr-Latn-RS"/>
            </w:rPr>
            <w:t>Phil’s Lab</w:t>
          </w:r>
          <w:r>
            <w:rPr>
              <w:lang w:val="sr-Latn-RS"/>
            </w:rPr>
            <w:t xml:space="preserve">), “KiCad 6 STM32 PCB Design Full Tutorial - Phil's Lab #65,” </w:t>
          </w:r>
          <w:r>
            <w:rPr>
              <w:i/>
              <w:iCs/>
              <w:lang w:val="sr-Latn-RS"/>
            </w:rPr>
            <w:t>YouTube video</w:t>
          </w:r>
          <w:r>
            <w:rPr>
              <w:lang w:val="sr-Latn-RS"/>
            </w:rPr>
            <w:t>, Jul. 5, 2022.</w:t>
          </w:r>
        </w:p>
        <w:p>
          <w:pPr>
            <w:pStyle w:val="Normal"/>
            <w:rPr/>
          </w:pPr>
          <w:r>
            <w:rPr/>
            <w:t>[8]</w:t>
            <w:tab/>
            <w:t xml:space="preserve">Wikipedia contributors, </w:t>
          </w:r>
          <w:r>
            <w:rPr>
              <w:i/>
              <w:iCs/>
            </w:rPr>
            <w:t>Delta</w:t>
            <w:noBreakHyphen/>
            <w:t>sigma modulation</w:t>
          </w:r>
          <w:r>
            <w:rPr/>
            <w:t xml:space="preserve">, </w:t>
          </w:r>
          <w:r>
            <w:rPr>
              <w:i/>
              <w:iCs/>
            </w:rPr>
            <w:t>Wikipedia, The Free Encyclopedia</w:t>
          </w:r>
          <w:r>
            <w:rPr/>
            <w:t xml:space="preserve">, </w:t>
          </w:r>
          <w:hyperlink r:id="rId18" w:tgtFrame="_new">
            <w:r>
              <w:rPr>
                <w:rStyle w:val="Hyperlink"/>
              </w:rPr>
              <w:t>https://en.wikipedia.org/wiki/Delta-sigma_modulation</w:t>
            </w:r>
          </w:hyperlink>
          <w:r>
            <w:rPr/>
            <w:br/>
            <w:t xml:space="preserve">[9] Wikipedia contributors, </w:t>
          </w:r>
          <w:r>
            <w:rPr>
              <w:i/>
              <w:iCs/>
            </w:rPr>
            <w:t>RC circuit</w:t>
          </w:r>
          <w:r>
            <w:rPr/>
            <w:t xml:space="preserve">, </w:t>
          </w:r>
          <w:r>
            <w:rPr>
              <w:i/>
              <w:iCs/>
            </w:rPr>
            <w:t>Wikipedia, The Free Encyclopedia</w:t>
          </w:r>
          <w:r>
            <w:rPr/>
            <w:t xml:space="preserve">, </w:t>
          </w:r>
          <w:hyperlink r:id="rId19">
            <w:r>
              <w:rPr>
                <w:rStyle w:val="Hyperlink"/>
              </w:rPr>
              <w:t>https://en.wikipedia.org/wiki/RC_circuit</w:t>
            </w:r>
          </w:hyperlink>
          <w:r>
            <w:rPr/>
            <w:t>,</w:t>
          </w:r>
        </w:p>
        <w:p>
          <w:pPr>
            <w:pStyle w:val="Normal"/>
            <w:rPr>
              <w:lang w:val="sr-Latn-RS"/>
            </w:rPr>
          </w:pPr>
          <w:r>
            <w:rPr>
              <w:lang w:val="sr-Latn-RS"/>
            </w:rPr>
            <w:t xml:space="preserve"> </w:t>
          </w:r>
        </w:p>
      </w:sdtContent>
    </w:sdt>
    <w:p>
      <w:pPr>
        <w:pStyle w:val="Style6"/>
        <w:numPr>
          <w:ilvl w:val="0"/>
          <w:numId w:val="0"/>
        </w:numPr>
        <w:ind w:hanging="0" w:left="720"/>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Style6"/>
        <w:numPr>
          <w:ilvl w:val="0"/>
          <w:numId w:val="1"/>
        </w:numPr>
        <w:rPr/>
      </w:pPr>
      <w:r>
        <w:rPr>
          <w:lang w:val="sr-Latn-RS"/>
        </w:rPr>
        <w:t>Prilog</w:t>
      </w:r>
    </w:p>
    <w:p>
      <w:pPr>
        <w:pStyle w:val="Normal"/>
        <w:jc w:val="center"/>
        <w:rPr>
          <w:b/>
          <w:bCs/>
        </w:rPr>
      </w:pPr>
      <w:r>
        <w:rPr>
          <w:b/>
          <w:bCs/>
        </w:rPr>
        <w:t>Proračun kojim se proverava postoji li potreba za operacionim pojačavačem</w:t>
      </w:r>
    </w:p>
    <w:p>
      <w:pPr>
        <w:pStyle w:val="ListParagraph"/>
        <w:numPr>
          <w:ilvl w:val="0"/>
          <w:numId w:val="6"/>
        </w:numPr>
        <w:jc w:val="left"/>
        <w:rPr>
          <w:b/>
          <w:bCs/>
        </w:rPr>
      </w:pPr>
      <w:r>
        <w:rPr>
          <w:lang w:val="sr-Latn-RS"/>
        </w:rPr>
        <w:t>Izlazni signal senzora se nalazi u naponskom opsegu:</w:t>
      </w:r>
    </w:p>
    <w:p>
      <w:pPr>
        <w:pStyle w:val="ListParagraph"/>
        <w:jc w:val="center"/>
        <w:rPr>
          <w:b/>
          <w:bCs/>
        </w:rPr>
      </w:pPr>
      <w:r>
        <w:rPr/>
      </w:r>
      <m:oMath xmlns:m="http://schemas.openxmlformats.org/officeDocument/2006/math">
        <m:sSub>
          <m:e>
            <m:r>
              <w:rPr>
                <w:rFonts w:ascii="Cambria Math" w:hAnsi="Cambria Math"/>
              </w:rPr>
              <m:t xml:space="preserve">U</m:t>
            </m:r>
          </m:e>
          <m:sub>
            <m:r>
              <w:rPr>
                <w:rFonts w:ascii="Cambria Math" w:hAnsi="Cambria Math"/>
              </w:rPr>
              <m:t xml:space="preserve">sig</m:t>
            </m:r>
          </m:sub>
        </m:sSub>
        <m:r>
          <w:rPr>
            <w:rFonts w:ascii="Cambria Math" w:hAnsi="Cambria Math"/>
          </w:rPr>
          <m:t xml:space="preserve">∈</m:t>
        </m:r>
        <m:d>
          <m:dPr>
            <m:begChr m:val="("/>
            <m:endChr m:val=")"/>
          </m:dPr>
          <m:e>
            <m:r>
              <w:rPr>
                <w:rFonts w:ascii="Cambria Math" w:hAnsi="Cambria Math"/>
              </w:rPr>
              <m:t xml:space="preserve">1.30</m:t>
            </m:r>
            <m:r>
              <w:rPr>
                <w:rFonts w:ascii="Cambria Math" w:hAnsi="Cambria Math"/>
              </w:rPr>
              <m:t xml:space="preserve">V</m:t>
            </m:r>
            <m:r>
              <w:rPr>
                <w:rFonts w:ascii="Cambria Math" w:hAnsi="Cambria Math"/>
              </w:rPr>
              <m:t xml:space="preserve">,</m:t>
            </m:r>
            <m:r>
              <w:rPr>
                <w:rFonts w:ascii="Cambria Math" w:hAnsi="Cambria Math"/>
              </w:rPr>
              <m:t xml:space="preserve">2.44</m:t>
            </m:r>
            <m:r>
              <w:rPr>
                <w:rFonts w:ascii="Cambria Math" w:hAnsi="Cambria Math"/>
              </w:rPr>
              <m:t xml:space="preserve">V</m:t>
            </m:r>
          </m:e>
        </m:d>
      </m:oMath>
      <w:r>
        <w:rPr>
          <w:rFonts w:eastAsia="" w:eastAsiaTheme="minorEastAsia"/>
          <w:lang w:val="en-GB"/>
        </w:rPr>
        <w:t>.</w:t>
      </w:r>
    </w:p>
    <w:p>
      <w:pPr>
        <w:pStyle w:val="ListParagraph"/>
        <w:numPr>
          <w:ilvl w:val="0"/>
          <w:numId w:val="6"/>
        </w:numPr>
        <w:rPr>
          <w:rFonts w:eastAsia="" w:eastAsiaTheme="minorEastAsia"/>
        </w:rPr>
      </w:pPr>
      <w:r>
        <w:rPr>
          <w:rFonts w:eastAsia="" w:eastAsiaTheme="minorEastAsia"/>
          <w:lang w:val="en-GB"/>
        </w:rPr>
        <w:t xml:space="preserve">ADC radi u punom opsegu </w:t>
      </w:r>
      <w:r>
        <w:rPr/>
      </w:r>
      <m:oMath xmlns:m="http://schemas.openxmlformats.org/officeDocument/2006/math">
        <m:sSub>
          <m:e>
            <m:r>
              <w:rPr>
                <w:rFonts w:ascii="Cambria Math" w:hAnsi="Cambria Math"/>
              </w:rPr>
              <m:t xml:space="preserve">U</m:t>
            </m:r>
          </m:e>
          <m:sub>
            <m:r>
              <w:rPr>
                <w:rFonts w:ascii="Cambria Math" w:hAnsi="Cambria Math"/>
              </w:rPr>
              <m:t xml:space="preserve">A</m:t>
            </m:r>
            <m:r>
              <w:rPr>
                <w:rFonts w:ascii="Cambria Math" w:hAnsi="Cambria Math"/>
              </w:rPr>
              <m:t xml:space="preserve">DC</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V</m:t>
        </m:r>
        <m:r>
          <w:rPr>
            <w:rFonts w:ascii="Cambria Math" w:hAnsi="Cambria Math"/>
          </w:rPr>
          <m:t xml:space="preserve">,</m:t>
        </m:r>
        <m:r>
          <w:rPr>
            <w:rFonts w:ascii="Cambria Math" w:hAnsi="Cambria Math"/>
          </w:rPr>
          <m:t xml:space="preserve">3.3</m:t>
        </m:r>
        <m:r>
          <w:rPr>
            <w:rFonts w:ascii="Cambria Math" w:hAnsi="Cambria Math"/>
          </w:rPr>
          <m:t xml:space="preserve">V</m:t>
        </m:r>
        <m:r>
          <w:rPr>
            <w:rFonts w:ascii="Cambria Math" w:hAnsi="Cambria Math"/>
          </w:rPr>
          <m:t xml:space="preserve">)</m:t>
        </m:r>
      </m:oMath>
      <w:r>
        <w:rPr>
          <w:rFonts w:eastAsia="" w:eastAsiaTheme="minorEastAsia"/>
          <w:lang w:val="en-GB"/>
        </w:rPr>
        <w:t>, a njegova rezolucija iznosi</w:t>
      </w:r>
    </w:p>
    <w:p>
      <w:pPr>
        <w:pStyle w:val="ListParagraph"/>
        <w:jc w:val="center"/>
        <w:rPr>
          <w:rFonts w:eastAsia="" w:eastAsiaTheme="minorEastAsia"/>
        </w:rPr>
      </w:pPr>
      <w:r>
        <w:rPr/>
      </w:r>
      <m:oMath xmlns:m="http://schemas.openxmlformats.org/officeDocument/2006/math">
        <m:sSub>
          <m:e>
            <m:r>
              <w:rPr>
                <w:rFonts w:ascii="Cambria Math" w:hAnsi="Cambria Math"/>
              </w:rPr>
              <m:t xml:space="preserve">N</m:t>
            </m:r>
          </m:e>
          <m:sub>
            <m:r>
              <w:rPr>
                <w:rFonts w:ascii="Cambria Math" w:hAnsi="Cambria Math"/>
              </w:rPr>
              <m:t xml:space="preserve">A</m:t>
            </m:r>
            <m:r>
              <w:rPr>
                <w:rFonts w:ascii="Cambria Math" w:hAnsi="Cambria Math"/>
              </w:rPr>
              <m:t xml:space="preserve">DC</m:t>
            </m:r>
          </m:sub>
        </m:sSub>
        <m:r>
          <w:rPr>
            <w:rFonts w:ascii="Cambria Math" w:hAnsi="Cambria Math"/>
          </w:rPr>
          <m:t xml:space="preserve">=</m:t>
        </m:r>
        <m:sSup>
          <m:e>
            <m:r>
              <w:rPr>
                <w:rFonts w:ascii="Cambria Math" w:hAnsi="Cambria Math"/>
              </w:rPr>
              <m:t xml:space="preserve">2</m:t>
            </m:r>
          </m:e>
          <m:sup>
            <m:r>
              <w:rPr>
                <w:rFonts w:ascii="Cambria Math" w:hAnsi="Cambria Math"/>
              </w:rPr>
              <m:t xml:space="preserve">16</m:t>
            </m:r>
          </m:sup>
        </m:sSup>
        <m:r>
          <w:rPr>
            <w:rFonts w:ascii="Cambria Math" w:hAnsi="Cambria Math"/>
          </w:rPr>
          <m:t xml:space="preserve">=</m:t>
        </m:r>
        <m:r>
          <w:rPr>
            <w:rFonts w:ascii="Cambria Math" w:hAnsi="Cambria Math"/>
          </w:rPr>
          <m:t xml:space="preserve">65536</m:t>
        </m:r>
      </m:oMath>
      <w:r>
        <w:rPr>
          <w:rFonts w:eastAsia="" w:eastAsiaTheme="minorEastAsia"/>
        </w:rPr>
        <w:t xml:space="preserve"> </w:t>
      </w:r>
      <w:r>
        <w:rPr>
          <w:rFonts w:eastAsia="" w:eastAsiaTheme="minorEastAsia"/>
        </w:rPr>
        <w:t>koraka. [6]</w:t>
      </w:r>
    </w:p>
    <w:p>
      <w:pPr>
        <w:pStyle w:val="ListParagraph"/>
        <w:numPr>
          <w:ilvl w:val="0"/>
          <w:numId w:val="6"/>
        </w:numPr>
        <w:rPr>
          <w:rFonts w:eastAsia="" w:eastAsiaTheme="minorEastAsia"/>
          <w:lang w:val="en-GB"/>
        </w:rPr>
      </w:pPr>
      <w:r>
        <w:rPr>
          <w:rFonts w:eastAsia="" w:eastAsiaTheme="minorEastAsia"/>
        </w:rPr>
        <w:t xml:space="preserve">Imajući u vidu da signal zauzima </w:t>
      </w:r>
      <w:r>
        <w:rPr/>
      </w:r>
      <m:oMath xmlns:m="http://schemas.openxmlformats.org/officeDocument/2006/math">
        <m:f>
          <m:num>
            <m:sSub>
              <m:e>
                <m:r>
                  <w:rPr>
                    <w:rFonts w:ascii="Cambria Math" w:hAnsi="Cambria Math"/>
                  </w:rPr>
                  <m:t xml:space="preserve">∆</m:t>
                </m:r>
                <m:r>
                  <w:rPr>
                    <w:rFonts w:ascii="Cambria Math" w:hAnsi="Cambria Math"/>
                  </w:rPr>
                  <m:t xml:space="preserve">U</m:t>
                </m:r>
              </m:e>
              <m:sub>
                <m:r>
                  <w:rPr>
                    <w:rFonts w:ascii="Cambria Math" w:hAnsi="Cambria Math"/>
                  </w:rPr>
                  <m:t xml:space="preserve">sig</m:t>
                </m:r>
              </m:sub>
            </m:sSub>
          </m:num>
          <m:den>
            <m:r>
              <w:rPr>
                <w:rFonts w:ascii="Cambria Math" w:hAnsi="Cambria Math"/>
              </w:rPr>
              <m:t xml:space="preserve">∆</m:t>
            </m:r>
            <m:sSub>
              <m:e>
                <m:r>
                  <w:rPr>
                    <w:rFonts w:ascii="Cambria Math" w:hAnsi="Cambria Math"/>
                  </w:rPr>
                  <m:t xml:space="preserve">U</m:t>
                </m:r>
              </m:e>
              <m:sub>
                <m:r>
                  <w:rPr>
                    <w:rFonts w:ascii="Cambria Math" w:hAnsi="Cambria Math"/>
                  </w:rPr>
                  <m:t xml:space="preserve">A</m:t>
                </m:r>
                <m:r>
                  <w:rPr>
                    <w:rFonts w:ascii="Cambria Math" w:hAnsi="Cambria Math"/>
                  </w:rPr>
                  <m:t xml:space="preserve">DC</m:t>
                </m:r>
              </m:sub>
            </m:sSub>
          </m:den>
        </m:f>
        <m:r>
          <w:rPr>
            <w:rFonts w:ascii="Cambria Math" w:hAnsi="Cambria Math"/>
          </w:rPr>
          <m:t xml:space="preserve">×</m:t>
        </m:r>
        <m:r>
          <w:rPr>
            <w:rFonts w:ascii="Cambria Math" w:hAnsi="Cambria Math"/>
          </w:rPr>
          <m:t xml:space="preserve">1</m:t>
        </m:r>
        <m:r>
          <w:rPr>
            <w:rFonts w:ascii="Cambria Math" w:hAnsi="Cambria Math"/>
          </w:rPr>
          <m:t xml:space="preserve">00</m:t>
        </m:r>
        <m:r>
          <m:rPr>
            <m:lit/>
            <m:nor/>
          </m:rPr>
          <w:rPr>
            <w:rFonts w:ascii="Cambria Math" w:hAnsi="Cambria Math"/>
          </w:rPr>
          <m:t xml:space="preserve">%</m:t>
        </m:r>
        <m:r>
          <w:rPr>
            <w:rFonts w:ascii="Cambria Math" w:hAnsi="Cambria Math"/>
          </w:rPr>
          <m:t xml:space="preserve">=</m:t>
        </m:r>
        <m:r>
          <w:rPr>
            <w:rFonts w:ascii="Cambria Math" w:hAnsi="Cambria Math"/>
          </w:rPr>
          <m:t xml:space="preserve">34.54</m:t>
        </m:r>
        <m:r>
          <m:rPr>
            <m:lit/>
            <m:nor/>
          </m:rPr>
          <w:rPr>
            <w:rFonts w:ascii="Cambria Math" w:hAnsi="Cambria Math"/>
          </w:rPr>
          <m:t xml:space="preserve">%</m:t>
        </m:r>
      </m:oMath>
      <w:r>
        <w:rPr>
          <w:rFonts w:eastAsia="" w:eastAsiaTheme="minorEastAsia"/>
          <w:lang w:val="sr-Latn-RS"/>
        </w:rPr>
        <w:t xml:space="preserve"> </w:t>
      </w:r>
      <w:r>
        <w:rPr>
          <w:rFonts w:eastAsia="" w:eastAsiaTheme="minorEastAsia"/>
        </w:rPr>
        <w:t xml:space="preserve">pune skale ADC-a, on koristi: </w:t>
      </w:r>
    </w:p>
    <w:p>
      <w:pPr>
        <w:pStyle w:val="ListParagraph"/>
        <w:jc w:val="center"/>
        <w:rPr>
          <w:rFonts w:eastAsia="" w:eastAsiaTheme="minorEastAsia"/>
          <w:lang w:val="en-GB"/>
        </w:rPr>
      </w:pPr>
      <w:r>
        <w:rPr/>
      </w:r>
      <m:oMath xmlns:m="http://schemas.openxmlformats.org/officeDocument/2006/math">
        <m:sSub>
          <m:e>
            <m:r>
              <w:rPr>
                <w:rFonts w:ascii="Cambria Math" w:hAnsi="Cambria Math"/>
              </w:rPr>
              <m:t xml:space="preserve">N</m:t>
            </m:r>
          </m:e>
          <m:sub>
            <m:r>
              <w:rPr>
                <w:rFonts w:ascii="Cambria Math" w:hAnsi="Cambria Math"/>
              </w:rPr>
              <m:t xml:space="preserve">sig</m:t>
            </m:r>
          </m:sub>
        </m:sSub>
        <m:r>
          <w:rPr>
            <w:rFonts w:ascii="Cambria Math" w:hAnsi="Cambria Math"/>
          </w:rPr>
          <m:t xml:space="preserve">=</m:t>
        </m:r>
        <m:r>
          <w:rPr>
            <w:rFonts w:ascii="Cambria Math" w:hAnsi="Cambria Math"/>
          </w:rPr>
          <m:t xml:space="preserve">0.3454</m:t>
        </m:r>
        <m:r>
          <w:rPr>
            <w:rFonts w:ascii="Cambria Math" w:hAnsi="Cambria Math"/>
          </w:rPr>
          <m:t xml:space="preserve">×</m:t>
        </m:r>
        <m:sSub>
          <m:e>
            <m:r>
              <w:rPr>
                <w:rFonts w:ascii="Cambria Math" w:hAnsi="Cambria Math"/>
              </w:rPr>
              <m:t xml:space="preserve">N</m:t>
            </m:r>
          </m:e>
          <m:sub>
            <m:r>
              <w:rPr>
                <w:rFonts w:ascii="Cambria Math" w:hAnsi="Cambria Math"/>
              </w:rPr>
              <m:t xml:space="preserve">A</m:t>
            </m:r>
            <m:r>
              <w:rPr>
                <w:rFonts w:ascii="Cambria Math" w:hAnsi="Cambria Math"/>
              </w:rPr>
              <m:t xml:space="preserve">DC</m:t>
            </m:r>
          </m:sub>
        </m:sSub>
        <m:r>
          <w:rPr>
            <w:rFonts w:ascii="Cambria Math" w:hAnsi="Cambria Math"/>
          </w:rPr>
          <m:t xml:space="preserve">≈</m:t>
        </m:r>
        <m:r>
          <w:rPr>
            <w:rFonts w:ascii="Cambria Math" w:hAnsi="Cambria Math"/>
          </w:rPr>
          <m:t xml:space="preserve">22636</m:t>
        </m:r>
      </m:oMath>
      <w:r>
        <w:rPr>
          <w:rFonts w:eastAsia="" w:eastAsiaTheme="minorEastAsia"/>
          <w:lang w:val="en-GB"/>
        </w:rPr>
        <w:t xml:space="preserve"> </w:t>
      </w:r>
      <w:r>
        <w:rPr>
          <w:rFonts w:eastAsia="" w:eastAsiaTheme="minorEastAsia"/>
          <w:lang w:val="en-GB"/>
        </w:rPr>
        <w:t>koraka ADC-a.</w:t>
      </w:r>
    </w:p>
    <w:p>
      <w:pPr>
        <w:pStyle w:val="ListParagraph"/>
        <w:numPr>
          <w:ilvl w:val="0"/>
          <w:numId w:val="6"/>
        </w:numPr>
        <w:rPr>
          <w:rFonts w:eastAsia="" w:eastAsiaTheme="minorEastAsia"/>
          <w:lang w:val="sr-Latn-RS"/>
        </w:rPr>
      </w:pPr>
      <w:r>
        <w:rPr>
          <w:rFonts w:eastAsia="" w:eastAsiaTheme="minorEastAsia"/>
          <w:lang w:val="en-GB"/>
        </w:rPr>
        <w:t xml:space="preserve">Senzor meri temperature u opsegu </w:t>
      </w:r>
      <w:r>
        <w:rPr/>
      </w:r>
      <m:oMath xmlns:m="http://schemas.openxmlformats.org/officeDocument/2006/math">
        <m:r>
          <w:rPr>
            <w:rFonts w:ascii="Cambria Math" w:hAnsi="Cambria Math"/>
          </w:rPr>
          <m:t xml:space="preserve">Т</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40</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20</m:t>
            </m:r>
            <m:r>
              <w:rPr>
                <w:rFonts w:ascii="Cambria Math" w:hAnsi="Cambria Math"/>
              </w:rPr>
              <m:t xml:space="preserve">℃</m:t>
            </m:r>
          </m:e>
        </m:d>
      </m:oMath>
      <w:r>
        <w:rPr>
          <w:rFonts w:eastAsia="" w:eastAsiaTheme="minorEastAsia"/>
          <w:lang w:val="en-GB"/>
        </w:rPr>
        <w:t>, pa svaki korak ADC-a odgovara promeni temperature od:</w:t>
      </w:r>
    </w:p>
    <w:p>
      <w:pPr>
        <w:pStyle w:val="ListParagraph"/>
        <w:jc w:val="center"/>
        <w:rPr>
          <w:rFonts w:eastAsia="" w:eastAsiaTheme="minorEastAsia"/>
          <w:lang w:val="sr-Latn-RS"/>
        </w:rPr>
      </w:pPr>
      <w:r>
        <w:rPr/>
      </w:r>
      <m:oMath xmlns:m="http://schemas.openxmlformats.org/officeDocument/2006/math">
        <m:sSub>
          <m:e>
            <m:r>
              <w:rPr>
                <w:rFonts w:ascii="Cambria Math" w:hAnsi="Cambria Math"/>
              </w:rPr>
              <m:t xml:space="preserve">∆</m:t>
            </m:r>
            <m:r>
              <w:rPr>
                <w:rFonts w:ascii="Cambria Math" w:hAnsi="Cambria Math"/>
              </w:rPr>
              <m:t xml:space="preserve">Т</m:t>
            </m:r>
          </m:e>
          <m:sub>
            <m:r>
              <w:rPr>
                <w:rFonts w:ascii="Cambria Math" w:hAnsi="Cambria Math"/>
              </w:rPr>
              <m:t xml:space="preserve">korak</m:t>
            </m:r>
          </m:sub>
        </m:sSub>
        <m:r>
          <w:rPr>
            <w:rFonts w:ascii="Cambria Math" w:hAnsi="Cambria Math"/>
          </w:rPr>
          <m:t xml:space="preserve">=</m:t>
        </m:r>
        <m:f>
          <m:num>
            <m:r>
              <w:rPr>
                <w:rFonts w:ascii="Cambria Math" w:hAnsi="Cambria Math"/>
              </w:rPr>
              <m:t xml:space="preserve">∆</m:t>
            </m:r>
            <m:r>
              <w:rPr>
                <w:rFonts w:ascii="Cambria Math" w:hAnsi="Cambria Math"/>
              </w:rPr>
              <m:t xml:space="preserve">Т</m:t>
            </m:r>
          </m:num>
          <m:den>
            <m:sSub>
              <m:e>
                <m:r>
                  <w:rPr>
                    <w:rFonts w:ascii="Cambria Math" w:hAnsi="Cambria Math"/>
                  </w:rPr>
                  <m:t xml:space="preserve">N</m:t>
                </m:r>
              </m:e>
              <m:sub>
                <m:r>
                  <w:rPr>
                    <w:rFonts w:ascii="Cambria Math" w:hAnsi="Cambria Math"/>
                  </w:rPr>
                  <m:t xml:space="preserve">sig</m:t>
                </m:r>
              </m:sub>
            </m:sSub>
          </m:den>
        </m:f>
        <m:r>
          <w:rPr>
            <w:rFonts w:ascii="Cambria Math" w:hAnsi="Cambria Math"/>
          </w:rPr>
          <m:t xml:space="preserve">≈</m:t>
        </m:r>
        <m:r>
          <w:rPr>
            <w:rFonts w:ascii="Cambria Math" w:hAnsi="Cambria Math"/>
          </w:rPr>
          <m:t xml:space="preserve">0.007</m:t>
        </m:r>
        <m:f>
          <m:num>
            <m:r>
              <w:rPr>
                <w:rFonts w:ascii="Cambria Math" w:hAnsi="Cambria Math"/>
              </w:rPr>
              <m:t xml:space="preserve">℃</m:t>
            </m:r>
          </m:num>
          <m:den>
            <m:r>
              <w:rPr>
                <w:rFonts w:ascii="Cambria Math" w:hAnsi="Cambria Math"/>
              </w:rPr>
              <m:t xml:space="preserve">korak</m:t>
            </m:r>
          </m:den>
        </m:f>
      </m:oMath>
      <w:r>
        <w:rPr>
          <w:rFonts w:eastAsia="" w:eastAsiaTheme="minorEastAsia"/>
          <w:lang w:val="sr-Latn-RS"/>
        </w:rPr>
        <w:t>.</w:t>
      </w:r>
    </w:p>
    <w:p>
      <w:pPr>
        <w:pStyle w:val="ListParagraph"/>
        <w:jc w:val="left"/>
        <w:rPr>
          <w:rFonts w:eastAsia="" w:eastAsiaTheme="minorEastAsia"/>
          <w:lang w:val="sr-Latn-RS"/>
        </w:rPr>
      </w:pPr>
      <w:r>
        <w:rPr>
          <w:rFonts w:eastAsia="" w:eastAsiaTheme="minorEastAsia"/>
          <w:lang w:val="sr-Latn-RS"/>
        </w:rPr>
        <w:t>Zaključuje se da je ADC dovoljno precizan i bez dodatnog operacionog pojačavača.</w:t>
      </w:r>
    </w:p>
    <w:p>
      <w:pPr>
        <w:pStyle w:val="ListParagraph"/>
        <w:jc w:val="center"/>
        <w:rPr>
          <w:rFonts w:eastAsia="" w:eastAsiaTheme="minorEastAsia"/>
          <w:b/>
          <w:bCs/>
          <w:lang w:val="sr-Latn-RS"/>
        </w:rPr>
      </w:pPr>
      <w:r>
        <w:rPr>
          <w:rFonts w:eastAsia="" w:eastAsiaTheme="minorEastAsia"/>
          <w:b/>
          <w:bCs/>
          <w:lang w:val="sr-Latn-RS"/>
        </w:rPr>
      </w:r>
    </w:p>
    <w:p>
      <w:pPr>
        <w:pStyle w:val="Normal"/>
        <w:jc w:val="center"/>
        <w:rPr>
          <w:rFonts w:eastAsia="" w:eastAsiaTheme="minorEastAsia"/>
          <w:b/>
          <w:bCs/>
          <w:lang w:val="sr-Latn-RS"/>
        </w:rPr>
      </w:pPr>
      <w:r>
        <w:rPr>
          <w:rFonts w:eastAsia="" w:eastAsiaTheme="minorEastAsia"/>
          <w:b/>
          <w:bCs/>
          <w:lang w:val="sr-Latn-RS"/>
        </w:rPr>
        <w:t>Određivanje vrednosti kondenzatora i otpornika RC filtra</w:t>
      </w:r>
    </w:p>
    <w:p>
      <w:pPr>
        <w:pStyle w:val="ListParagraph"/>
        <w:numPr>
          <w:ilvl w:val="0"/>
          <w:numId w:val="7"/>
        </w:numPr>
        <w:rPr>
          <w:rFonts w:eastAsia="" w:cs="Aptos" w:cstheme="minorHAnsi" w:eastAsiaTheme="minorEastAsia"/>
          <w:bCs/>
          <w:iCs/>
          <w:lang w:val="en-GB"/>
        </w:rPr>
      </w:pPr>
      <w:r>
        <w:rPr>
          <w:rFonts w:eastAsia="" w:cs="Aptos" w:cstheme="minorHAnsi" w:eastAsiaTheme="minorEastAsia"/>
          <w:bCs/>
          <w:iCs/>
        </w:rPr>
        <w:t>Kako se temperatura ćelije menja veoma sporo (nekoliko °C u sekundama), pretpostavka da je maksimalna korisna frekvencija signala ≈ 10 Hz je realna i konzervativna.</w:t>
      </w:r>
    </w:p>
    <w:p>
      <w:pPr>
        <w:pStyle w:val="ListParagraph"/>
        <w:numPr>
          <w:ilvl w:val="0"/>
          <w:numId w:val="7"/>
        </w:numPr>
        <w:rPr>
          <w:rFonts w:eastAsia="" w:cs="Aptos" w:cstheme="minorHAnsi" w:eastAsiaTheme="minorEastAsia"/>
          <w:bCs/>
          <w:iCs/>
          <w:lang w:val="en-GB"/>
        </w:rPr>
      </w:pPr>
      <w:r>
        <w:rPr>
          <w:rFonts w:eastAsia="" w:cs="Aptos" w:cstheme="minorHAnsi" w:eastAsiaTheme="minorEastAsia"/>
          <w:bCs/>
          <w:iCs/>
          <w:lang w:val="en-GB"/>
        </w:rPr>
        <w:t>Po</w:t>
      </w:r>
      <w:r>
        <w:rPr>
          <w:rFonts w:eastAsia="" w:cs="Aptos" w:cstheme="minorHAnsi" w:eastAsiaTheme="minorEastAsia"/>
          <w:bCs/>
          <w:iCs/>
          <w:lang w:val="sr-Latn-RS"/>
        </w:rPr>
        <w:t>što</w:t>
      </w:r>
      <w:r>
        <w:rPr>
          <w:rFonts w:eastAsia="" w:cs="Aptos" w:cstheme="minorHAnsi" w:eastAsiaTheme="minorEastAsia"/>
          <w:bCs/>
          <w:iCs/>
          <w:lang w:val="en-GB"/>
        </w:rPr>
        <w:t xml:space="preserve"> ADC koristi interni oscillator, sistemski takt iznosti:</w:t>
      </w:r>
    </w:p>
    <w:p>
      <w:pPr>
        <w:pStyle w:val="ListParagraph"/>
        <w:jc w:val="center"/>
        <w:rPr>
          <w:rFonts w:eastAsia="" w:cs="Aptos" w:cstheme="minorHAnsi" w:eastAsiaTheme="minorEastAsia"/>
          <w:bCs/>
          <w:iCs/>
          <w:lang w:val="en-GB"/>
        </w:rPr>
      </w:pPr>
      <w:r>
        <w:rPr/>
      </w:r>
      <m:oMath xmlns:m="http://schemas.openxmlformats.org/officeDocument/2006/math">
        <m:sSub>
          <m:e>
            <m:r>
              <w:rPr>
                <w:rFonts w:ascii="Cambria Math" w:hAnsi="Cambria Math"/>
              </w:rPr>
              <m:t xml:space="preserve">f</m:t>
            </m:r>
          </m:e>
          <m:sub>
            <m:r>
              <w:rPr>
                <w:rFonts w:ascii="Cambria Math" w:hAnsi="Cambria Math"/>
              </w:rPr>
              <m:t xml:space="preserve">CLK</m:t>
            </m:r>
          </m:sub>
        </m:sSub>
        <m:r>
          <w:rPr>
            <w:rFonts w:ascii="Cambria Math" w:hAnsi="Cambria Math"/>
          </w:rPr>
          <m:t xml:space="preserve">=</m:t>
        </m:r>
        <m:r>
          <w:rPr>
            <w:rFonts w:ascii="Cambria Math" w:hAnsi="Cambria Math"/>
          </w:rPr>
          <m:t xml:space="preserve">4.096</m:t>
        </m:r>
        <m:r>
          <w:rPr>
            <w:rFonts w:ascii="Cambria Math" w:hAnsi="Cambria Math"/>
          </w:rPr>
          <m:t xml:space="preserve">MHz</m:t>
        </m:r>
      </m:oMath>
      <w:r>
        <w:rPr>
          <w:rFonts w:eastAsia="" w:cs="Aptos" w:cstheme="minorHAnsi" w:eastAsiaTheme="minorEastAsia"/>
          <w:bCs/>
          <w:iCs/>
          <w:lang w:val="sr-Latn-RS"/>
        </w:rPr>
        <w:t xml:space="preserve">. </w:t>
      </w:r>
      <w:r>
        <w:rPr>
          <w:rFonts w:eastAsia="" w:cs="Aptos" w:cstheme="minorHAnsi" w:eastAsiaTheme="minorEastAsia"/>
          <w:bCs/>
          <w:iCs/>
          <w:lang w:val="en-GB"/>
        </w:rPr>
        <w:t>[6]</w:t>
      </w:r>
    </w:p>
    <w:p>
      <w:pPr>
        <w:pStyle w:val="ListParagraph"/>
        <w:numPr>
          <w:ilvl w:val="0"/>
          <w:numId w:val="7"/>
        </w:numPr>
        <w:rPr>
          <w:rFonts w:eastAsia="" w:cs="Aptos" w:cstheme="minorHAnsi" w:eastAsiaTheme="minorEastAsia"/>
          <w:bCs/>
          <w:iCs/>
          <w:lang w:val="en-GB"/>
        </w:rPr>
      </w:pPr>
      <w:r>
        <w:rPr>
          <w:rFonts w:eastAsia="" w:cs="Aptos" w:cstheme="minorHAnsi" w:eastAsiaTheme="minorEastAsia"/>
          <w:bCs/>
          <w:iCs/>
          <w:lang w:val="sr-Latn-RS"/>
        </w:rPr>
        <w:t>Modulator u delta-sigma arihitetkuri radi na:</w:t>
      </w:r>
    </w:p>
    <w:p>
      <w:pPr>
        <w:pStyle w:val="ListParagraph"/>
        <w:jc w:val="center"/>
        <w:rPr>
          <w:rFonts w:eastAsia="" w:cs="Aptos" w:cstheme="minorHAnsi" w:eastAsiaTheme="minorEastAsia"/>
          <w:bCs/>
          <w:lang w:val="sr-Latn-RS"/>
        </w:rPr>
      </w:pPr>
      <w:r>
        <w:rPr/>
      </w:r>
      <m:oMath xmlns:m="http://schemas.openxmlformats.org/officeDocument/2006/math">
        <m:sSub>
          <m:e>
            <m:r>
              <w:rPr>
                <w:rFonts w:ascii="Cambria Math" w:hAnsi="Cambria Math"/>
              </w:rPr>
              <m:t xml:space="preserve">f</m:t>
            </m:r>
          </m:e>
          <m:sub>
            <m:r>
              <w:rPr>
                <w:rFonts w:ascii="Cambria Math" w:hAnsi="Cambria Math"/>
              </w:rPr>
              <m:t xml:space="preserve">MOD</m:t>
            </m:r>
          </m:sub>
        </m:sSub>
        <m:r>
          <w:rPr>
            <w:rFonts w:ascii="Cambria Math" w:hAnsi="Cambria Math"/>
          </w:rPr>
          <m:t xml:space="preserve">=</m:t>
        </m:r>
        <m:f>
          <m:num>
            <m:sSub>
              <m:e>
                <m:r>
                  <w:rPr>
                    <w:rFonts w:ascii="Cambria Math" w:hAnsi="Cambria Math"/>
                  </w:rPr>
                  <m:t xml:space="preserve">f</m:t>
                </m:r>
              </m:e>
              <m:sub>
                <m:r>
                  <w:rPr>
                    <w:rFonts w:ascii="Cambria Math" w:hAnsi="Cambria Math"/>
                  </w:rPr>
                  <m:t xml:space="preserve">CLK</m:t>
                </m:r>
              </m:sub>
            </m:sSub>
          </m:num>
          <m:den>
            <m:r>
              <w:rPr>
                <w:rFonts w:ascii="Cambria Math" w:hAnsi="Cambria Math"/>
              </w:rPr>
              <m:t xml:space="preserve">16</m:t>
            </m:r>
          </m:den>
        </m:f>
        <m:r>
          <w:rPr>
            <w:rFonts w:ascii="Cambria Math" w:hAnsi="Cambria Math"/>
          </w:rPr>
          <m:t xml:space="preserve">=</m:t>
        </m:r>
        <m:f>
          <m:num>
            <m:r>
              <w:rPr>
                <w:rFonts w:ascii="Cambria Math" w:hAnsi="Cambria Math"/>
              </w:rPr>
              <m:t xml:space="preserve">256</m:t>
            </m:r>
            <m:r>
              <w:rPr>
                <w:rFonts w:ascii="Cambria Math" w:hAnsi="Cambria Math"/>
              </w:rPr>
              <m:t xml:space="preserve">kHz</m:t>
            </m:r>
          </m:num>
          <m:den>
            <m:r>
              <w:rPr>
                <w:rFonts w:ascii="Cambria Math" w:hAnsi="Cambria Math"/>
              </w:rPr>
              <m:t xml:space="preserve">16</m:t>
            </m:r>
          </m:den>
        </m:f>
        <m:r>
          <w:rPr>
            <w:rFonts w:ascii="Cambria Math" w:hAnsi="Cambria Math"/>
          </w:rPr>
          <m:t xml:space="preserve">=</m:t>
        </m:r>
        <m:r>
          <w:rPr>
            <w:rFonts w:ascii="Cambria Math" w:hAnsi="Cambria Math"/>
          </w:rPr>
          <m:t xml:space="preserve">256</m:t>
        </m:r>
        <m:r>
          <w:rPr>
            <w:rFonts w:ascii="Cambria Math" w:hAnsi="Cambria Math"/>
          </w:rPr>
          <m:t xml:space="preserve">kHz</m:t>
        </m:r>
      </m:oMath>
      <w:r>
        <w:rPr>
          <w:rFonts w:eastAsia="" w:cs="Aptos" w:cstheme="minorHAnsi" w:eastAsiaTheme="minorEastAsia"/>
          <w:bCs/>
          <w:lang w:val="sr-Latn-RS"/>
        </w:rPr>
        <w:t>. [6]</w:t>
      </w:r>
    </w:p>
    <w:p>
      <w:pPr>
        <w:pStyle w:val="ListParagraph"/>
        <w:rPr>
          <w:rFonts w:eastAsia="" w:cs="Aptos" w:cstheme="minorHAnsi" w:eastAsiaTheme="minorEastAsia"/>
          <w:bCs/>
          <w:iCs/>
          <w:lang w:val="en-GB"/>
        </w:rPr>
      </w:pPr>
      <w:r>
        <w:rPr>
          <w:rFonts w:eastAsia="" w:cs="Aptos" w:cstheme="minorHAnsi" w:eastAsiaTheme="minorEastAsia"/>
          <w:bCs/>
          <w:iCs/>
          <w:lang w:val="en-GB"/>
        </w:rPr>
        <w:t>što znači da se analogni signal uzorkuje visokom frekvencijom, daleko iznad pojasa korisnog signala.</w:t>
      </w:r>
    </w:p>
    <w:p>
      <w:pPr>
        <w:pStyle w:val="ListParagraph"/>
        <w:numPr>
          <w:ilvl w:val="0"/>
          <w:numId w:val="7"/>
        </w:numPr>
        <w:rPr>
          <w:rFonts w:eastAsia="" w:cs="Aptos" w:cstheme="minorHAnsi" w:eastAsiaTheme="minorEastAsia"/>
          <w:bCs/>
          <w:iCs/>
          <w:lang w:val="en-GB"/>
        </w:rPr>
      </w:pPr>
      <w:r>
        <w:rPr>
          <w:rFonts w:eastAsia="" w:cs="Aptos" w:cstheme="minorHAnsi" w:eastAsiaTheme="minorEastAsia"/>
          <w:bCs/>
          <w:iCs/>
        </w:rPr>
        <w:t>Velika razlika između modulatorne frekvencije (256 kHz) i korisnog signala (≈10 Hz) znači da ADC radi sa izuzetno visokim stepenom oversamplovanja. Tada teorisjki stepen overasmplovanja iznosi:</w:t>
      </w:r>
    </w:p>
    <w:p>
      <w:pPr>
        <w:pStyle w:val="ListParagraph"/>
        <w:jc w:val="center"/>
        <w:rPr>
          <w:rFonts w:eastAsia="" w:cs="Aptos" w:cstheme="minorHAnsi" w:eastAsiaTheme="minorEastAsia"/>
          <w:bCs/>
          <w:iCs/>
        </w:rPr>
      </w:pPr>
      <w:r>
        <w:rPr/>
      </w:r>
      <m:oMath xmlns:m="http://schemas.openxmlformats.org/officeDocument/2006/math">
        <m:r>
          <w:rPr>
            <w:rFonts w:ascii="Cambria Math" w:hAnsi="Cambria Math"/>
          </w:rPr>
          <m:t xml:space="preserve">OSR</m:t>
        </m:r>
        <m:r>
          <w:rPr>
            <w:rFonts w:ascii="Cambria Math" w:hAnsi="Cambria Math"/>
          </w:rPr>
          <m:t xml:space="preserve">=</m:t>
        </m:r>
        <m:f>
          <m:num>
            <m:sSub>
              <m:e>
                <m:r>
                  <w:rPr>
                    <w:rFonts w:ascii="Cambria Math" w:hAnsi="Cambria Math"/>
                  </w:rPr>
                  <m:t xml:space="preserve">f</m:t>
                </m:r>
              </m:e>
              <m:sub>
                <m:r>
                  <w:rPr>
                    <w:rFonts w:ascii="Cambria Math" w:hAnsi="Cambria Math"/>
                  </w:rPr>
                  <m:t xml:space="preserve">MOD</m:t>
                </m:r>
              </m:sub>
            </m:sSub>
          </m:num>
          <m:den>
            <m:r>
              <w:rPr>
                <w:rFonts w:ascii="Cambria Math" w:hAnsi="Cambria Math"/>
              </w:rPr>
              <m:t xml:space="preserve">2</m:t>
            </m:r>
            <m:sSub>
              <m:e>
                <m:r>
                  <w:rPr>
                    <w:rFonts w:ascii="Cambria Math" w:hAnsi="Cambria Math"/>
                  </w:rPr>
                  <m:t xml:space="preserve">f</m:t>
                </m:r>
              </m:e>
              <m:sub>
                <m:r>
                  <w:rPr>
                    <w:rFonts w:ascii="Cambria Math" w:hAnsi="Cambria Math"/>
                  </w:rPr>
                  <m:t xml:space="preserve">signal</m:t>
                </m:r>
              </m:sub>
            </m:sSub>
          </m:den>
        </m:f>
        <m:r>
          <w:rPr>
            <w:rFonts w:ascii="Cambria Math" w:hAnsi="Cambria Math"/>
          </w:rPr>
          <m:t xml:space="preserve">=</m:t>
        </m:r>
        <m:f>
          <m:num>
            <m:r>
              <w:rPr>
                <w:rFonts w:ascii="Cambria Math" w:hAnsi="Cambria Math"/>
              </w:rPr>
              <m:t xml:space="preserve">256000</m:t>
            </m:r>
          </m:num>
          <m:den>
            <m:r>
              <w:rPr>
                <w:rFonts w:ascii="Cambria Math" w:hAnsi="Cambria Math"/>
              </w:rPr>
              <m:t xml:space="preserve">20</m:t>
            </m:r>
          </m:den>
        </m:f>
        <m:r>
          <w:rPr>
            <w:rFonts w:ascii="Cambria Math" w:hAnsi="Cambria Math"/>
          </w:rPr>
          <m:t xml:space="preserve">=</m:t>
        </m:r>
        <m:r>
          <w:rPr>
            <w:rFonts w:ascii="Cambria Math" w:hAnsi="Cambria Math"/>
          </w:rPr>
          <m:t xml:space="preserve">12800</m:t>
        </m:r>
      </m:oMath>
      <w:r>
        <w:rPr>
          <w:rFonts w:eastAsia="" w:cs="Aptos" w:cstheme="minorHAnsi" w:eastAsiaTheme="minorEastAsia"/>
          <w:bCs/>
          <w:lang w:val="sr-Latn-RS"/>
        </w:rPr>
        <w:t>. [8]</w:t>
      </w:r>
      <w:r>
        <w:rPr>
          <w:rFonts w:eastAsia="" w:cs="Aptos" w:cstheme="minorHAnsi" w:eastAsiaTheme="minorEastAsia"/>
          <w:bCs/>
          <w:iCs/>
        </w:rPr>
        <w:t xml:space="preserve"> </w:t>
      </w:r>
    </w:p>
    <w:p>
      <w:pPr>
        <w:pStyle w:val="ListParagraph"/>
        <w:numPr>
          <w:ilvl w:val="0"/>
          <w:numId w:val="7"/>
        </w:numPr>
        <w:rPr>
          <w:rFonts w:eastAsia="" w:cs="Aptos" w:cstheme="minorHAnsi" w:eastAsiaTheme="minorEastAsia"/>
          <w:bCs/>
          <w:lang w:val="sr-Latn-RS"/>
        </w:rPr>
      </w:pPr>
      <w:r>
        <w:rPr>
          <w:rFonts w:eastAsia="Times New Roman" w:cs="Times New Roman"/>
          <w:kern w:val="0"/>
          <w:lang w:val="sr-Latn-RS" w:eastAsia="sr-Latn-RS"/>
          <w14:ligatures w14:val="none"/>
        </w:rPr>
        <w:t>Međutim, delta-sigma ADC ne koristi svaki taj uzorak direktno. On radi ovako:</w:t>
      </w:r>
    </w:p>
    <w:p>
      <w:pPr>
        <w:pStyle w:val="ListParagraph"/>
        <w:numPr>
          <w:ilvl w:val="0"/>
          <w:numId w:val="13"/>
        </w:numPr>
        <w:rPr>
          <w:rFonts w:eastAsia="" w:cs="Aptos" w:cstheme="minorHAnsi" w:eastAsiaTheme="minorEastAsia"/>
          <w:bCs/>
          <w:lang w:val="sr-Latn-RS"/>
        </w:rPr>
      </w:pPr>
      <w:r>
        <w:rPr>
          <w:rFonts w:eastAsia="Times New Roman" w:cs="Times New Roman"/>
          <w:kern w:val="0"/>
          <w:lang w:val="sr-Latn-RS" w:eastAsia="sr-Latn-RS"/>
          <w14:ligatures w14:val="none"/>
        </w:rPr>
        <w:t>Modulator uzima veoma mnogo brzih, sirovih uzoraka (256 000 u sekundi).</w:t>
      </w:r>
    </w:p>
    <w:p>
      <w:pPr>
        <w:pStyle w:val="ListParagraph"/>
        <w:numPr>
          <w:ilvl w:val="0"/>
          <w:numId w:val="13"/>
        </w:numPr>
        <w:rPr>
          <w:rFonts w:eastAsia="" w:cs="Aptos" w:cstheme="minorHAnsi" w:eastAsiaTheme="minorEastAsia"/>
          <w:bCs/>
          <w:lang w:val="sr-Latn-RS"/>
        </w:rPr>
      </w:pPr>
      <w:r>
        <w:rPr>
          <w:rFonts w:eastAsia="Times New Roman" w:cs="Times New Roman"/>
          <w:kern w:val="0"/>
          <w:lang w:val="sr-Latn-RS" w:eastAsia="sr-Latn-RS"/>
          <w14:ligatures w14:val="none"/>
        </w:rPr>
        <w:t>Ti podaci su bučni i ne mogu se odmah pretvoriti u rezultat.</w:t>
      </w:r>
    </w:p>
    <w:p>
      <w:pPr>
        <w:pStyle w:val="ListParagraph"/>
        <w:numPr>
          <w:ilvl w:val="0"/>
          <w:numId w:val="13"/>
        </w:numPr>
        <w:rPr>
          <w:rFonts w:eastAsia="" w:cs="Aptos" w:cstheme="minorHAnsi" w:eastAsiaTheme="minorEastAsia"/>
          <w:bCs/>
          <w:lang w:val="sr-Latn-RS"/>
        </w:rPr>
      </w:pPr>
      <w:r>
        <w:rPr>
          <w:rFonts w:eastAsia="Times New Roman" w:cs="Times New Roman"/>
          <w:kern w:val="0"/>
          <w:lang w:val="sr-Latn-RS" w:eastAsia="sr-Latn-RS"/>
          <w14:ligatures w14:val="none"/>
        </w:rPr>
        <w:t>Digitalni Sinc³ filter "izravnava", filtrira i sabira te uzorke.</w:t>
      </w:r>
    </w:p>
    <w:p>
      <w:pPr>
        <w:pStyle w:val="ListParagraph"/>
        <w:numPr>
          <w:ilvl w:val="0"/>
          <w:numId w:val="13"/>
        </w:numPr>
        <w:rPr>
          <w:rFonts w:eastAsia="" w:cs="Aptos" w:cstheme="minorHAnsi" w:eastAsiaTheme="minorEastAsia"/>
          <w:bCs/>
          <w:lang w:val="sr-Latn-RS"/>
        </w:rPr>
      </w:pPr>
      <w:r>
        <w:rPr>
          <w:rFonts w:eastAsia="Times New Roman" w:cs="Times New Roman"/>
          <w:kern w:val="0"/>
          <w:lang w:val="sr-Latn-RS" w:eastAsia="sr-Latn-RS"/>
          <w14:ligatures w14:val="none"/>
        </w:rPr>
        <w:t>Tek nakon toga ADC izbacuje gotov uzorak — npr. 50 puta u sekundi.</w:t>
      </w:r>
    </w:p>
    <w:p>
      <w:pPr>
        <w:pStyle w:val="ListParagraph"/>
        <w:rPr>
          <w:rFonts w:eastAsia="" w:cs="Aptos" w:cstheme="minorHAnsi" w:eastAsiaTheme="minorEastAsia"/>
          <w:bCs/>
          <w:lang w:val="sr-Latn-RS"/>
        </w:rPr>
      </w:pPr>
      <w:r>
        <w:rPr>
          <w:rFonts w:eastAsia="Times New Roman" w:cs="Times New Roman"/>
          <w:kern w:val="0"/>
          <w:lang w:val="sr-Latn-RS" w:eastAsia="sr-Latn-RS"/>
          <w14:ligatures w14:val="none"/>
        </w:rPr>
        <w:t>Dakle, od ogromnog broja sirovih impulsa, ADC napravi mali broj tačnih uzoraka. [6]</w:t>
      </w:r>
    </w:p>
    <w:p>
      <w:pPr>
        <w:pStyle w:val="ListParagraph"/>
        <w:numPr>
          <w:ilvl w:val="0"/>
          <w:numId w:val="7"/>
        </w:numPr>
        <w:spacing w:beforeAutospacing="1" w:afterAutospacing="1"/>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Zbog toga OSR u praksi nije definisan odnosom 256 kHz i signala, već time koliko rezultata izlazi na kraju, tj. koliki je Data Rate (SPS). Zato se u datasheet-u upotrebljava formula:</w:t>
      </w:r>
    </w:p>
    <w:p>
      <w:pPr>
        <w:pStyle w:val="ListParagraph"/>
        <w:jc w:val="center"/>
        <w:rPr>
          <w:rFonts w:eastAsia="" w:cs="Aptos" w:cstheme="minorHAnsi" w:eastAsiaTheme="minorEastAsia"/>
          <w:bCs/>
          <w:iCs/>
          <w:lang w:val="en-GB"/>
        </w:rPr>
      </w:pPr>
      <w:r>
        <w:rPr/>
      </w:r>
      <m:oMath xmlns:m="http://schemas.openxmlformats.org/officeDocument/2006/math">
        <m:r>
          <w:rPr>
            <w:rFonts w:ascii="Cambria Math" w:hAnsi="Cambria Math"/>
          </w:rPr>
          <m:t xml:space="preserve">OSR</m:t>
        </m:r>
        <m:r>
          <w:rPr>
            <w:rFonts w:ascii="Cambria Math" w:hAnsi="Cambria Math"/>
          </w:rPr>
          <m:t xml:space="preserve">=</m:t>
        </m:r>
        <m:f>
          <m:num>
            <m:sSub>
              <m:e>
                <m:r>
                  <w:rPr>
                    <w:rFonts w:ascii="Cambria Math" w:hAnsi="Cambria Math"/>
                  </w:rPr>
                  <m:t xml:space="preserve">f</m:t>
                </m:r>
              </m:e>
              <m:sub>
                <m:r>
                  <w:rPr>
                    <w:rFonts w:ascii="Cambria Math" w:hAnsi="Cambria Math"/>
                  </w:rPr>
                  <m:t xml:space="preserve">MOD</m:t>
                </m:r>
              </m:sub>
            </m:sSub>
          </m:num>
          <m:den>
            <m:r>
              <w:rPr>
                <w:rFonts w:ascii="Cambria Math" w:hAnsi="Cambria Math"/>
              </w:rPr>
              <m:t xml:space="preserve">Data</m:t>
            </m:r>
            <m:r>
              <w:rPr>
                <w:rFonts w:ascii="Cambria Math" w:hAnsi="Cambria Math"/>
              </w:rPr>
              <m:t xml:space="preserve">rate</m:t>
            </m:r>
          </m:den>
        </m:f>
      </m:oMath>
      <w:r>
        <w:rPr>
          <w:rFonts w:eastAsia="" w:cs="Aptos" w:cstheme="minorHAnsi" w:eastAsiaTheme="minorEastAsia"/>
          <w:bCs/>
          <w:iCs/>
          <w:lang w:val="sr-Latn-RS"/>
        </w:rPr>
        <w:t xml:space="preserve"> </w:t>
      </w:r>
      <w:r>
        <w:rPr>
          <w:rFonts w:eastAsia="" w:cs="Aptos" w:cstheme="minorHAnsi" w:eastAsiaTheme="minorEastAsia"/>
          <w:bCs/>
          <w:iCs/>
          <w:lang w:val="en-GB"/>
        </w:rPr>
        <w:t>[6]</w:t>
      </w:r>
    </w:p>
    <w:p>
      <w:pPr>
        <w:pStyle w:val="ListParagraph"/>
        <w:numPr>
          <w:ilvl w:val="0"/>
          <w:numId w:val="7"/>
        </w:numPr>
        <w:spacing w:beforeAutospacing="1" w:afterAutospacing="1"/>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Izbor Data Rate-a od 50 SPS obezbeđuje period osvežavanja signala od približno 20 ms po senzoru i kompletan ciklus merenja za 12 senzora u oko 240 ms, </w:t>
      </w:r>
      <w:r>
        <w:rPr>
          <w:rFonts w:eastAsia="Times New Roman" w:cs="Times New Roman"/>
          <w:kern w:val="0"/>
          <w:lang w:eastAsia="sr-Latn-RS"/>
          <w14:ligatures w14:val="none"/>
        </w:rPr>
        <w:t>što daje dovoljno brzu detekciju (manje od 1 s zahtevanog u EV5.8.7), dok istovremeno održava nizak šum i visoku efektivnu rezoluciju.</w:t>
      </w:r>
      <w:r>
        <w:rPr>
          <w:rFonts w:eastAsia="Times New Roman" w:cs="Times New Roman"/>
          <w:kern w:val="0"/>
          <w:lang w:val="sr-Latn-RS" w:eastAsia="sr-Latn-RS"/>
          <w14:ligatures w14:val="none"/>
        </w:rPr>
        <w:t xml:space="preserve"> [6] Tada je:</w:t>
      </w:r>
    </w:p>
    <w:p>
      <w:pPr>
        <w:pStyle w:val="ListParagraph"/>
        <w:jc w:val="center"/>
        <w:rPr>
          <w:rFonts w:eastAsia="" w:cs="Aptos" w:cstheme="minorHAnsi" w:eastAsiaTheme="minorEastAsia"/>
          <w:bCs/>
          <w:iCs/>
          <w:lang w:val="en-GB"/>
        </w:rPr>
      </w:pPr>
      <w:r>
        <w:rPr/>
      </w:r>
      <m:oMath xmlns:m="http://schemas.openxmlformats.org/officeDocument/2006/math">
        <m:r>
          <w:rPr>
            <w:rFonts w:ascii="Cambria Math" w:hAnsi="Cambria Math"/>
          </w:rPr>
          <m:t xml:space="preserve">OSR</m:t>
        </m:r>
        <m:r>
          <w:rPr>
            <w:rFonts w:ascii="Cambria Math" w:hAnsi="Cambria Math"/>
          </w:rPr>
          <m:t xml:space="preserve">=</m:t>
        </m:r>
        <m:f>
          <m:num>
            <m:r>
              <w:rPr>
                <w:rFonts w:ascii="Cambria Math" w:hAnsi="Cambria Math"/>
              </w:rPr>
              <m:t xml:space="preserve">256000</m:t>
            </m:r>
          </m:num>
          <m:den>
            <m:r>
              <w:rPr>
                <w:rFonts w:ascii="Cambria Math" w:hAnsi="Cambria Math"/>
              </w:rPr>
              <m:t xml:space="preserve">50</m:t>
            </m:r>
            <m:r>
              <w:rPr>
                <w:rFonts w:ascii="Cambria Math" w:hAnsi="Cambria Math"/>
              </w:rPr>
              <m:t xml:space="preserve">SPS</m:t>
            </m:r>
          </m:den>
        </m:f>
        <m:r>
          <w:rPr>
            <w:rFonts w:ascii="Cambria Math" w:hAnsi="Cambria Math"/>
          </w:rPr>
          <m:t xml:space="preserve">=</m:t>
        </m:r>
        <m:r>
          <w:rPr>
            <w:rFonts w:ascii="Cambria Math" w:hAnsi="Cambria Math"/>
          </w:rPr>
          <m:t xml:space="preserve">5120</m:t>
        </m:r>
      </m:oMath>
      <w:r>
        <w:rPr>
          <w:rFonts w:eastAsia="" w:cs="Aptos" w:cstheme="minorHAnsi" w:eastAsiaTheme="minorEastAsia"/>
          <w:bCs/>
          <w:iCs/>
          <w:lang w:val="sr-Latn-RS"/>
        </w:rPr>
        <w:t xml:space="preserve"> </w:t>
      </w:r>
      <w:r>
        <w:rPr>
          <w:rFonts w:eastAsia="" w:cs="Aptos" w:cstheme="minorHAnsi" w:eastAsiaTheme="minorEastAsia"/>
          <w:bCs/>
          <w:iCs/>
          <w:lang w:val="en-GB"/>
        </w:rPr>
        <w:t>[6]</w:t>
      </w:r>
    </w:p>
    <w:p>
      <w:pPr>
        <w:pStyle w:val="ListParagraph"/>
        <w:numPr>
          <w:ilvl w:val="0"/>
          <w:numId w:val="7"/>
        </w:numPr>
        <w:rPr>
          <w:rFonts w:eastAsia="" w:cs="Aptos" w:cstheme="minorHAnsi" w:eastAsiaTheme="minorEastAsia"/>
          <w:iCs/>
        </w:rPr>
      </w:pPr>
      <w:r>
        <w:rPr>
          <w:rFonts w:eastAsia="" w:cs="Aptos" w:cstheme="minorHAnsi" w:eastAsiaTheme="minorEastAsia"/>
          <w:iCs/>
        </w:rPr>
        <w:t>Alternativno, izbor višeg Data Rate</w:t>
        <w:noBreakHyphen/>
        <w:t xml:space="preserve">a (200–400 SPS) obezbedio bi još više uzoraka po kanalu (~17–33 SPS), ali uz nešto viši šum. </w:t>
      </w:r>
      <w:r>
        <w:rPr>
          <w:rFonts w:eastAsia="" w:cs="Aptos" w:cstheme="minorHAnsi" w:eastAsiaTheme="minorEastAsia"/>
          <w:iCs/>
          <w:lang w:val="en-GB"/>
        </w:rPr>
        <w:t>[6]</w:t>
      </w:r>
      <w:r>
        <w:rPr>
          <w:rFonts w:eastAsia="" w:cs="Aptos" w:cstheme="minorHAnsi" w:eastAsiaTheme="minorEastAsia"/>
          <w:iCs/>
        </w:rPr>
        <w:t xml:space="preserve"> Za ovu aplikaciju kompromis od 50 SPS je dovoljan jer signal menja vrednost sporo, a sistemski zahtev (&lt;1 s detekcije) je ispunjen.</w:t>
      </w:r>
    </w:p>
    <w:p>
      <w:pPr>
        <w:pStyle w:val="ListParagraph"/>
        <w:numPr>
          <w:ilvl w:val="0"/>
          <w:numId w:val="7"/>
        </w:numPr>
        <w:spacing w:before="0" w:afterAutospacing="1"/>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Pošto je </w:t>
      </w:r>
      <w:r>
        <w:rPr>
          <w:rFonts w:eastAsia="Times New Roman" w:cs="Times New Roman"/>
          <w:b/>
          <w:bCs/>
          <w:kern w:val="0"/>
          <w:lang w:val="sr-Latn-RS" w:eastAsia="sr-Latn-RS"/>
          <w14:ligatures w14:val="none"/>
        </w:rPr>
        <w:t>izabrani Data Rate 50 SPS</w:t>
      </w:r>
      <w:r>
        <w:rPr>
          <w:rFonts w:eastAsia="Times New Roman" w:cs="Times New Roman"/>
          <w:kern w:val="0"/>
          <w:lang w:val="sr-Latn-RS" w:eastAsia="sr-Latn-RS"/>
          <w14:ligatures w14:val="none"/>
        </w:rPr>
        <w:t>, a preporuka iz datasheeta je:</w:t>
      </w:r>
    </w:p>
    <w:p>
      <w:pPr>
        <w:pStyle w:val="ListParagraph"/>
        <w:spacing w:beforeAutospacing="1" w:afterAutospacing="1"/>
        <w:contextualSpacing/>
        <w:jc w:val="center"/>
        <w:rPr>
          <w:rFonts w:eastAsia="Times New Roman" w:cs="Times New Roman"/>
          <w:bCs/>
          <w:iCs/>
          <w:lang w:val="en-GB"/>
        </w:rPr>
      </w:pPr>
      <w:r>
        <w:rPr/>
      </w:r>
      <m:oMath xmlns:m="http://schemas.openxmlformats.org/officeDocument/2006/math">
        <m:r>
          <w:rPr>
            <w:rFonts w:ascii="Cambria Math" w:hAnsi="Cambria Math"/>
          </w:rPr>
          <m:t xml:space="preserve">data</m:t>
        </m:r>
        <m:r>
          <w:rPr>
            <w:rFonts w:ascii="Cambria Math" w:hAnsi="Cambria Math"/>
          </w:rPr>
          <m:t xml:space="preserve">rate</m:t>
        </m:r>
        <m:r>
          <w:rPr>
            <w:rFonts w:ascii="Cambria Math" w:hAnsi="Cambria Math"/>
          </w:rPr>
          <m:t xml:space="preserve">≤</m:t>
        </m:r>
        <m:sSub>
          <m:e>
            <m:r>
              <w:rPr>
                <w:rFonts w:ascii="Cambria Math" w:hAnsi="Cambria Math"/>
              </w:rPr>
              <m:t xml:space="preserve">f</m:t>
            </m:r>
          </m:e>
          <m:sub>
            <m:r>
              <w:rPr>
                <w:rFonts w:ascii="Cambria Math" w:hAnsi="Cambria Math"/>
              </w:rPr>
              <m:t xml:space="preserve">c</m:t>
            </m:r>
          </m:sub>
        </m:sSub>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data</m:t>
        </m:r>
        <m:r>
          <w:rPr>
            <w:rFonts w:ascii="Cambria Math" w:hAnsi="Cambria Math"/>
          </w:rPr>
          <m:t xml:space="preserve">rate</m:t>
        </m:r>
      </m:oMath>
      <w:r>
        <w:rPr>
          <w:rFonts w:eastAsia="Times New Roman" w:cs="Times New Roman"/>
          <w:bCs/>
          <w:iCs/>
          <w:lang w:val="sr-Latn-RS"/>
        </w:rPr>
        <w:t xml:space="preserve"> </w:t>
      </w:r>
      <w:r>
        <w:rPr>
          <w:rFonts w:eastAsia="Times New Roman" w:cs="Times New Roman"/>
          <w:bCs/>
          <w:iCs/>
          <w:lang w:val="sr-Latn-RS"/>
        </w:rPr>
        <w:t xml:space="preserve">[6], </w:t>
      </w:r>
    </w:p>
    <w:p>
      <w:pPr>
        <w:pStyle w:val="ListParagraph"/>
        <w:spacing w:beforeAutospacing="1" w:afterAutospacing="1"/>
        <w:contextualSpacing/>
        <w:rPr>
          <w:rFonts w:eastAsia="Times New Roman" w:cs="Times New Roman"/>
          <w:bCs/>
          <w:iCs/>
          <w:lang w:val="sr-Latn-RS"/>
        </w:rPr>
      </w:pPr>
      <w:r>
        <w:rPr>
          <w:rFonts w:eastAsia="Times New Roman" w:cs="Times New Roman"/>
          <w:bCs/>
          <w:iCs/>
          <w:lang w:val="sr-Latn-RS"/>
        </w:rPr>
        <w:t xml:space="preserve">izabrana </w:t>
      </w:r>
      <w:r>
        <w:rPr>
          <w:rFonts w:eastAsia="Times New Roman" w:cs="Times New Roman"/>
          <w:bCs/>
          <w:i/>
          <w:lang w:val="sr-Latn-RS"/>
        </w:rPr>
        <w:t>cutoff</w:t>
      </w:r>
      <w:r>
        <w:rPr>
          <w:rFonts w:eastAsia="Times New Roman" w:cs="Times New Roman"/>
          <w:bCs/>
          <w:iCs/>
          <w:lang w:val="sr-Latn-RS"/>
        </w:rPr>
        <w:t xml:space="preserve"> frekvencija biće:</w:t>
      </w:r>
    </w:p>
    <w:p>
      <w:pPr>
        <w:pStyle w:val="ListParagraph"/>
        <w:spacing w:beforeAutospacing="1" w:afterAutospacing="1"/>
        <w:contextualSpacing/>
        <w:jc w:val="center"/>
        <w:rPr>
          <w:rFonts w:eastAsia="Times New Roman" w:cs="Times New Roman"/>
          <w:bCs/>
          <w:iCs/>
          <w:lang w:val="sr-Latn-RS"/>
        </w:rPr>
      </w:pPr>
      <w:r>
        <w:rPr/>
      </w:r>
      <m:oMath xmlns:m="http://schemas.openxmlformats.org/officeDocument/2006/math">
        <m:sSub>
          <m:e>
            <m:r>
              <w:rPr>
                <w:rFonts w:ascii="Cambria Math" w:hAnsi="Cambria Math"/>
              </w:rPr>
              <m:t xml:space="preserve">f</m:t>
            </m:r>
          </m:e>
          <m:sub>
            <m:r>
              <w:rPr>
                <w:rFonts w:ascii="Cambria Math" w:hAnsi="Cambria Math"/>
              </w:rPr>
              <m:t xml:space="preserve">c</m:t>
            </m:r>
          </m:sub>
        </m:sSub>
        <m:r>
          <w:rPr>
            <w:rFonts w:ascii="Cambria Math" w:hAnsi="Cambria Math"/>
          </w:rPr>
          <m:t xml:space="preserve">=</m:t>
        </m:r>
        <m:r>
          <w:rPr>
            <w:rFonts w:ascii="Cambria Math" w:hAnsi="Cambria Math"/>
          </w:rPr>
          <m:t xml:space="preserve">100</m:t>
        </m:r>
        <m:r>
          <w:rPr>
            <w:rFonts w:ascii="Cambria Math" w:hAnsi="Cambria Math"/>
          </w:rPr>
          <m:t xml:space="preserve">Hz</m:t>
        </m:r>
      </m:oMath>
      <w:r>
        <w:rPr>
          <w:rFonts w:eastAsia="Times New Roman" w:cs="Times New Roman"/>
          <w:bCs/>
          <w:iCs/>
          <w:lang w:val="sr-Latn-RS"/>
        </w:rPr>
        <w:t>.</w:t>
      </w:r>
    </w:p>
    <w:p>
      <w:pPr>
        <w:pStyle w:val="ListParagraph"/>
        <w:numPr>
          <w:ilvl w:val="0"/>
          <w:numId w:val="7"/>
        </w:numPr>
        <w:spacing w:beforeAutospacing="1" w:afterAutospacing="1"/>
        <w:contextualSpacing/>
        <w:jc w:val="left"/>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Za izabranu </w:t>
      </w:r>
      <w:r>
        <w:rPr>
          <w:rFonts w:eastAsia="Times New Roman" w:cs="Times New Roman"/>
          <w:i/>
          <w:iCs/>
          <w:kern w:val="0"/>
          <w:lang w:val="sr-Latn-RS" w:eastAsia="sr-Latn-RS"/>
          <w14:ligatures w14:val="none"/>
        </w:rPr>
        <w:t xml:space="preserve">cutoff </w:t>
      </w:r>
      <w:r>
        <w:rPr>
          <w:rFonts w:eastAsia="Times New Roman" w:cs="Times New Roman"/>
          <w:kern w:val="0"/>
          <w:lang w:val="sr-Latn-RS" w:eastAsia="sr-Latn-RS"/>
          <w14:ligatures w14:val="none"/>
        </w:rPr>
        <w:t xml:space="preserve"> frekvenciju i industrijski standardnu otpornost R=4.7 kΩ vrednost kondezatora iznosi:</w:t>
      </w:r>
    </w:p>
    <w:p>
      <w:pPr>
        <w:pStyle w:val="ListParagraph"/>
        <w:spacing w:beforeAutospacing="1" w:afterAutospacing="1"/>
        <w:contextualSpacing/>
        <w:jc w:val="center"/>
        <w:rPr>
          <w:rFonts w:eastAsia="Times New Roman" w:cs="Times New Roman"/>
          <w:bCs/>
          <w:iCs/>
          <w:lang w:val="sr-Latn-RS"/>
        </w:rPr>
      </w:pPr>
      <w:r>
        <w:rPr/>
      </w:r>
      <m:oMath xmlns:m="http://schemas.openxmlformats.org/officeDocument/2006/math">
        <m:r>
          <w:rPr>
            <w:rFonts w:ascii="Cambria Math" w:hAnsi="Cambria Math"/>
          </w:rPr>
          <m:t xml:space="preserve">C</m:t>
        </m:r>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π</m:t>
            </m:r>
            <m:sSub>
              <m:e>
                <m:r>
                  <w:rPr>
                    <w:rFonts w:ascii="Cambria Math" w:hAnsi="Cambria Math"/>
                  </w:rPr>
                  <m:t xml:space="preserve">f</m:t>
                </m:r>
              </m:e>
              <m:sub>
                <m:r>
                  <w:rPr>
                    <w:rFonts w:ascii="Cambria Math" w:hAnsi="Cambria Math"/>
                  </w:rPr>
                  <m:t xml:space="preserve">c</m:t>
                </m:r>
              </m:sub>
            </m:sSub>
            <m:r>
              <w:rPr>
                <w:rFonts w:ascii="Cambria Math" w:hAnsi="Cambria Math"/>
              </w:rPr>
              <m:t xml:space="preserve">R</m:t>
            </m:r>
          </m:den>
        </m:f>
        <m:r>
          <w:rPr>
            <w:rFonts w:ascii="Cambria Math" w:hAnsi="Cambria Math"/>
          </w:rPr>
          <m:t xml:space="preserve">≈</m:t>
        </m:r>
        <m:r>
          <w:rPr>
            <w:rFonts w:ascii="Cambria Math" w:hAnsi="Cambria Math"/>
          </w:rPr>
          <m:t xml:space="preserve">330</m:t>
        </m:r>
        <m:r>
          <w:rPr>
            <w:rFonts w:ascii="Cambria Math" w:hAnsi="Cambria Math"/>
          </w:rPr>
          <m:t xml:space="preserve">nF</m:t>
        </m:r>
      </m:oMath>
      <w:r>
        <w:rPr>
          <w:rFonts w:eastAsia="Times New Roman" w:cs="Times New Roman"/>
          <w:bCs/>
          <w:iCs/>
          <w:lang w:val="sr-Latn-RS"/>
        </w:rPr>
        <w:t>. [9]</w:t>
      </w:r>
    </w:p>
    <w:p>
      <w:pPr>
        <w:pStyle w:val="ListParagraph"/>
        <w:spacing w:beforeAutospacing="1" w:afterAutospacing="1"/>
        <w:contextualSpacing/>
        <w:jc w:val="center"/>
        <w:rPr>
          <w:rFonts w:eastAsia="Times New Roman" w:cs="Times New Roman"/>
          <w:bCs/>
          <w:iCs/>
          <w:lang w:val="sr-Latn-RS"/>
        </w:rPr>
      </w:pPr>
      <w:r>
        <w:rPr>
          <w:rFonts w:eastAsia="Times New Roman" w:cs="Times New Roman"/>
          <w:bCs/>
          <w:iCs/>
          <w:lang w:val="sr-Latn-RS"/>
        </w:rPr>
      </w:r>
    </w:p>
    <w:p>
      <w:pPr>
        <w:pStyle w:val="ListParagraph"/>
        <w:spacing w:beforeAutospacing="1" w:afterAutospacing="1"/>
        <w:contextualSpacing/>
        <w:jc w:val="center"/>
        <w:rPr>
          <w:rFonts w:eastAsia="Times New Roman" w:cs="Times New Roman"/>
          <w:bCs/>
          <w:iCs/>
          <w:lang w:val="sr-Latn-RS"/>
        </w:rPr>
      </w:pPr>
      <w:r>
        <w:rPr>
          <w:rFonts w:eastAsia="Times New Roman" w:cs="Times New Roman"/>
          <w:bCs/>
          <w:iCs/>
          <w:lang w:val="sr-Latn-RS"/>
        </w:rPr>
      </w:r>
    </w:p>
    <w:p>
      <w:pPr>
        <w:pStyle w:val="ListParagraph"/>
        <w:spacing w:beforeAutospacing="1" w:afterAutospacing="1"/>
        <w:contextualSpacing/>
        <w:jc w:val="center"/>
        <w:rPr>
          <w:rFonts w:eastAsia="Times New Roman" w:cs="Times New Roman"/>
          <w:b/>
          <w:iCs/>
          <w:lang w:val="sr-Latn-RS"/>
        </w:rPr>
      </w:pPr>
      <w:r>
        <w:rPr>
          <w:rFonts w:eastAsia="Times New Roman" w:cs="Times New Roman"/>
          <w:b/>
          <w:iCs/>
          <w:lang w:val="sr-Latn-RS"/>
        </w:rPr>
        <w:t>ESF PRORAČUNI</w:t>
      </w:r>
    </w:p>
    <w:p>
      <w:pPr>
        <w:pStyle w:val="ListParagraph"/>
        <w:jc w:val="center"/>
        <w:rPr>
          <w:rFonts w:eastAsia="" w:eastAsiaTheme="minorEastAsia"/>
          <w:b/>
          <w:bCs/>
          <w:lang w:val="sr-Latn-RS"/>
        </w:rPr>
      </w:pPr>
      <w:r>
        <w:rPr>
          <w:rFonts w:eastAsia="" w:eastAsiaTheme="minorEastAsia"/>
          <w:b/>
          <w:bCs/>
          <w:lang w:val="sr-Latn-RS"/>
        </w:rPr>
      </w:r>
    </w:p>
    <w:p>
      <w:pPr>
        <w:pStyle w:val="ListParagraph"/>
        <w:jc w:val="center"/>
        <w:rPr>
          <w:rFonts w:eastAsia="" w:eastAsiaTheme="minorEastAsia"/>
          <w:b/>
          <w:bCs/>
          <w:lang w:val="sr-Latn-RS"/>
        </w:rPr>
      </w:pPr>
      <w:r>
        <w:rPr>
          <w:rFonts w:eastAsia="" w:eastAsiaTheme="minorEastAsia"/>
          <w:b/>
          <w:bCs/>
          <w:lang w:val="sr-Latn-RS"/>
        </w:rPr>
        <w:t>Proračun greške merenja</w:t>
      </w:r>
    </w:p>
    <w:p>
      <w:pPr>
        <w:pStyle w:val="ListParagraph"/>
        <w:rPr>
          <w:rFonts w:eastAsia="" w:eastAsiaTheme="minorEastAsia"/>
          <w:lang w:val="sr-Latn-RS"/>
        </w:rPr>
      </w:pPr>
      <w:r>
        <w:rPr>
          <w:rFonts w:eastAsia="" w:eastAsiaTheme="minorEastAsia"/>
          <w:lang w:val="sr-Latn-RS"/>
        </w:rPr>
      </w:r>
    </w:p>
    <w:p>
      <w:pPr>
        <w:pStyle w:val="ListParagraph"/>
        <w:numPr>
          <w:ilvl w:val="0"/>
          <w:numId w:val="6"/>
        </w:numPr>
        <w:rPr>
          <w:rFonts w:eastAsia="" w:eastAsiaTheme="minorEastAsia"/>
          <w:lang w:val="sr-Latn-RS"/>
        </w:rPr>
      </w:pPr>
      <w:r>
        <w:rPr>
          <w:rFonts w:eastAsia="" w:eastAsiaTheme="minorEastAsia"/>
        </w:rPr>
        <w:t xml:space="preserve">Najveća moguća greška koju uvodi ADC (kvantizaciona greška) iznosi polovinu koraka: </w:t>
      </w:r>
    </w:p>
    <w:p>
      <w:pPr>
        <w:pStyle w:val="ListParagraph"/>
        <w:jc w:val="center"/>
        <w:rPr>
          <w:rFonts w:eastAsia="" w:eastAsiaTheme="minorEastAsia"/>
          <w:lang w:val="sr-Latn-RS"/>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ADC</m:t>
              </m:r>
            </m:sub>
          </m:sSub>
          <m:r>
            <w:rPr>
              <w:rFonts w:ascii="Cambria Math" w:hAnsi="Cambria Math"/>
            </w:rPr>
            <m:t xml:space="preserve">=</m:t>
          </m:r>
          <m:f>
            <m:num>
              <m:sSub>
                <m:e>
                  <m:r>
                    <w:rPr>
                      <w:rFonts w:ascii="Cambria Math" w:hAnsi="Cambria Math"/>
                    </w:rPr>
                    <m:t xml:space="preserve">∆</m:t>
                  </m:r>
                  <m:r>
                    <w:rPr>
                      <w:rFonts w:ascii="Cambria Math" w:hAnsi="Cambria Math"/>
                    </w:rPr>
                    <m:t xml:space="preserve">Т</m:t>
                  </m:r>
                </m:e>
                <m:sub>
                  <m:r>
                    <w:rPr>
                      <w:rFonts w:ascii="Cambria Math" w:hAnsi="Cambria Math"/>
                    </w:rPr>
                    <m:t xml:space="preserve">korak</m:t>
                  </m:r>
                </m:sub>
              </m:sSub>
            </m:num>
            <m:den>
              <m:r>
                <w:rPr>
                  <w:rFonts w:ascii="Cambria Math" w:hAnsi="Cambria Math"/>
                </w:rPr>
                <m:t xml:space="preserve">2</m:t>
              </m:r>
            </m:den>
          </m:f>
          <m:r>
            <w:rPr>
              <w:rFonts w:ascii="Cambria Math" w:hAnsi="Cambria Math"/>
            </w:rPr>
            <m:t xml:space="preserve">≈</m:t>
          </m:r>
          <m:r>
            <w:rPr>
              <w:rFonts w:ascii="Cambria Math" w:hAnsi="Cambria Math"/>
            </w:rPr>
            <m:t xml:space="preserve">0.0035</m:t>
          </m:r>
          <m:r>
            <w:rPr>
              <w:rFonts w:ascii="Cambria Math" w:hAnsi="Cambria Math"/>
            </w:rPr>
            <m:t xml:space="preserve">℃</m:t>
          </m:r>
        </m:oMath>
      </m:oMathPara>
    </w:p>
    <w:p>
      <w:pPr>
        <w:pStyle w:val="ListParagraph"/>
        <w:numPr>
          <w:ilvl w:val="0"/>
          <w:numId w:val="6"/>
        </w:numPr>
        <w:rPr>
          <w:rFonts w:eastAsia="" w:eastAsiaTheme="minorEastAsia"/>
          <w:b/>
          <w:bCs/>
          <w:lang w:val="sr-Latn-RS"/>
        </w:rPr>
      </w:pPr>
      <w:r>
        <w:rPr>
          <w:rFonts w:eastAsia="" w:eastAsiaTheme="minorEastAsia"/>
        </w:rPr>
        <w:t>Pored toga, zbog nelinearne karakteristike senzora i korišćenja tabele za određivanje temperature</w:t>
      </w:r>
      <w:r>
        <w:rPr>
          <w:rFonts w:eastAsia="" w:eastAsiaTheme="minorEastAsia"/>
          <w:lang w:val="en-GB"/>
        </w:rPr>
        <w:t xml:space="preserve"> [2]</w:t>
      </w:r>
      <w:r>
        <w:rPr>
          <w:rFonts w:eastAsia="" w:eastAsiaTheme="minorEastAsia"/>
        </w:rPr>
        <w:t>:</w:t>
      </w:r>
    </w:p>
    <w:p>
      <w:pPr>
        <w:pStyle w:val="ListParagraph"/>
        <w:jc w:val="center"/>
        <w:rPr>
          <w:rFonts w:eastAsia="" w:eastAsiaTheme="minorEastAsia"/>
          <w:b/>
          <w:bCs/>
          <w:lang w:val="sr-Latn-RS"/>
        </w:rPr>
      </w:pPr>
      <w:r>
        <w:rPr/>
        <w:drawing>
          <wp:inline distT="0" distB="0" distL="0" distR="0">
            <wp:extent cx="6086475" cy="579755"/>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20"/>
                    <a:stretch>
                      <a:fillRect/>
                    </a:stretch>
                  </pic:blipFill>
                  <pic:spPr bwMode="auto">
                    <a:xfrm>
                      <a:off x="0" y="0"/>
                      <a:ext cx="6086475" cy="579755"/>
                    </a:xfrm>
                    <a:prstGeom prst="rect">
                      <a:avLst/>
                    </a:prstGeom>
                  </pic:spPr>
                </pic:pic>
              </a:graphicData>
            </a:graphic>
          </wp:inline>
        </w:drawing>
      </w:r>
    </w:p>
    <w:p>
      <w:pPr>
        <w:pStyle w:val="ListParagraph"/>
        <w:jc w:val="left"/>
        <w:rPr>
          <w:rFonts w:eastAsia="" w:eastAsiaTheme="minorEastAsia"/>
          <w:lang w:val="sr-Latn-RS"/>
        </w:rPr>
      </w:pPr>
      <w:r>
        <w:rPr>
          <w:rFonts w:eastAsia="" w:eastAsiaTheme="minorEastAsia"/>
          <w:lang w:val="sr-Latn-RS"/>
        </w:rPr>
        <w:t>Maksimalna greška interpolacije iznosi:</w:t>
      </w:r>
    </w:p>
    <w:p>
      <w:pPr>
        <w:pStyle w:val="ListParagraph"/>
        <w:jc w:val="center"/>
        <w:rPr>
          <w:rFonts w:eastAsia="" w:eastAsiaTheme="minorEastAsia"/>
          <w:lang w:val="sr-Latn-RS"/>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interp</m:t>
              </m:r>
            </m:sub>
          </m:sSub>
          <m:r>
            <w:rPr>
              <w:rFonts w:ascii="Cambria Math" w:hAnsi="Cambria Math"/>
            </w:rPr>
            <m:t xml:space="preserve">&lt;</m:t>
          </m:r>
          <m:r>
            <w:rPr>
              <w:rFonts w:ascii="Cambria Math" w:hAnsi="Cambria Math"/>
            </w:rPr>
            <m:t xml:space="preserve">0.5</m:t>
          </m:r>
          <m:r>
            <w:rPr>
              <w:rFonts w:ascii="Cambria Math" w:hAnsi="Cambria Math"/>
            </w:rPr>
            <m:t xml:space="preserve">℃</m:t>
          </m:r>
        </m:oMath>
      </m:oMathPara>
    </w:p>
    <w:p>
      <w:pPr>
        <w:pStyle w:val="ListParagraph"/>
        <w:numPr>
          <w:ilvl w:val="0"/>
          <w:numId w:val="6"/>
        </w:numPr>
        <w:rPr>
          <w:rFonts w:eastAsia="" w:eastAsiaTheme="minorEastAsia"/>
        </w:rPr>
      </w:pPr>
      <w:r>
        <w:rPr>
          <w:rFonts w:eastAsia="" w:eastAsiaTheme="minorEastAsia"/>
        </w:rPr>
        <w:t>Pretpostavljajući da su greške nezavisne, ukupna maksimalna greška merenja može se proceniti korišćenjem kvadratne sume:</w:t>
      </w:r>
    </w:p>
    <w:p>
      <w:pPr>
        <w:pStyle w:val="ListParagraph"/>
        <w:jc w:val="center"/>
        <w:rPr>
          <w:rFonts w:eastAsia="" w:eastAsiaTheme="minorEastAsia"/>
          <w:lang w:val="sr-Latn-RS"/>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total</m:t>
              </m:r>
            </m:sub>
          </m:sSub>
          <m:r>
            <w:rPr>
              <w:rFonts w:ascii="Cambria Math" w:hAnsi="Cambria Math"/>
            </w:rPr>
            <m:t xml:space="preserve">=</m:t>
          </m:r>
          <m:rad>
            <m:radPr>
              <m:degHide m:val="1"/>
            </m:radPr>
            <m:deg/>
            <m:e>
              <m:sSup>
                <m:e>
                  <m:sSub>
                    <m:e>
                      <m:r>
                        <w:rPr>
                          <w:rFonts w:ascii="Cambria Math" w:hAnsi="Cambria Math"/>
                        </w:rPr>
                        <m:t xml:space="preserve">e</m:t>
                      </m:r>
                    </m:e>
                    <m:sub>
                      <m:r>
                        <w:rPr>
                          <w:rFonts w:ascii="Cambria Math" w:hAnsi="Cambria Math"/>
                        </w:rPr>
                        <m:t xml:space="preserve">ADC</m:t>
                      </m:r>
                    </m:sub>
                  </m:sSub>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e</m:t>
                      </m:r>
                    </m:e>
                    <m:sub>
                      <m:r>
                        <w:rPr>
                          <w:rFonts w:ascii="Cambria Math" w:hAnsi="Cambria Math"/>
                        </w:rPr>
                        <m:t xml:space="preserve">interp</m:t>
                      </m:r>
                    </m:sub>
                  </m:sSub>
                </m:e>
                <m:sup>
                  <m:r>
                    <w:rPr>
                      <w:rFonts w:ascii="Cambria Math" w:hAnsi="Cambria Math"/>
                    </w:rPr>
                    <m:t xml:space="preserve">2</m:t>
                  </m:r>
                </m:sup>
              </m:sSup>
            </m:e>
          </m:rad>
          <m:r>
            <w:rPr>
              <w:rFonts w:ascii="Cambria Math" w:hAnsi="Cambria Math"/>
            </w:rPr>
            <m:t xml:space="preserve">≈</m:t>
          </m:r>
          <m:r>
            <w:rPr>
              <w:rFonts w:ascii="Cambria Math" w:hAnsi="Cambria Math"/>
            </w:rPr>
            <m:t xml:space="preserve">0.5</m:t>
          </m:r>
          <m:r>
            <w:rPr>
              <w:rFonts w:ascii="Cambria Math" w:hAnsi="Cambria Math"/>
            </w:rPr>
            <m:t xml:space="preserve">℃</m:t>
          </m:r>
        </m:oMath>
      </m:oMathPara>
    </w:p>
    <w:p>
      <w:pPr>
        <w:pStyle w:val="ListParagraph"/>
        <w:rPr>
          <w:rFonts w:eastAsia="" w:eastAsiaTheme="minorEastAsia"/>
          <w:lang w:val="sr-Latn-RS"/>
        </w:rPr>
      </w:pPr>
      <w:r>
        <w:rPr>
          <w:rFonts w:eastAsia="" w:eastAsiaTheme="minorEastAsia"/>
          <w:lang w:val="sr-Latn-RS"/>
        </w:rPr>
        <w:t>Iz ovoga se vidi da kvantizaciona greška ADC-a ima zanemarljiv uticaj u odnosu na grešku interpolacije, tako da je ukupna greška sistema praktično određena nelinearnošću senzora i metodom interpolacije.</w:t>
      </w:r>
    </w:p>
    <w:p>
      <w:pPr>
        <w:pStyle w:val="Normal"/>
        <w:keepNext w:val="true"/>
        <w:jc w:val="center"/>
        <w:rPr>
          <w:b/>
          <w:bCs/>
        </w:rPr>
      </w:pPr>
      <w:r>
        <w:rPr>
          <w:b/>
          <w:bCs/>
        </w:rPr>
        <w:t>Vreme za detekciju prekida žice u sistemu za praćenje temperature ćelija i otvaranje AIR-ova</w:t>
      </w:r>
    </w:p>
    <w:p>
      <w:pPr>
        <w:pStyle w:val="ListParagraph"/>
        <w:keepNext w:val="true"/>
        <w:numPr>
          <w:ilvl w:val="0"/>
          <w:numId w:val="6"/>
        </w:numPr>
        <w:rPr/>
      </w:pPr>
      <w:r>
        <w:rPr/>
        <w:t>Ovo je vreme koje protekne od trenutka kada se žica senzora fizički otkači do trenutka kada glavni releji (AIR) isključe visoki napon.</w:t>
      </w:r>
    </w:p>
    <w:p>
      <w:pPr>
        <w:pStyle w:val="ListParagraph"/>
        <w:numPr>
          <w:ilvl w:val="0"/>
          <w:numId w:val="6"/>
        </w:numPr>
        <w:rPr>
          <w:lang w:val="sr-Latn-RS"/>
        </w:rPr>
      </w:pPr>
      <w:r>
        <w:rPr>
          <w:lang w:val="sr-Latn-RS"/>
        </w:rPr>
        <w:t xml:space="preserve">Maksimalno vreme za koje se otvara AIR je 10 ms, ali u proračunu će se koristiti 12 ms (20% veća vrednost radi sigurnosti). </w:t>
      </w:r>
    </w:p>
    <w:p>
      <w:pPr>
        <w:pStyle w:val="ListParagraph"/>
        <w:numPr>
          <w:ilvl w:val="0"/>
          <w:numId w:val="6"/>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Zahvaljujući 680 Ω pull-up otporniku na 3.3V, čim se žica prekine, napon na ADC ulazu skače na maksimalnih 3.3V. Pošto je to iznad 2.44 v (maksimalnog napona koji po datasheetu [2] daje izlazni senzor), STM32 odmah zna da senzor više nije povezan.</w:t>
      </w:r>
    </w:p>
    <w:p>
      <w:pPr>
        <w:pStyle w:val="ListParagraph"/>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8"/>
        <w:gridCol w:w="5227"/>
      </w:tblGrid>
      <w:tr>
        <w:trPr/>
        <w:tc>
          <w:tcPr>
            <w:tcW w:w="5228"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Sample Rate</w:t>
            </w:r>
          </w:p>
        </w:tc>
        <w:tc>
          <w:tcPr>
            <w:tcW w:w="5227"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50 ms</w:t>
            </w:r>
          </w:p>
        </w:tc>
      </w:tr>
      <w:tr>
        <w:trPr/>
        <w:tc>
          <w:tcPr>
            <w:tcW w:w="5228"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MCU Processing &amp; CAN sending</w:t>
            </w:r>
          </w:p>
        </w:tc>
        <w:tc>
          <w:tcPr>
            <w:tcW w:w="5227"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200 ms</w:t>
            </w:r>
          </w:p>
        </w:tc>
      </w:tr>
      <w:tr>
        <w:trPr/>
        <w:tc>
          <w:tcPr>
            <w:tcW w:w="5228"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AMS Detection (2 poruke)</w:t>
            </w:r>
          </w:p>
        </w:tc>
        <w:tc>
          <w:tcPr>
            <w:tcW w:w="5227"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400 ms</w:t>
            </w:r>
          </w:p>
        </w:tc>
      </w:tr>
      <w:tr>
        <w:trPr/>
        <w:tc>
          <w:tcPr>
            <w:tcW w:w="5228"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AIR opening (sa 20% sigurnosti)</w:t>
            </w:r>
          </w:p>
        </w:tc>
        <w:tc>
          <w:tcPr>
            <w:tcW w:w="5227"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12 ms</w:t>
            </w:r>
          </w:p>
        </w:tc>
      </w:tr>
    </w:tbl>
    <w:p>
      <w:pPr>
        <w:pStyle w:val="Normal"/>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r>
    </w:p>
    <w:p>
      <w:pPr>
        <w:pStyle w:val="ListParagraph"/>
        <w:numPr>
          <w:ilvl w:val="0"/>
          <w:numId w:val="21"/>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Ukupno: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400</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462</m:t>
        </m:r>
        <m:r>
          <w:rPr>
            <w:rFonts w:ascii="Cambria Math" w:hAnsi="Cambria Math"/>
          </w:rPr>
          <m:t xml:space="preserve">ms</m:t>
        </m:r>
      </m:oMath>
    </w:p>
    <w:p>
      <w:pPr>
        <w:pStyle w:val="ListParagraph"/>
        <w:numPr>
          <w:ilvl w:val="0"/>
          <w:numId w:val="21"/>
        </w:numPr>
        <w:spacing w:before="0" w:after="0"/>
        <w:contextualSpacing/>
        <w:rPr>
          <w:rFonts w:eastAsia="Times New Roman" w:cs="Times New Roman"/>
          <w:kern w:val="0"/>
          <w:lang w:val="sr-Latn-RS" w:eastAsia="sr-Latn-RS"/>
          <w14:ligatures w14:val="none"/>
        </w:rPr>
      </w:pPr>
      <w:r>
        <w:rPr>
          <w:rFonts w:eastAsia="Times New Roman" w:cs="Times New Roman"/>
        </w:rPr>
        <w:t xml:space="preserve">Dodavanjem sigurnosne margine, dobijamo konačnu vrednost od </w:t>
      </w:r>
      <w:r>
        <w:rPr/>
      </w:r>
      <m:oMath xmlns:m="http://schemas.openxmlformats.org/officeDocument/2006/math">
        <m:r>
          <w:rPr>
            <w:rFonts w:ascii="Cambria Math" w:hAnsi="Cambria Math"/>
          </w:rPr>
          <m:t xml:space="preserve">500</m:t>
        </m:r>
      </m:oMath>
      <w:r>
        <w:rPr>
          <w:rFonts w:eastAsia="Times New Roman" w:cs="Times New Roman"/>
        </w:rPr>
        <w:t xml:space="preserve"> ms.</w:t>
      </w:r>
    </w:p>
    <w:p>
      <w:pPr>
        <w:pStyle w:val="Normal"/>
        <w:jc w:val="center"/>
        <w:rPr>
          <w:b/>
          <w:bCs/>
        </w:rPr>
      </w:pPr>
      <w:r>
        <w:rPr>
          <w:b/>
          <w:bCs/>
        </w:rPr>
        <w:t>Vreme za detekciju kratkog spoja sa naponom napajanja i otvaranje AIR-ova</w:t>
      </w:r>
    </w:p>
    <w:p>
      <w:pPr>
        <w:pStyle w:val="ListParagraph"/>
        <w:numPr>
          <w:ilvl w:val="0"/>
          <w:numId w:val="18"/>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Ovo je vreme od trenutka kada žica signala sa senzora (MEAS+) dodirne liniju napajanja (iso 3.3 V) do gašenja sistema.</w:t>
      </w:r>
    </w:p>
    <w:p>
      <w:pPr>
        <w:pStyle w:val="ListParagraph"/>
        <w:numPr>
          <w:ilvl w:val="0"/>
          <w:numId w:val="18"/>
        </w:numPr>
        <w:rPr>
          <w:rFonts w:cs="Times New Roman"/>
          <w:b/>
          <w:bCs/>
        </w:rPr>
      </w:pPr>
      <w:r>
        <w:rPr>
          <w:rFonts w:cs="Times New Roman"/>
        </w:rPr>
        <w:t>Situacija je ista kao kod detekcije prekida žice.</w:t>
      </w:r>
    </w:p>
    <w:p>
      <w:pPr>
        <w:pStyle w:val="Normal"/>
        <w:jc w:val="center"/>
        <w:rPr>
          <w:rFonts w:cs="Times New Roman"/>
          <w:b/>
          <w:bCs/>
        </w:rPr>
      </w:pPr>
      <w:r>
        <w:rPr>
          <w:rFonts w:cs="Times New Roman"/>
          <w:b/>
          <w:bCs/>
        </w:rPr>
        <w:t>Vreme za detekciju kratkog spoja sa masom i otvaranje AIR-ova</w:t>
      </w:r>
    </w:p>
    <w:p>
      <w:pPr>
        <w:pStyle w:val="ListParagraph"/>
        <w:numPr>
          <w:ilvl w:val="0"/>
          <w:numId w:val="18"/>
        </w:numPr>
        <w:spacing w:before="0" w:after="0"/>
        <w:contextualSpacing/>
        <w:rPr>
          <w:rFonts w:cs="Times New Roman"/>
        </w:rPr>
      </w:pPr>
      <w:r>
        <w:rPr>
          <w:rFonts w:eastAsia="Times New Roman" w:cs="Times New Roman"/>
          <w:kern w:val="0"/>
          <w:lang w:val="sr-Latn-RS" w:eastAsia="sr-Latn-RS"/>
          <w14:ligatures w14:val="none"/>
        </w:rPr>
        <w:t>Ovo je vreme od trenutka kada žica signala sa senzora (MEAS+) dodirne masu.</w:t>
      </w:r>
    </w:p>
    <w:p>
      <w:pPr>
        <w:pStyle w:val="ListParagraph"/>
        <w:numPr>
          <w:ilvl w:val="0"/>
          <w:numId w:val="18"/>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Napon na ADC-u trenutno pada na 0V. Prema tabeli senzora </w:t>
      </w:r>
      <w:r>
        <w:rPr>
          <w:rFonts w:eastAsia="Times New Roman" w:cs="Times New Roman"/>
          <w:kern w:val="0"/>
          <w:lang w:val="en-GB" w:eastAsia="sr-Latn-RS"/>
          <w14:ligatures w14:val="none"/>
        </w:rPr>
        <w:t>[2]</w:t>
      </w:r>
      <w:r>
        <w:rPr>
          <w:rFonts w:eastAsia="Times New Roman" w:cs="Times New Roman"/>
          <w:kern w:val="0"/>
          <w:lang w:val="sr-Latn-RS" w:eastAsia="sr-Latn-RS"/>
          <w14:ligatures w14:val="none"/>
        </w:rPr>
        <w:t>, najniži validan napon je 1.30 V. Pošto je 0 V &lt; 1.30, sistem ovo tretira kao alarmantno pregrevanje ili kvar i istog momenta reaguje.</w:t>
      </w:r>
    </w:p>
    <w:p>
      <w:pPr>
        <w:pStyle w:val="ListParagraph"/>
        <w:numPr>
          <w:ilvl w:val="0"/>
          <w:numId w:val="18"/>
        </w:numPr>
        <w:spacing w:before="0" w:after="0"/>
        <w:contextualSpacing/>
        <w:rPr/>
      </w:pPr>
      <w:r>
        <w:rPr/>
        <w:t>Sitaucija ista kao prethodne dve.</w:t>
      </w:r>
    </w:p>
    <w:p>
      <w:pPr>
        <w:pStyle w:val="ListParagraph"/>
        <w:spacing w:before="0" w:after="0"/>
        <w:contextualSpacing/>
        <w:rPr/>
      </w:pPr>
      <w:r>
        <w:rPr/>
      </w:r>
    </w:p>
    <w:p>
      <w:pPr>
        <w:pStyle w:val="Normal"/>
        <w:jc w:val="center"/>
        <w:rPr>
          <w:b/>
          <w:bCs/>
        </w:rPr>
      </w:pPr>
      <w:r>
        <w:rPr>
          <w:b/>
          <w:bCs/>
        </w:rPr>
        <w:t>Vreme za detekciju neverodostojnosti usled vrednosti van opsega i otvaranje AIR-ova</w:t>
      </w:r>
    </w:p>
    <w:p>
      <w:pPr>
        <w:pStyle w:val="ListParagraph"/>
        <w:numPr>
          <w:ilvl w:val="0"/>
          <w:numId w:val="19"/>
        </w:numPr>
        <w:rPr/>
      </w:pPr>
      <w:r>
        <w:rPr/>
        <w:t>Odnosi se na vreme koje je potrebno sistemu da prepozna napon koji je fizički nemoguć za ispravan senzor u normalnim uslovima rada.</w:t>
      </w:r>
    </w:p>
    <w:p>
      <w:pPr>
        <w:pStyle w:val="ListParagraph"/>
        <w:numPr>
          <w:ilvl w:val="0"/>
          <w:numId w:val="19"/>
        </w:numPr>
        <w:rPr/>
      </w:pPr>
      <w:r>
        <w:rPr/>
        <w:t>Ponovo, situacija je ista kao u prethodnim slučajevima.</w:t>
      </w:r>
    </w:p>
    <w:p>
      <w:pPr>
        <w:pStyle w:val="Normal"/>
        <w:jc w:val="center"/>
        <w:rPr>
          <w:b/>
          <w:bCs/>
        </w:rPr>
      </w:pPr>
      <w:r>
        <w:rPr>
          <w:b/>
          <w:bCs/>
        </w:rPr>
        <w:t>Vreme za detekciju otkaza digitalno prenošenih signala i otvaranje AIR-ova</w:t>
      </w:r>
    </w:p>
    <w:p>
      <w:pPr>
        <w:pStyle w:val="ListParagraph"/>
        <w:numPr>
          <w:ilvl w:val="0"/>
          <w:numId w:val="20"/>
        </w:numPr>
        <w:jc w:val="left"/>
        <w:rPr/>
      </w:pPr>
      <w:r>
        <w:rPr/>
        <w:t>Ovo se odnosi na kvar same komunikacije. To se dešava ako npr. CAN žica pukne, ako STM32 ostane bez napajanja ili ako softver zabaguje.</w:t>
      </w:r>
    </w:p>
    <w:p>
      <w:pPr>
        <w:pStyle w:val="ListParagraph"/>
        <w:numPr>
          <w:ilvl w:val="0"/>
          <w:numId w:val="20"/>
        </w:numPr>
        <w:jc w:val="left"/>
        <w:rPr>
          <w:lang w:val="sr-Latn-RS"/>
        </w:rPr>
      </w:pPr>
      <w:r>
        <w:rPr/>
        <w:t>O</w:t>
      </w:r>
      <w:r>
        <w:rPr>
          <w:lang w:val="sr-Latn-RS"/>
        </w:rPr>
        <w:t>rion 2 BMS je programiran da očekuje podatke od svakog segmenta na svakig 400 ms. Ako bilo koji modul prestane da šalje poruke, AMS detektuje prekid i otvara releje.</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8"/>
        <w:gridCol w:w="5227"/>
      </w:tblGrid>
      <w:tr>
        <w:trPr/>
        <w:tc>
          <w:tcPr>
            <w:tcW w:w="5228"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MCU Processing &amp; CAN sending</w:t>
            </w:r>
          </w:p>
        </w:tc>
        <w:tc>
          <w:tcPr>
            <w:tcW w:w="5227"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200 ms</w:t>
            </w:r>
          </w:p>
        </w:tc>
      </w:tr>
      <w:tr>
        <w:trPr/>
        <w:tc>
          <w:tcPr>
            <w:tcW w:w="5228"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AMS Detection (2 poruke)</w:t>
            </w:r>
          </w:p>
        </w:tc>
        <w:tc>
          <w:tcPr>
            <w:tcW w:w="5227"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400 ms</w:t>
            </w:r>
          </w:p>
        </w:tc>
      </w:tr>
      <w:tr>
        <w:trPr/>
        <w:tc>
          <w:tcPr>
            <w:tcW w:w="5228"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AIR opening (sa 20% sigurnosti)</w:t>
            </w:r>
          </w:p>
        </w:tc>
        <w:tc>
          <w:tcPr>
            <w:tcW w:w="5227" w:type="dxa"/>
            <w:tcBorders/>
          </w:tcPr>
          <w:p>
            <w:pPr>
              <w:pStyle w:val="Normal"/>
              <w:widowControl/>
              <w:suppressAutoHyphens w:val="true"/>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12 ms</w:t>
            </w:r>
          </w:p>
        </w:tc>
      </w:tr>
    </w:tbl>
    <w:p>
      <w:pPr>
        <w:pStyle w:val="Normal"/>
        <w:rPr>
          <w:lang w:val="sr-Latn-RS"/>
        </w:rPr>
      </w:pPr>
      <w:r>
        <w:rPr>
          <w:lang w:val="sr-Latn-RS"/>
        </w:rPr>
      </w:r>
    </w:p>
    <w:p>
      <w:pPr>
        <w:pStyle w:val="ListParagraph"/>
        <w:numPr>
          <w:ilvl w:val="0"/>
          <w:numId w:val="20"/>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Ukupno: </w:t>
      </w:r>
      <w:r>
        <w:rPr/>
      </w:r>
      <m:oMath xmlns:m="http://schemas.openxmlformats.org/officeDocument/2006/math">
        <m:r>
          <w:rPr>
            <w:rFonts w:ascii="Cambria Math" w:hAnsi="Cambria Math"/>
          </w:rPr>
          <m:t xml:space="preserve">400</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412</m:t>
        </m:r>
        <m:r>
          <w:rPr>
            <w:rFonts w:ascii="Cambria Math" w:hAnsi="Cambria Math"/>
          </w:rPr>
          <m:t xml:space="preserve">ms</m:t>
        </m:r>
      </m:oMath>
    </w:p>
    <w:p>
      <w:pPr>
        <w:pStyle w:val="ListParagraph"/>
        <w:numPr>
          <w:ilvl w:val="0"/>
          <w:numId w:val="20"/>
        </w:numPr>
        <w:rPr>
          <w:lang w:val="sr-Latn-RS"/>
        </w:rPr>
      </w:pPr>
      <w:r>
        <w:rPr>
          <w:lang w:val="sr-Latn-RS"/>
        </w:rPr>
        <w:t>Dodavanjem sigurnosne margine, dobije se 450 ms.</w:t>
      </w:r>
    </w:p>
    <w:p>
      <w:pPr>
        <w:pStyle w:val="Normal"/>
        <w:spacing w:before="0" w:after="160"/>
        <w:jc w:val="center"/>
        <w:rPr/>
      </w:pPr>
      <w:r>
        <w:rPr/>
      </w:r>
    </w:p>
    <w:sectPr>
      <w:type w:val="continuous"/>
      <w:pgSz w:w="11906" w:h="16838"/>
      <w:pgMar w:left="720" w:right="720" w:gutter="0" w:header="0" w:top="720" w:footer="720" w:bottom="777"/>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sr-Latn-RS"/>
      </w:rPr>
    </w:pPr>
    <w:r>
      <w:drawing>
        <wp:anchor behindDoc="1" distT="0" distB="0" distL="0" distR="0" simplePos="0" locked="0" layoutInCell="0" allowOverlap="1" relativeHeight="38">
          <wp:simplePos x="0" y="0"/>
          <wp:positionH relativeFrom="margin">
            <wp:posOffset>-304800</wp:posOffset>
          </wp:positionH>
          <wp:positionV relativeFrom="paragraph">
            <wp:posOffset>19050</wp:posOffset>
          </wp:positionV>
          <wp:extent cx="1458595" cy="317500"/>
          <wp:effectExtent l="0" t="0" r="0" b="0"/>
          <wp:wrapNone/>
          <wp:docPr id="4"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r>
      <w:rPr>
        <w:lang w:val="sr-RS"/>
      </w:rPr>
      <w:t xml:space="preserve"> </w:t>
    </w:r>
    <w:r>
      <w:rPr>
        <w:lang w:val="sr-RS"/>
      </w:rPr>
      <w:tab/>
    </w:r>
    <w:r>
      <w:rPr>
        <w:lang w:val="sr-Latn-RS"/>
      </w:rPr>
      <w:t xml:space="preserve">Sezona 2025/26 – Nizak napon – </w:t>
    </w:r>
    <w:r>
      <w:rPr>
        <w:lang w:val="sr-Latn-RS"/>
      </w:rPr>
      <w:t xml:space="preserve"> Temp. Sensing System</w:t>
    </w:r>
    <w:r>
      <w:rPr>
        <w:lang w:val="sr-RS"/>
      </w:rPr>
      <w:tab/>
    </w:r>
    <w:r>
      <w:rPr>
        <w:lang w:val="sr-RS"/>
      </w:rPr>
      <w:fldChar w:fldCharType="begin"/>
    </w:r>
    <w:r>
      <w:rPr>
        <w:lang w:val="sr-RS"/>
      </w:rPr>
      <w:instrText xml:space="preserve"> PAGE </w:instrText>
    </w:r>
    <w:r>
      <w:rPr>
        <w:lang w:val="sr-RS"/>
      </w:rPr>
      <w:fldChar w:fldCharType="separate"/>
    </w:r>
    <w:r>
      <w:rPr>
        <w:lang w:val="sr-RS"/>
      </w:rPr>
      <w:t>18</w:t>
    </w:r>
    <w:r>
      <w:rPr>
        <w:lang w:val="sr-R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Header"/>
      <w:jc w:val="center"/>
      <w:rPr>
        <w:rFonts w:ascii="Arial" w:hAnsi="Arial" w:cs="Arial"/>
        <w:lang w:val="de-DE"/>
      </w:rPr>
    </w:pPr>
    <w:r>
      <w:rPr>
        <w:rFonts w:cs="Arial" w:ascii="Arial" w:hAnsi="Arial"/>
        <w:lang w:val="de-DE"/>
      </w:rPr>
      <w:t>Akademsko udruženje studenata „Formula Student“ u Novom Sadu – Crni Stršljeni</w:t>
    </w:r>
  </w:p>
  <w:p>
    <w:pPr>
      <w:pStyle w:val="Footer"/>
      <w:rPr/>
    </w:pPr>
    <w:r>
      <w:rPr/>
      <w:drawing>
        <wp:anchor behindDoc="1" distT="0" distB="0" distL="0" distR="0" simplePos="0" locked="0" layoutInCell="0" allowOverlap="1" relativeHeight="21">
          <wp:simplePos x="0" y="0"/>
          <wp:positionH relativeFrom="margin">
            <wp:align>center</wp:align>
          </wp:positionH>
          <wp:positionV relativeFrom="paragraph">
            <wp:posOffset>156845</wp:posOffset>
          </wp:positionV>
          <wp:extent cx="1458595" cy="317500"/>
          <wp:effectExtent l="0" t="0" r="0" b="0"/>
          <wp:wrapNone/>
          <wp:docPr id="5" name="Image2"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13335" distB="89535" distL="52070" distR="50800" simplePos="0" locked="0" layoutInCell="0" allowOverlap="1" relativeHeight="18" wp14:anchorId="186A84D5">
              <wp:simplePos x="0" y="0"/>
              <wp:positionH relativeFrom="margin">
                <wp:align>center</wp:align>
              </wp:positionH>
              <wp:positionV relativeFrom="paragraph">
                <wp:posOffset>-238125</wp:posOffset>
              </wp:positionV>
              <wp:extent cx="2943225" cy="571500"/>
              <wp:effectExtent l="52070" t="13335" r="50800" b="89535"/>
              <wp:wrapNone/>
              <wp:docPr id="1" name="Rectangle: Rounded Corners 7"/>
              <a:graphic xmlns:a="http://schemas.openxmlformats.org/drawingml/2006/main">
                <a:graphicData uri="http://schemas.microsoft.com/office/word/2010/wordprocessingShape">
                  <wps:wsp>
                    <wps:cNvSpPr/>
                    <wps:spPr>
                      <a:xfrm>
                        <a:off x="0" y="0"/>
                        <a:ext cx="2943360" cy="571680"/>
                      </a:xfrm>
                      <a:prstGeom prst="roundRect">
                        <a:avLst>
                          <a:gd name="adj" fmla="val 16667"/>
                        </a:avLst>
                      </a:prstGeom>
                      <a:solidFill>
                        <a:srgbClr val="ff9900"/>
                      </a:solidFill>
                      <a:ln>
                        <a:noFill/>
                      </a:ln>
                      <a:effectLst>
                        <a:outerShdw algn="t" blurRad="50760" dir="5400000" dist="38160" rotWithShape="0">
                          <a:srgbClr val="000000">
                            <a:alpha val="40000"/>
                          </a:srgbClr>
                        </a:outerShdw>
                      </a:effectLst>
                    </wps:spPr>
                    <wps:style>
                      <a:lnRef idx="2">
                        <a:schemeClr val="accent2">
                          <a:shade val="15000"/>
                        </a:schemeClr>
                      </a:lnRef>
                      <a:fillRef idx="1">
                        <a:schemeClr val="accent2"/>
                      </a:fillRef>
                      <a:effectRef idx="0">
                        <a:schemeClr val="accent2"/>
                      </a:effectRef>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635" distB="0" distL="635" distR="0" simplePos="0" locked="0" layoutInCell="1" allowOverlap="1" relativeHeight="19" wp14:anchorId="146DF6F3">
              <wp:simplePos x="0" y="0"/>
              <wp:positionH relativeFrom="column">
                <wp:posOffset>-490855</wp:posOffset>
              </wp:positionH>
              <wp:positionV relativeFrom="paragraph">
                <wp:posOffset>-213360</wp:posOffset>
              </wp:positionV>
              <wp:extent cx="7610475" cy="1038225"/>
              <wp:effectExtent l="635" t="635" r="0" b="0"/>
              <wp:wrapNone/>
              <wp:docPr id="2" name="Rectangle 3"/>
              <a:graphic xmlns:a="http://schemas.openxmlformats.org/drawingml/2006/main">
                <a:graphicData uri="http://schemas.microsoft.com/office/word/2010/wordprocessingShape">
                  <wps:wsp>
                    <wps:cNvSpPr/>
                    <wps:spPr>
                      <a:xfrm>
                        <a:off x="0" y="0"/>
                        <a:ext cx="7610400" cy="1038240"/>
                      </a:xfrm>
                      <a:prstGeom prst="rect">
                        <a:avLst/>
                      </a:prstGeom>
                      <a:solidFill>
                        <a:srgbClr val="ff9900"/>
                      </a:solidFill>
                      <a:ln>
                        <a:noFill/>
                      </a:ln>
                      <a:effectLst>
                        <a:innerShdw blurRad="63500" dir="18900000" dist="50800">
                          <a:srgbClr val="000000">
                            <a:alpha val="50000"/>
                          </a:srgbClr>
                        </a:innerShdw>
                      </a:effectLst>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ID="Rectangle 3" path="m0,0l-2147483645,0l-2147483645,-2147483646l0,-2147483646xe" fillcolor="#ff9900" stroked="f" o:allowincell="f" style="position:absolute;margin-left:-38.65pt;margin-top:-16.8pt;width:599.2pt;height:81.7pt;mso-wrap-style:none;v-text-anchor:middle" wp14:anchorId="146DF6F3">
              <v:fill o:detectmouseclick="t" type="solid" color2="#0066ff"/>
              <v:stroke color="#3465a4" weight="19080" joinstyle="miter" endcap="flat"/>
              <w10:wrap type="none"/>
            </v:rect>
          </w:pict>
        </mc:Fallback>
      </mc:AlternateContent>
      <mc:AlternateContent>
        <mc:Choice Requires="wps">
          <w:drawing>
            <wp:anchor behindDoc="1" distT="24765" distB="77470" distL="24765" distR="77470" simplePos="0" locked="0" layoutInCell="1" allowOverlap="1" relativeHeight="20" wp14:anchorId="019EBD50">
              <wp:simplePos x="0" y="0"/>
              <wp:positionH relativeFrom="column">
                <wp:posOffset>-504190</wp:posOffset>
              </wp:positionH>
              <wp:positionV relativeFrom="paragraph">
                <wp:posOffset>-257175</wp:posOffset>
              </wp:positionV>
              <wp:extent cx="1133475" cy="1107440"/>
              <wp:effectExtent l="24765" t="24765" r="77470" b="77470"/>
              <wp:wrapNone/>
              <wp:docPr id="3" name="Flowchart: Manual Input 4"/>
              <a:graphic xmlns:a="http://schemas.openxmlformats.org/drawingml/2006/main">
                <a:graphicData uri="http://schemas.microsoft.com/office/word/2010/wordprocessingShape">
                  <wps:wsp>
                    <wps:cNvSpPr/>
                    <wps:spPr>
                      <a:xfrm rot="5400000">
                        <a:off x="0" y="0"/>
                        <a:ext cx="1133640" cy="1107360"/>
                      </a:xfrm>
                      <a:prstGeom prst="flowChartManualInput">
                        <a:avLst/>
                      </a:prstGeom>
                      <a:solidFill>
                        <a:schemeClr val="tx1"/>
                      </a:solidFill>
                      <a:ln>
                        <a:noFill/>
                      </a:ln>
                      <a:effectLst>
                        <a:outerShdw algn="tl" blurRad="50760" dir="2700000" dist="37674" rotWithShape="0">
                          <a:srgbClr val="000000">
                            <a:alpha val="40000"/>
                          </a:srgbClr>
                        </a:outerShdw>
                      </a:effectLst>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18" coordsize="21600,21600" o:spt="118" path="m,4320l21600,l21600,21600l,21600xe">
              <v:stroke joinstyle="miter"/>
              <v:path gradientshapeok="t" o:connecttype="rect" textboxrect="0,4320,21600,21600"/>
            </v:shapetype>
            <v:shape id="shape_0" ID="Flowchart: Manual Input 4" path="m0,1l5,0l5,5l0,5xe" fillcolor="black" stroked="f" o:allowincell="f" style="position:absolute;margin-left:-39.7pt;margin-top:-20.3pt;width:89.2pt;height:87.15pt;mso-wrap-style:none;v-text-anchor:middle;rotation:90" wp14:anchorId="019EBD50" type="_x0000_t118">
              <v:fill o:detectmouseclick="t" type="solid" color2="white"/>
              <v:stroke color="#3465a4" weight="19080" joinstyle="miter" endcap="flat"/>
              <v:shadow on="t" obscured="f" color="black"/>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3"/>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lowerRoman"/>
      <w:lvlText w:val="%1."/>
      <w:lvlJc w:val="right"/>
      <w:pPr>
        <w:tabs>
          <w:tab w:val="num" w:pos="0"/>
        </w:tabs>
        <w:ind w:left="2160" w:hanging="18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7">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49"/>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06cc"/>
    <w:pPr>
      <w:widowControl/>
      <w:suppressAutoHyphens w:val="true"/>
      <w:bidi w:val="0"/>
      <w:spacing w:lineRule="auto" w:line="240" w:before="0" w:after="160"/>
      <w:jc w:val="both"/>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Naslov1Char"/>
    <w:autoRedefine/>
    <w:uiPriority w:val="9"/>
    <w:qFormat/>
    <w:rsid w:val="009a5571"/>
    <w:pPr>
      <w:keepNext w:val="true"/>
      <w:keepLines/>
      <w:spacing w:before="360" w:after="80"/>
      <w:jc w:val="left"/>
      <w:outlineLvl w:val="0"/>
    </w:pPr>
    <w:rPr>
      <w:rFonts w:eastAsia="" w:cs="" w:cstheme="majorBidi" w:eastAsiaTheme="majorEastAsia"/>
      <w:b/>
      <w:color w:themeColor="text1" w:val="000000"/>
      <w:sz w:val="32"/>
      <w:szCs w:val="40"/>
    </w:rPr>
  </w:style>
  <w:style w:type="paragraph" w:styleId="Heading2">
    <w:name w:val="Heading 2"/>
    <w:basedOn w:val="Normal"/>
    <w:next w:val="Normal"/>
    <w:link w:val="Naslov2Char"/>
    <w:uiPriority w:val="9"/>
    <w:semiHidden/>
    <w:unhideWhenUsed/>
    <w:qFormat/>
    <w:rsid w:val="001e05d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slov3Char"/>
    <w:uiPriority w:val="9"/>
    <w:semiHidden/>
    <w:unhideWhenUsed/>
    <w:qFormat/>
    <w:rsid w:val="001e05d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slov4Char"/>
    <w:uiPriority w:val="9"/>
    <w:semiHidden/>
    <w:unhideWhenUsed/>
    <w:qFormat/>
    <w:rsid w:val="001e05d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slov5Char"/>
    <w:uiPriority w:val="9"/>
    <w:semiHidden/>
    <w:unhideWhenUsed/>
    <w:qFormat/>
    <w:rsid w:val="001e05d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slov6Char"/>
    <w:uiPriority w:val="9"/>
    <w:semiHidden/>
    <w:unhideWhenUsed/>
    <w:qFormat/>
    <w:rsid w:val="001e05d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slov7Char"/>
    <w:uiPriority w:val="9"/>
    <w:semiHidden/>
    <w:unhideWhenUsed/>
    <w:qFormat/>
    <w:rsid w:val="001e05d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slov8Char"/>
    <w:uiPriority w:val="9"/>
    <w:semiHidden/>
    <w:unhideWhenUsed/>
    <w:qFormat/>
    <w:rsid w:val="001e05d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slov9Char"/>
    <w:uiPriority w:val="9"/>
    <w:semiHidden/>
    <w:unhideWhenUsed/>
    <w:qFormat/>
    <w:rsid w:val="001e05d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slov1Char" w:customStyle="1">
    <w:name w:val="Naslov 1 Char"/>
    <w:basedOn w:val="DefaultParagraphFont"/>
    <w:link w:val="Heading1"/>
    <w:uiPriority w:val="9"/>
    <w:qFormat/>
    <w:rsid w:val="009a5571"/>
    <w:rPr>
      <w:rFonts w:ascii="Times New Roman" w:hAnsi="Times New Roman" w:eastAsia="" w:cs="" w:cstheme="majorBidi" w:eastAsiaTheme="majorEastAsia"/>
      <w:b/>
      <w:color w:themeColor="text1" w:val="000000"/>
      <w:sz w:val="32"/>
      <w:szCs w:val="40"/>
    </w:rPr>
  </w:style>
  <w:style w:type="character" w:styleId="Naslov2Char" w:customStyle="1">
    <w:name w:val="Naslov 2 Char"/>
    <w:basedOn w:val="DefaultParagraphFont"/>
    <w:link w:val="Heading2"/>
    <w:uiPriority w:val="9"/>
    <w:semiHidden/>
    <w:qFormat/>
    <w:rsid w:val="001e05de"/>
    <w:rPr>
      <w:rFonts w:ascii="Aptos Display" w:hAnsi="Aptos Display" w:eastAsia="" w:cs="" w:asciiTheme="majorHAnsi" w:cstheme="majorBidi" w:eastAsiaTheme="majorEastAsia" w:hAnsiTheme="majorHAnsi"/>
      <w:color w:themeColor="accent1" w:themeShade="bf" w:val="0F4761"/>
      <w:sz w:val="32"/>
      <w:szCs w:val="32"/>
    </w:rPr>
  </w:style>
  <w:style w:type="character" w:styleId="Naslov3Char" w:customStyle="1">
    <w:name w:val="Naslov 3 Char"/>
    <w:basedOn w:val="DefaultParagraphFont"/>
    <w:link w:val="Heading3"/>
    <w:uiPriority w:val="9"/>
    <w:semiHidden/>
    <w:qFormat/>
    <w:rsid w:val="001e05de"/>
    <w:rPr>
      <w:rFonts w:eastAsia="" w:cs="" w:cstheme="majorBidi" w:eastAsiaTheme="majorEastAsia"/>
      <w:color w:themeColor="accent1" w:themeShade="bf" w:val="0F4761"/>
      <w:sz w:val="28"/>
      <w:szCs w:val="28"/>
    </w:rPr>
  </w:style>
  <w:style w:type="character" w:styleId="Naslov4Char" w:customStyle="1">
    <w:name w:val="Naslov 4 Char"/>
    <w:basedOn w:val="DefaultParagraphFont"/>
    <w:link w:val="Heading4"/>
    <w:uiPriority w:val="9"/>
    <w:semiHidden/>
    <w:qFormat/>
    <w:rsid w:val="001e05de"/>
    <w:rPr>
      <w:rFonts w:eastAsia="" w:cs="" w:cstheme="majorBidi" w:eastAsiaTheme="majorEastAsia"/>
      <w:i/>
      <w:iCs/>
      <w:color w:themeColor="accent1" w:themeShade="bf" w:val="0F4761"/>
    </w:rPr>
  </w:style>
  <w:style w:type="character" w:styleId="Naslov5Char" w:customStyle="1">
    <w:name w:val="Naslov 5 Char"/>
    <w:basedOn w:val="DefaultParagraphFont"/>
    <w:link w:val="Heading5"/>
    <w:uiPriority w:val="9"/>
    <w:semiHidden/>
    <w:qFormat/>
    <w:rsid w:val="001e05de"/>
    <w:rPr>
      <w:rFonts w:eastAsia="" w:cs="" w:cstheme="majorBidi" w:eastAsiaTheme="majorEastAsia"/>
      <w:color w:themeColor="accent1" w:themeShade="bf" w:val="0F4761"/>
    </w:rPr>
  </w:style>
  <w:style w:type="character" w:styleId="Naslov6Char" w:customStyle="1">
    <w:name w:val="Naslov 6 Char"/>
    <w:basedOn w:val="DefaultParagraphFont"/>
    <w:link w:val="Heading6"/>
    <w:uiPriority w:val="9"/>
    <w:semiHidden/>
    <w:qFormat/>
    <w:rsid w:val="001e05de"/>
    <w:rPr>
      <w:rFonts w:eastAsia="" w:cs="" w:cstheme="majorBidi" w:eastAsiaTheme="majorEastAsia"/>
      <w:i/>
      <w:iCs/>
      <w:color w:themeColor="text1" w:themeTint="a6" w:val="595959"/>
    </w:rPr>
  </w:style>
  <w:style w:type="character" w:styleId="Naslov7Char" w:customStyle="1">
    <w:name w:val="Naslov 7 Char"/>
    <w:basedOn w:val="DefaultParagraphFont"/>
    <w:link w:val="Heading7"/>
    <w:uiPriority w:val="9"/>
    <w:semiHidden/>
    <w:qFormat/>
    <w:rsid w:val="001e05de"/>
    <w:rPr>
      <w:rFonts w:eastAsia="" w:cs="" w:cstheme="majorBidi" w:eastAsiaTheme="majorEastAsia"/>
      <w:color w:themeColor="text1" w:themeTint="a6" w:val="595959"/>
    </w:rPr>
  </w:style>
  <w:style w:type="character" w:styleId="Naslov8Char" w:customStyle="1">
    <w:name w:val="Naslov 8 Char"/>
    <w:basedOn w:val="DefaultParagraphFont"/>
    <w:link w:val="Heading8"/>
    <w:uiPriority w:val="9"/>
    <w:semiHidden/>
    <w:qFormat/>
    <w:rsid w:val="001e05de"/>
    <w:rPr>
      <w:rFonts w:eastAsia="" w:cs="" w:cstheme="majorBidi" w:eastAsiaTheme="majorEastAsia"/>
      <w:i/>
      <w:iCs/>
      <w:color w:themeColor="text1" w:themeTint="d8" w:val="272727"/>
    </w:rPr>
  </w:style>
  <w:style w:type="character" w:styleId="Naslov9Char" w:customStyle="1">
    <w:name w:val="Naslov 9 Char"/>
    <w:basedOn w:val="DefaultParagraphFont"/>
    <w:link w:val="Heading9"/>
    <w:uiPriority w:val="9"/>
    <w:semiHidden/>
    <w:qFormat/>
    <w:rsid w:val="001e05de"/>
    <w:rPr>
      <w:rFonts w:eastAsia="" w:cs="" w:cstheme="majorBidi" w:eastAsiaTheme="majorEastAsia"/>
      <w:color w:themeColor="text1" w:themeTint="d8" w:val="272727"/>
    </w:rPr>
  </w:style>
  <w:style w:type="character" w:styleId="NaslovChar" w:customStyle="1">
    <w:name w:val="Naslov Char"/>
    <w:basedOn w:val="DefaultParagraphFont"/>
    <w:link w:val="Title"/>
    <w:uiPriority w:val="10"/>
    <w:qFormat/>
    <w:rsid w:val="001e05de"/>
    <w:rPr>
      <w:rFonts w:ascii="Aptos Display" w:hAnsi="Aptos Display" w:eastAsia="" w:cs="" w:asciiTheme="majorHAnsi" w:cstheme="majorBidi" w:eastAsiaTheme="majorEastAsia" w:hAnsiTheme="majorHAnsi"/>
      <w:spacing w:val="-10"/>
      <w:kern w:val="2"/>
      <w:sz w:val="56"/>
      <w:szCs w:val="56"/>
    </w:rPr>
  </w:style>
  <w:style w:type="character" w:styleId="PodnaslovChar" w:customStyle="1">
    <w:name w:val="Podnaslov Char"/>
    <w:basedOn w:val="DefaultParagraphFont"/>
    <w:link w:val="Subtitle"/>
    <w:uiPriority w:val="11"/>
    <w:qFormat/>
    <w:rsid w:val="001e05de"/>
    <w:rPr>
      <w:rFonts w:eastAsia="" w:cs="" w:cstheme="majorBidi" w:eastAsiaTheme="majorEastAsia"/>
      <w:color w:themeColor="text1" w:themeTint="a6" w:val="595959"/>
      <w:spacing w:val="15"/>
      <w:sz w:val="28"/>
      <w:szCs w:val="28"/>
    </w:rPr>
  </w:style>
  <w:style w:type="character" w:styleId="NavoenjeChar" w:customStyle="1">
    <w:name w:val="Navođenje Char"/>
    <w:basedOn w:val="DefaultParagraphFont"/>
    <w:link w:val="Quote"/>
    <w:uiPriority w:val="29"/>
    <w:qFormat/>
    <w:rsid w:val="001e05de"/>
    <w:rPr>
      <w:i/>
      <w:iCs/>
      <w:color w:themeColor="text1" w:themeTint="bf" w:val="404040"/>
    </w:rPr>
  </w:style>
  <w:style w:type="character" w:styleId="IntenseEmphasis">
    <w:name w:val="Intense Emphasis"/>
    <w:basedOn w:val="DefaultParagraphFont"/>
    <w:uiPriority w:val="21"/>
    <w:qFormat/>
    <w:rsid w:val="001e05de"/>
    <w:rPr>
      <w:i/>
      <w:iCs/>
      <w:color w:themeColor="accent1" w:themeShade="bf" w:val="0F4761"/>
    </w:rPr>
  </w:style>
  <w:style w:type="character" w:styleId="PodebljaninavodniciChar" w:customStyle="1">
    <w:name w:val="Podebljani navodnici Char"/>
    <w:basedOn w:val="DefaultParagraphFont"/>
    <w:link w:val="IntenseQuote"/>
    <w:uiPriority w:val="30"/>
    <w:qFormat/>
    <w:rsid w:val="001e05de"/>
    <w:rPr>
      <w:i/>
      <w:iCs/>
      <w:color w:themeColor="accent1" w:themeShade="bf" w:val="0F4761"/>
    </w:rPr>
  </w:style>
  <w:style w:type="character" w:styleId="IntenseReference">
    <w:name w:val="Intense Reference"/>
    <w:basedOn w:val="DefaultParagraphFont"/>
    <w:uiPriority w:val="32"/>
    <w:qFormat/>
    <w:rsid w:val="001e05de"/>
    <w:rPr>
      <w:b/>
      <w:bCs/>
      <w:smallCaps/>
      <w:color w:themeColor="accent1" w:themeShade="bf" w:val="0F4761"/>
      <w:spacing w:val="5"/>
    </w:rPr>
  </w:style>
  <w:style w:type="character" w:styleId="ZaglavljestraniceChar" w:customStyle="1">
    <w:name w:val="Zaglavlje stranice Char"/>
    <w:basedOn w:val="DefaultParagraphFont"/>
    <w:link w:val="Header"/>
    <w:uiPriority w:val="99"/>
    <w:qFormat/>
    <w:rsid w:val="001e05de"/>
    <w:rPr/>
  </w:style>
  <w:style w:type="character" w:styleId="PodnojestraniceChar" w:customStyle="1">
    <w:name w:val="Podnožje stranice Char"/>
    <w:basedOn w:val="DefaultParagraphFont"/>
    <w:link w:val="Footer"/>
    <w:uiPriority w:val="99"/>
    <w:qFormat/>
    <w:rsid w:val="001e05de"/>
    <w:rPr/>
  </w:style>
  <w:style w:type="character" w:styleId="Hyperlink">
    <w:name w:val="Hyperlink"/>
    <w:basedOn w:val="DefaultParagraphFont"/>
    <w:uiPriority w:val="99"/>
    <w:unhideWhenUsed/>
    <w:rsid w:val="00654c52"/>
    <w:rPr>
      <w:color w:themeColor="hyperlink" w:val="467886"/>
      <w:u w:val="single"/>
    </w:rPr>
  </w:style>
  <w:style w:type="character" w:styleId="UnresolvedMention">
    <w:name w:val="Unresolved Mention"/>
    <w:basedOn w:val="DefaultParagraphFont"/>
    <w:uiPriority w:val="99"/>
    <w:semiHidden/>
    <w:unhideWhenUsed/>
    <w:qFormat/>
    <w:rsid w:val="00654c52"/>
    <w:rPr>
      <w:color w:val="605E5C"/>
      <w:shd w:fill="E1DFDD" w:val="clear"/>
    </w:rPr>
  </w:style>
  <w:style w:type="character" w:styleId="FollowedHyperlink">
    <w:name w:val="FollowedHyperlink"/>
    <w:basedOn w:val="DefaultParagraphFont"/>
    <w:uiPriority w:val="99"/>
    <w:semiHidden/>
    <w:unhideWhenUsed/>
    <w:rsid w:val="00654c52"/>
    <w:rPr>
      <w:color w:themeColor="followedHyperlink" w:val="96607D"/>
      <w:u w:val="single"/>
    </w:rPr>
  </w:style>
  <w:style w:type="character" w:styleId="Strong">
    <w:name w:val="Strong"/>
    <w:basedOn w:val="DefaultParagraphFont"/>
    <w:uiPriority w:val="22"/>
    <w:qFormat/>
    <w:rsid w:val="00453090"/>
    <w:rPr>
      <w:b/>
      <w:bCs/>
    </w:rPr>
  </w:style>
  <w:style w:type="character" w:styleId="PlaceholderText">
    <w:name w:val="Placeholder Text"/>
    <w:basedOn w:val="DefaultParagraphFont"/>
    <w:uiPriority w:val="99"/>
    <w:semiHidden/>
    <w:qFormat/>
    <w:rsid w:val="003044d6"/>
    <w:rPr>
      <w:color w:val="666666"/>
    </w:rPr>
  </w:style>
  <w:style w:type="character" w:styleId="relative" w:customStyle="1">
    <w:name w:val="relative"/>
    <w:basedOn w:val="DefaultParagraphFont"/>
    <w:qFormat/>
    <w:rsid w:val="008e25a1"/>
    <w:rPr/>
  </w:style>
  <w:style w:type="character" w:styleId="annotationreference">
    <w:name w:val="annotation reference"/>
    <w:basedOn w:val="DefaultParagraphFont"/>
    <w:uiPriority w:val="99"/>
    <w:semiHidden/>
    <w:unhideWhenUsed/>
    <w:qFormat/>
    <w:rsid w:val="00f00b23"/>
    <w:rPr>
      <w:sz w:val="16"/>
      <w:szCs w:val="16"/>
    </w:rPr>
  </w:style>
  <w:style w:type="character" w:styleId="TekstkomentaraChar" w:customStyle="1">
    <w:name w:val="Tekst komentara Char"/>
    <w:basedOn w:val="DefaultParagraphFont"/>
    <w:link w:val="AnnotationText"/>
    <w:uiPriority w:val="99"/>
    <w:semiHidden/>
    <w:qFormat/>
    <w:rsid w:val="00f00b23"/>
    <w:rPr>
      <w:rFonts w:ascii="Times New Roman" w:hAnsi="Times New Roman"/>
      <w:sz w:val="20"/>
      <w:szCs w:val="20"/>
    </w:rPr>
  </w:style>
  <w:style w:type="character" w:styleId="TemakomentaraChar" w:customStyle="1">
    <w:name w:val="Tema komentara Char"/>
    <w:basedOn w:val="TekstkomentaraChar"/>
    <w:link w:val="annotationsubject"/>
    <w:uiPriority w:val="99"/>
    <w:semiHidden/>
    <w:qFormat/>
    <w:rsid w:val="00f00b23"/>
    <w:rPr>
      <w:rFonts w:ascii="Times New Roman" w:hAnsi="Times New Roman"/>
      <w:b/>
      <w:bCs/>
      <w:sz w:val="20"/>
      <w:szCs w:val="20"/>
    </w:rPr>
  </w:style>
  <w:style w:type="character" w:styleId="math-inline" w:customStyle="1">
    <w:name w:val="math-inline"/>
    <w:basedOn w:val="DefaultParagraphFont"/>
    <w:qFormat/>
    <w:rsid w:val="0094349f"/>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8207ec"/>
    <w:pPr>
      <w:spacing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NaslovChar"/>
    <w:uiPriority w:val="10"/>
    <w:qFormat/>
    <w:rsid w:val="001e05de"/>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naslovChar"/>
    <w:uiPriority w:val="11"/>
    <w:qFormat/>
    <w:rsid w:val="001e05de"/>
    <w:pPr/>
    <w:rPr>
      <w:rFonts w:eastAsia="" w:cs="" w:cstheme="majorBidi" w:eastAsiaTheme="majorEastAsia"/>
      <w:color w:themeColor="text1" w:themeTint="a6" w:val="595959"/>
      <w:spacing w:val="15"/>
      <w:sz w:val="28"/>
      <w:szCs w:val="28"/>
    </w:rPr>
  </w:style>
  <w:style w:type="paragraph" w:styleId="Quote">
    <w:name w:val="Quote"/>
    <w:basedOn w:val="Normal"/>
    <w:next w:val="Normal"/>
    <w:link w:val="NavoenjeChar"/>
    <w:uiPriority w:val="29"/>
    <w:qFormat/>
    <w:rsid w:val="001e05de"/>
    <w:pPr>
      <w:spacing w:before="160" w:after="160"/>
      <w:jc w:val="center"/>
    </w:pPr>
    <w:rPr>
      <w:i/>
      <w:iCs/>
      <w:color w:themeColor="text1" w:themeTint="bf" w:val="404040"/>
    </w:rPr>
  </w:style>
  <w:style w:type="paragraph" w:styleId="ListParagraph">
    <w:name w:val="List Paragraph"/>
    <w:basedOn w:val="Normal"/>
    <w:uiPriority w:val="34"/>
    <w:qFormat/>
    <w:rsid w:val="001e05de"/>
    <w:pPr>
      <w:spacing w:before="0" w:after="160"/>
      <w:ind w:left="720"/>
      <w:contextualSpacing/>
    </w:pPr>
    <w:rPr/>
  </w:style>
  <w:style w:type="paragraph" w:styleId="IntenseQuote">
    <w:name w:val="Intense Quote"/>
    <w:basedOn w:val="Normal"/>
    <w:next w:val="Normal"/>
    <w:link w:val="PodebljaninavodniciChar"/>
    <w:uiPriority w:val="30"/>
    <w:qFormat/>
    <w:rsid w:val="001e05d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tyle5" w:customStyle="1">
    <w:name w:val="Наслов"/>
    <w:basedOn w:val="Title"/>
    <w:next w:val="Normal"/>
    <w:qFormat/>
    <w:rsid w:val="001e05de"/>
    <w:pPr>
      <w:jc w:val="center"/>
    </w:pPr>
    <w:rPr>
      <w:rFonts w:ascii="Times New Roman" w:hAnsi="Times New Roman"/>
      <w:sz w:val="44"/>
    </w:rPr>
  </w:style>
  <w:style w:type="paragraph" w:styleId="Revision">
    <w:name w:val="Revision"/>
    <w:uiPriority w:val="99"/>
    <w:semiHidden/>
    <w:qFormat/>
    <w:rsid w:val="001e05de"/>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Style6" w:customStyle="1">
    <w:name w:val="Заглавље"/>
    <w:basedOn w:val="Subtitle"/>
    <w:next w:val="Normal"/>
    <w:qFormat/>
    <w:rsid w:val="00c206cc"/>
    <w:pPr>
      <w:numPr>
        <w:ilvl w:val="0"/>
        <w:numId w:val="1"/>
      </w:numPr>
    </w:pPr>
    <w:rPr>
      <w:i/>
      <w:color w:themeColor="text1" w:val="000000"/>
      <w:szCs w:val="32"/>
      <w:lang w:val="sr-RS"/>
    </w:rPr>
  </w:style>
  <w:style w:type="paragraph" w:styleId="HeaderandFooter">
    <w:name w:val="Header and Footer"/>
    <w:basedOn w:val="Normal"/>
    <w:qFormat/>
    <w:pPr/>
    <w:rPr/>
  </w:style>
  <w:style w:type="paragraph" w:styleId="Header">
    <w:name w:val="Header"/>
    <w:basedOn w:val="Normal"/>
    <w:link w:val="ZaglavljestraniceChar"/>
    <w:uiPriority w:val="99"/>
    <w:unhideWhenUsed/>
    <w:rsid w:val="001e05de"/>
    <w:pPr>
      <w:tabs>
        <w:tab w:val="clear" w:pos="720"/>
        <w:tab w:val="center" w:pos="4680" w:leader="none"/>
        <w:tab w:val="right" w:pos="9360" w:leader="none"/>
      </w:tabs>
      <w:spacing w:before="0" w:after="0"/>
    </w:pPr>
    <w:rPr/>
  </w:style>
  <w:style w:type="paragraph" w:styleId="Footer">
    <w:name w:val="Footer"/>
    <w:basedOn w:val="Normal"/>
    <w:link w:val="PodnojestraniceChar"/>
    <w:uiPriority w:val="99"/>
    <w:unhideWhenUsed/>
    <w:rsid w:val="001e05de"/>
    <w:pPr>
      <w:tabs>
        <w:tab w:val="clear" w:pos="720"/>
        <w:tab w:val="center" w:pos="4680" w:leader="none"/>
        <w:tab w:val="right" w:pos="9360" w:leader="none"/>
      </w:tabs>
      <w:spacing w:before="0" w:after="0"/>
    </w:pPr>
    <w:rPr/>
  </w:style>
  <w:style w:type="paragraph" w:styleId="Bibliography">
    <w:name w:val="Bibliography"/>
    <w:basedOn w:val="Normal"/>
    <w:next w:val="Normal"/>
    <w:uiPriority w:val="37"/>
    <w:unhideWhenUsed/>
    <w:qFormat/>
    <w:rsid w:val="009a5571"/>
    <w:pPr/>
    <w:rPr/>
  </w:style>
  <w:style w:type="paragraph" w:styleId="NormalWeb">
    <w:name w:val="Normal (Web)"/>
    <w:basedOn w:val="Normal"/>
    <w:uiPriority w:val="99"/>
    <w:semiHidden/>
    <w:unhideWhenUsed/>
    <w:qFormat/>
    <w:rsid w:val="00500567"/>
    <w:pPr/>
    <w:rPr>
      <w:rFonts w:cs="Times New Roman"/>
    </w:rPr>
  </w:style>
  <w:style w:type="paragraph" w:styleId="AnnotationText">
    <w:name w:val="Annotation Text"/>
    <w:basedOn w:val="Normal"/>
    <w:link w:val="TekstkomentaraChar"/>
    <w:uiPriority w:val="99"/>
    <w:semiHidden/>
    <w:unhideWhenUsed/>
    <w:rsid w:val="00f00b23"/>
    <w:pPr/>
    <w:rPr>
      <w:sz w:val="20"/>
      <w:szCs w:val="20"/>
    </w:rPr>
  </w:style>
  <w:style w:type="paragraph" w:styleId="annotationsubject">
    <w:name w:val="annotation subject"/>
    <w:basedOn w:val="AnnotationText"/>
    <w:next w:val="AnnotationText"/>
    <w:link w:val="TemakomentaraChar"/>
    <w:uiPriority w:val="99"/>
    <w:semiHidden/>
    <w:unhideWhenUsed/>
    <w:qFormat/>
    <w:rsid w:val="00f00b23"/>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natabela">
    <w:name w:val="Normal Table"/>
    <w:uiPriority w:val="99"/>
    <w:semiHidden/>
    <w:unhideWhenUsed/>
    <w:tblPr>
      <w:tblCellMar>
        <w:top w:w="0" w:type="dxa"/>
        <w:left w:w="108" w:type="dxa"/>
        <w:bottom w:w="0" w:type="dxa"/>
        <w:right w:w="108" w:type="dxa"/>
      </w:tblCellMar>
    </w:tblPr>
  </w:style>
  <w:style w:type="table" w:styleId="Koordinatnamreatabele">
    <w:name w:val="Table Grid"/>
    <w:basedOn w:val="Normalnatabela"/>
    <w:uiPriority w:val="39"/>
    <w:rsid w:val="001e05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vetlakoordinatnamreatabele">
    <w:name w:val="Grid Table Light"/>
    <w:basedOn w:val="Normalnatabela"/>
    <w:uiPriority w:val="40"/>
    <w:rsid w:val="00435f0c"/>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enepaq.com/wp-content/uploads/2025/02/Datasheet_with_VTC6_rev_D2024-10-28.pdf" TargetMode="External"/><Relationship Id="rId9" Type="http://schemas.openxmlformats.org/officeDocument/2006/relationships/hyperlink" Target="https://www.orionbms.com/manuals/pdf/orionbms2_operational_manual.pdf"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www.st.com/resource/en/datasheet/stm32f103c8.pdf" TargetMode="External"/><Relationship Id="rId13" Type="http://schemas.openxmlformats.org/officeDocument/2006/relationships/hyperlink" Target="https://www.ti.com/lit/ds/symlink/ads114s08b.pdf"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en.wikipedia.org/wiki/Delta-sigma_modulation?utm_source=chatgpt.com" TargetMode="External"/><Relationship Id="rId19" Type="http://schemas.openxmlformats.org/officeDocument/2006/relationships/hyperlink" Target="https://en.wikipedia.org/wiki/RC_circuit" TargetMode="External"/><Relationship Id="rId20" Type="http://schemas.openxmlformats.org/officeDocument/2006/relationships/image" Target="media/image8.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Аутно</b:Tag>
    <b:SourceType>Report</b:SourceType>
    <b:Guid>{B6349377-59AD-48AD-9A2D-9ED71B9A493F}</b:Guid>
    <b:Author>
      <b:Author>
        <b:NameList>
          <b:Person>
            <b:Last>Autor</b:Last>
          </b:Person>
        </b:NameList>
      </b:Author>
    </b:Author>
    <b:Title>Naslov</b:Title>
    <b:Year>Godina</b:Year>
    <b:RefOrder>2</b:RefOrder>
  </b:Source>
  <b:Source>
    <b:Tag>sad13</b:Tag>
    <b:SourceType>JournalArticle</b:SourceType>
    <b:Guid>{F5DDBF4F-19E4-4DE3-AC0A-D62AA3B1D4EC}</b:Guid>
    <b:Author>
      <b:Author>
        <b:NameList>
          <b:Person>
            <b:Last>sada</b:Last>
          </b:Person>
        </b:NameList>
      </b:Author>
    </b:Author>
    <b:Title>dsvfds</b:Title>
    <b:Year>2213</b:Year>
    <b:RefOrder>1</b:RefOrder>
  </b:Source>
</b:Sources>
</file>

<file path=customXml/itemProps1.xml><?xml version="1.0" encoding="utf-8"?>
<ds:datastoreItem xmlns:ds="http://schemas.openxmlformats.org/officeDocument/2006/customXml" ds:itemID="{D5450FF1-43A4-444D-856E-AE86E4653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6969</TotalTime>
  <Application>LibreOffice/24.2.7.2$Linux_X86_64 LibreOffice_project/420$Build-2</Application>
  <AppVersion>15.0000</AppVersion>
  <Pages>18</Pages>
  <Words>4136</Words>
  <Characters>22994</Characters>
  <CharactersWithSpaces>26787</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2025-11-19T20:30:00Z</dcterms:created>
  <dc:creator>Nuždić</dc:creator>
  <dc:description/>
  <dc:language>en-US</dc:language>
  <cp:lastModifiedBy/>
  <cp:lastPrinted>2026-01-03T18:49:00Z</cp:lastPrinted>
  <dcterms:modified xsi:type="dcterms:W3CDTF">2026-06-15T19:39:31Z</dcterms:modified>
  <cp:revision>716</cp:revision>
  <dc:subject/>
  <dc:title/>
</cp:coreProperties>
</file>

<file path=docProps/custom.xml><?xml version="1.0" encoding="utf-8"?>
<Properties xmlns="http://schemas.openxmlformats.org/officeDocument/2006/custom-properties" xmlns:vt="http://schemas.openxmlformats.org/officeDocument/2006/docPropsVTypes"/>
</file>