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35"/>
        <w:spacing w:before="181" w:line="21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景枫商管周例会会议纪要</w:t>
      </w:r>
    </w:p>
    <w:p>
      <w:pPr>
        <w:pStyle w:val="BodyText"/>
        <w:ind w:left="33"/>
        <w:spacing w:before="165" w:line="220" w:lineRule="auto"/>
        <w:rPr/>
      </w:pPr>
      <w:r>
        <w:rPr>
          <w:b/>
          <w:bCs/>
          <w:spacing w:val="-9"/>
        </w:rPr>
        <w:t>时间：</w:t>
      </w:r>
      <w:r>
        <w:rPr>
          <w:spacing w:val="-9"/>
        </w:rPr>
        <w:t>2026</w:t>
      </w:r>
      <w:r>
        <w:rPr>
          <w:spacing w:val="-37"/>
        </w:rPr>
        <w:t xml:space="preserve"> </w:t>
      </w:r>
      <w:r>
        <w:rPr>
          <w:spacing w:val="-9"/>
        </w:rPr>
        <w:t>年</w:t>
      </w:r>
      <w:r>
        <w:rPr>
          <w:spacing w:val="-42"/>
        </w:rPr>
        <w:t xml:space="preserve"> </w:t>
      </w:r>
      <w:r>
        <w:rPr>
          <w:spacing w:val="-9"/>
        </w:rPr>
        <w:t>5</w:t>
      </w:r>
      <w:r>
        <w:rPr>
          <w:spacing w:val="-43"/>
        </w:rPr>
        <w:t xml:space="preserve"> </w:t>
      </w:r>
      <w:r>
        <w:rPr>
          <w:spacing w:val="-9"/>
        </w:rPr>
        <w:t>月</w:t>
      </w:r>
      <w:r>
        <w:rPr>
          <w:spacing w:val="-30"/>
        </w:rPr>
        <w:t xml:space="preserve"> </w:t>
      </w:r>
      <w:r>
        <w:rPr>
          <w:spacing w:val="-9"/>
        </w:rPr>
        <w:t>12 日</w:t>
      </w:r>
      <w:r>
        <w:rPr>
          <w:spacing w:val="22"/>
        </w:rPr>
        <w:t xml:space="preserve"> </w:t>
      </w:r>
      <w:r>
        <w:rPr>
          <w:spacing w:val="-9"/>
        </w:rPr>
        <w:t>14：00</w:t>
      </w:r>
    </w:p>
    <w:p>
      <w:pPr>
        <w:pStyle w:val="BodyText"/>
        <w:ind w:left="21"/>
        <w:spacing w:before="50" w:line="219" w:lineRule="auto"/>
        <w:rPr/>
      </w:pPr>
      <w:r>
        <w:rPr>
          <w:b/>
          <w:bCs/>
          <w:spacing w:val="3"/>
        </w:rPr>
        <w:t>会议地点：</w:t>
      </w:r>
      <w:r>
        <w:rPr>
          <w:spacing w:val="3"/>
        </w:rPr>
        <w:t>32-1会议室</w:t>
      </w:r>
    </w:p>
    <w:p>
      <w:pPr>
        <w:pStyle w:val="BodyText"/>
        <w:ind w:left="21"/>
        <w:spacing w:before="51" w:line="219" w:lineRule="auto"/>
        <w:rPr/>
      </w:pPr>
      <w:r>
        <w:rPr>
          <w:b/>
          <w:bCs/>
          <w:spacing w:val="-2"/>
        </w:rPr>
        <w:t>会议主持：</w:t>
      </w:r>
      <w:r>
        <w:rPr>
          <w:spacing w:val="-2"/>
        </w:rPr>
        <w:t>魏佳</w:t>
      </w:r>
    </w:p>
    <w:p>
      <w:pPr>
        <w:pStyle w:val="BodyText"/>
        <w:ind w:left="27" w:hanging="3"/>
        <w:spacing w:before="50" w:line="262" w:lineRule="auto"/>
        <w:rPr/>
      </w:pPr>
      <w:r>
        <w:rPr>
          <w:b/>
          <w:bCs/>
          <w:spacing w:val="-1"/>
        </w:rPr>
        <w:t>参会人员：</w:t>
      </w:r>
      <w:r>
        <w:rPr>
          <w:spacing w:val="-1"/>
        </w:rPr>
        <w:t>陈擘、刘瑾、刘晰晰、高南、王婷、章雪艳</w:t>
      </w:r>
      <w:r>
        <w:rPr>
          <w:spacing w:val="-2"/>
        </w:rPr>
        <w:t>、曹静、陈美慧、魏璐、杨杰、</w:t>
      </w:r>
      <w:r>
        <w:rPr/>
        <w:t>张晟浩、陈晓军、朱丽丽、李文静、朱依可、</w:t>
      </w:r>
      <w:r>
        <w:rPr>
          <w:spacing w:val="-1"/>
        </w:rPr>
        <w:t>陆亚洲、李广庆、徐亮、陆碧微</w:t>
      </w:r>
    </w:p>
    <w:p>
      <w:pPr>
        <w:pStyle w:val="BodyText"/>
        <w:ind w:left="20"/>
        <w:spacing w:line="219" w:lineRule="auto"/>
        <w:rPr/>
      </w:pPr>
      <w:r>
        <w:rPr>
          <w:b/>
          <w:bCs/>
          <w:spacing w:val="-2"/>
        </w:rPr>
        <w:t>请假人：</w:t>
      </w:r>
      <w:r>
        <w:rPr>
          <w:spacing w:val="-2"/>
        </w:rPr>
        <w:t>李广庆、陆亚洲</w:t>
      </w:r>
    </w:p>
    <w:p>
      <w:pPr>
        <w:pStyle w:val="BodyText"/>
        <w:ind w:left="21"/>
        <w:spacing w:before="51" w:line="219" w:lineRule="auto"/>
        <w:rPr/>
      </w:pPr>
      <w:r>
        <w:rPr>
          <w:b/>
          <w:bCs/>
          <w:spacing w:val="-2"/>
        </w:rPr>
        <w:t>记录人：</w:t>
      </w:r>
      <w:r>
        <w:rPr>
          <w:spacing w:val="-2"/>
        </w:rPr>
        <w:t>刘书含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5" w:line="228" w:lineRule="auto"/>
        <w:rPr>
          <w:sz w:val="20"/>
          <w:szCs w:val="20"/>
        </w:rPr>
      </w:pPr>
      <w:r>
        <w:rPr>
          <w:shd w:val="clear" w:fill="FFFF00"/>
          <w:sz w:val="20"/>
          <w:szCs w:val="20"/>
          <w:b/>
          <w:bCs/>
          <w:spacing w:val="6"/>
        </w:rPr>
        <w:t>一、财务管理中心</w:t>
      </w:r>
      <w:r>
        <w:rPr>
          <w:shd w:val="clear" w:fill="FFFF00"/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hd w:val="clear" w:fill="FFFF00"/>
          <w:sz w:val="20"/>
          <w:szCs w:val="20"/>
          <w:b/>
          <w:bCs/>
          <w:spacing w:val="6"/>
        </w:rPr>
        <w:t>刘瑾</w:t>
      </w:r>
    </w:p>
    <w:p>
      <w:pPr>
        <w:pStyle w:val="BodyText"/>
        <w:ind w:left="21"/>
        <w:spacing w:before="216" w:line="219" w:lineRule="auto"/>
        <w:rPr/>
      </w:pPr>
      <w:r>
        <w:rPr/>
        <w:t>梳理部门现有人才资源，明确人才储备规划，为后续业务</w:t>
      </w:r>
      <w:r>
        <w:rPr>
          <w:spacing w:val="-1"/>
        </w:rPr>
        <w:t>拓展储备充足人力。</w:t>
      </w:r>
    </w:p>
    <w:p>
      <w:pPr>
        <w:pStyle w:val="BodyText"/>
        <w:ind w:left="25"/>
        <w:spacing w:before="212" w:line="228" w:lineRule="auto"/>
        <w:rPr>
          <w:sz w:val="20"/>
          <w:szCs w:val="20"/>
        </w:rPr>
      </w:pPr>
      <w:r>
        <w:rPr>
          <w:shd w:val="clear" w:fill="FFFF00"/>
          <w:sz w:val="20"/>
          <w:szCs w:val="20"/>
          <w:b/>
          <w:bCs/>
          <w:spacing w:val="6"/>
        </w:rPr>
        <w:t>二、招商发展中心</w:t>
      </w:r>
    </w:p>
    <w:p>
      <w:pPr>
        <w:pStyle w:val="BodyText"/>
        <w:ind w:left="32"/>
        <w:spacing w:before="221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（一）招商一部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高南</w:t>
      </w:r>
    </w:p>
    <w:p>
      <w:pPr>
        <w:pStyle w:val="BodyText"/>
        <w:ind w:left="24" w:right="25" w:firstLine="1"/>
        <w:spacing w:before="215" w:line="393" w:lineRule="auto"/>
        <w:outlineLvl w:val="0"/>
        <w:rPr/>
      </w:pPr>
      <w:r>
        <w:rPr>
          <w:spacing w:val="-2"/>
        </w:rPr>
        <w:t>须与行政法务部做好场地业务对接，统筹统筹调配资源、合理排布使用，避免场地及业</w:t>
      </w:r>
      <w:r>
        <w:rPr>
          <w:spacing w:val="-2"/>
        </w:rPr>
        <w:t>务安排出现冲突。</w:t>
      </w:r>
    </w:p>
    <w:p>
      <w:pPr>
        <w:pStyle w:val="BodyText"/>
        <w:ind w:left="29"/>
        <w:spacing w:before="1" w:line="221" w:lineRule="auto"/>
        <w:rPr>
          <w:sz w:val="20"/>
          <w:szCs w:val="20"/>
        </w:rPr>
      </w:pPr>
      <w:r>
        <w:rPr>
          <w:spacing w:val="3"/>
        </w:rPr>
        <w:t>（二）</w:t>
      </w:r>
      <w:r>
        <w:rPr>
          <w:sz w:val="20"/>
          <w:szCs w:val="20"/>
          <w:b/>
          <w:bCs/>
          <w:spacing w:val="3"/>
        </w:rPr>
        <w:t>招商三部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-</w:t>
      </w:r>
      <w:r>
        <w:rPr>
          <w:sz w:val="20"/>
          <w:szCs w:val="20"/>
          <w:b/>
          <w:bCs/>
          <w:spacing w:val="3"/>
        </w:rPr>
        <w:t>王婷</w:t>
      </w:r>
    </w:p>
    <w:p>
      <w:pPr>
        <w:pStyle w:val="BodyText"/>
        <w:ind w:left="20" w:right="80"/>
        <w:spacing w:before="204" w:line="395" w:lineRule="auto"/>
        <w:outlineLvl w:val="0"/>
        <w:rPr/>
      </w:pPr>
      <w:r>
        <w:rPr/>
        <w:t>请加快推进麦当劳撤铺相关事宜，空档过渡阶段可启用再地西 POP 盒</w:t>
      </w:r>
      <w:r>
        <w:rPr>
          <w:spacing w:val="-1"/>
        </w:rPr>
        <w:t>子作为临时衔接</w:t>
      </w:r>
      <w:r>
        <w:rPr>
          <w:spacing w:val="-2"/>
        </w:rPr>
        <w:t>场所。</w:t>
      </w:r>
    </w:p>
    <w:p>
      <w:pPr>
        <w:pStyle w:val="BodyText"/>
        <w:ind w:left="22"/>
        <w:spacing w:line="227" w:lineRule="auto"/>
        <w:rPr>
          <w:sz w:val="20"/>
          <w:szCs w:val="20"/>
        </w:rPr>
      </w:pPr>
      <w:r>
        <w:rPr>
          <w:shd w:val="clear" w:fill="FFFF00"/>
          <w:sz w:val="20"/>
          <w:szCs w:val="20"/>
          <w:b/>
          <w:bCs/>
          <w:spacing w:val="7"/>
        </w:rPr>
        <w:t>三、运营管理中心</w:t>
      </w:r>
    </w:p>
    <w:p>
      <w:pPr>
        <w:pStyle w:val="BodyText"/>
        <w:ind w:left="32"/>
        <w:spacing w:before="222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（一）运营管理部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陈美慧</w:t>
      </w:r>
    </w:p>
    <w:p>
      <w:pPr>
        <w:pStyle w:val="BodyText"/>
        <w:ind w:left="28" w:right="25" w:firstLine="11"/>
        <w:spacing w:before="216" w:line="393" w:lineRule="auto"/>
        <w:rPr/>
      </w:pPr>
      <w:r>
        <w:rPr>
          <w:spacing w:val="-2"/>
        </w:rPr>
        <w:t>1. 重点跟进 WM、火烧云等新开门店业绩未达预期情况，对标调研同品牌门店，深挖症</w:t>
      </w:r>
      <w:r>
        <w:rPr>
          <w:spacing w:val="-1"/>
        </w:rPr>
        <w:t>结成因并优化调整，精准挖掘业绩提升突破口。</w:t>
      </w:r>
    </w:p>
    <w:p>
      <w:pPr>
        <w:pStyle w:val="BodyText"/>
        <w:ind w:left="25"/>
        <w:spacing w:line="219" w:lineRule="auto"/>
        <w:rPr/>
      </w:pPr>
      <w:r>
        <w:rPr/>
        <w:t>2.加快完成《商铺管理手册》编制梳理，定稿后</w:t>
      </w:r>
      <w:r>
        <w:rPr>
          <w:spacing w:val="-1"/>
        </w:rPr>
        <w:t>正式发布并落地执行。</w:t>
      </w:r>
    </w:p>
    <w:p>
      <w:pPr>
        <w:pStyle w:val="BodyText"/>
        <w:ind w:left="27"/>
        <w:spacing w:before="207" w:line="220" w:lineRule="auto"/>
        <w:rPr/>
      </w:pPr>
      <w:r>
        <w:rPr/>
        <w:t>3.向全体商户着重强调食品安全主体责任与重要性</w:t>
      </w:r>
      <w:r>
        <w:rPr>
          <w:spacing w:val="-1"/>
        </w:rPr>
        <w:t>，同步印发专项警示函件。</w:t>
      </w:r>
    </w:p>
    <w:p>
      <w:pPr>
        <w:pStyle w:val="BodyText"/>
        <w:ind w:left="21"/>
        <w:spacing w:before="206" w:line="220" w:lineRule="auto"/>
        <w:rPr/>
      </w:pPr>
      <w:r>
        <w:rPr/>
        <w:t>4.针对服务类专项现存问题，一周内制定专项管理细则，</w:t>
      </w:r>
      <w:r>
        <w:rPr>
          <w:spacing w:val="-1"/>
        </w:rPr>
        <w:t>次周全面落地推行。</w:t>
      </w:r>
    </w:p>
    <w:p>
      <w:pPr>
        <w:pStyle w:val="BodyText"/>
        <w:ind w:left="32"/>
        <w:spacing w:before="210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（二）数字化运营部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魏璐</w:t>
      </w:r>
    </w:p>
    <w:p>
      <w:pPr>
        <w:pStyle w:val="BodyText"/>
        <w:ind w:left="39"/>
        <w:spacing w:before="217" w:line="220" w:lineRule="auto"/>
        <w:rPr/>
      </w:pPr>
      <w:r>
        <w:rPr>
          <w:spacing w:val="-1"/>
        </w:rPr>
        <w:t>1.深化与美团充电宝的业务对接，积极推进双方合作落地。</w:t>
      </w:r>
    </w:p>
    <w:p>
      <w:pPr>
        <w:pStyle w:val="BodyText"/>
        <w:ind w:left="33" w:right="25" w:hanging="8"/>
        <w:spacing w:before="205" w:line="393" w:lineRule="auto"/>
        <w:rPr/>
      </w:pPr>
      <w:r>
        <w:rPr>
          <w:spacing w:val="-2"/>
        </w:rPr>
        <w:t>2.持续推进 “倾听用户声音</w:t>
      </w:r>
      <w:r>
        <w:rPr>
          <w:spacing w:val="-65"/>
        </w:rPr>
        <w:t xml:space="preserve"> </w:t>
      </w:r>
      <w:r>
        <w:rPr>
          <w:spacing w:val="-2"/>
        </w:rPr>
        <w:t>”</w:t>
      </w:r>
      <w:r>
        <w:rPr>
          <w:spacing w:val="-33"/>
        </w:rPr>
        <w:t xml:space="preserve"> </w:t>
      </w:r>
      <w:r>
        <w:rPr>
          <w:spacing w:val="-2"/>
        </w:rPr>
        <w:t>专项工作，统筹拉齐集团各板块统一标准；过程中遇卡</w:t>
      </w:r>
      <w:r>
        <w:rPr>
          <w:spacing w:val="-2"/>
        </w:rPr>
        <w:t>点问题及时上报、快速闭环解决。</w:t>
      </w:r>
    </w:p>
    <w:p>
      <w:pPr>
        <w:pStyle w:val="BodyText"/>
        <w:spacing w:line="219" w:lineRule="auto"/>
        <w:jc w:val="right"/>
        <w:rPr/>
      </w:pPr>
      <w:r>
        <w:rPr>
          <w:spacing w:val="-1"/>
        </w:rPr>
        <w:t>3.持续深挖方外、方幼福利卡采购潜在需求，强化多方联动协作，推进业</w:t>
      </w:r>
      <w:r>
        <w:rPr>
          <w:spacing w:val="-2"/>
        </w:rPr>
        <w:t>务协同落地。</w:t>
      </w:r>
    </w:p>
    <w:p>
      <w:pPr>
        <w:pStyle w:val="BodyText"/>
        <w:ind w:left="32"/>
        <w:spacing w:before="212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（三）现场管理部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杨杰</w:t>
      </w:r>
    </w:p>
    <w:p>
      <w:pPr>
        <w:spacing w:line="228" w:lineRule="auto"/>
        <w:sectPr>
          <w:pgSz w:w="11906" w:h="16839"/>
          <w:pgMar w:top="1431" w:right="1774" w:bottom="0" w:left="1785" w:header="0" w:footer="0" w:gutter="0"/>
        </w:sectPr>
        <w:rPr>
          <w:sz w:val="20"/>
          <w:szCs w:val="20"/>
        </w:rPr>
      </w:pPr>
    </w:p>
    <w:p>
      <w:pPr>
        <w:pStyle w:val="BodyText"/>
        <w:ind w:left="39"/>
        <w:spacing w:before="132" w:line="219" w:lineRule="auto"/>
        <w:rPr/>
      </w:pPr>
      <w:r>
        <w:rPr>
          <w:spacing w:val="-1"/>
        </w:rPr>
        <w:t>1.所有管理工作均以解决实际问题为导向，强化管控举措、提升管理实效。</w:t>
      </w:r>
    </w:p>
    <w:p>
      <w:pPr>
        <w:pStyle w:val="BodyText"/>
        <w:ind w:left="25"/>
        <w:spacing w:before="207" w:line="219" w:lineRule="auto"/>
        <w:rPr/>
      </w:pPr>
      <w:r>
        <w:rPr/>
        <w:t>2.深化与住宅、写字楼业务板块的协同联动，</w:t>
      </w:r>
      <w:r>
        <w:rPr>
          <w:spacing w:val="-1"/>
        </w:rPr>
        <w:t>强化资源互通与工作配合。</w:t>
      </w:r>
    </w:p>
    <w:p>
      <w:pPr>
        <w:pStyle w:val="BodyText"/>
        <w:ind w:left="27"/>
        <w:spacing w:before="207" w:line="219" w:lineRule="auto"/>
        <w:rPr/>
      </w:pPr>
      <w:r>
        <w:rPr/>
        <w:t>3.规范新装铺位交接标准，对不符合验收要求的，督促</w:t>
      </w:r>
      <w:r>
        <w:rPr>
          <w:spacing w:val="-1"/>
        </w:rPr>
        <w:t>内装及设备工程限期返工整改。</w:t>
      </w:r>
    </w:p>
    <w:p>
      <w:pPr>
        <w:pStyle w:val="BodyText"/>
        <w:ind w:left="21"/>
        <w:spacing w:before="206" w:line="220" w:lineRule="auto"/>
        <w:rPr/>
      </w:pPr>
      <w:r>
        <w:rPr/>
        <w:t>4.重新梳理保洁专项工作，明确各区域清洁</w:t>
      </w:r>
      <w:r>
        <w:rPr>
          <w:spacing w:val="-1"/>
        </w:rPr>
        <w:t>范围及作业标准。</w:t>
      </w:r>
    </w:p>
    <w:p>
      <w:pPr>
        <w:pStyle w:val="BodyText"/>
        <w:ind w:left="41"/>
        <w:spacing w:before="210" w:line="228" w:lineRule="auto"/>
        <w:rPr>
          <w:sz w:val="20"/>
          <w:szCs w:val="20"/>
        </w:rPr>
      </w:pPr>
      <w:r>
        <w:rPr>
          <w:shd w:val="clear" w:fill="FFFF00"/>
          <w:sz w:val="20"/>
          <w:szCs w:val="20"/>
          <w:b/>
          <w:bCs/>
          <w:spacing w:val="5"/>
        </w:rPr>
        <w:t>四、品牌塑造中心</w:t>
      </w:r>
    </w:p>
    <w:p>
      <w:pPr>
        <w:pStyle w:val="BodyText"/>
        <w:ind w:left="32"/>
        <w:spacing w:before="220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（一）品牌塑造部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刘晰晰</w:t>
      </w:r>
    </w:p>
    <w:p>
      <w:pPr>
        <w:pStyle w:val="BodyText"/>
        <w:ind w:left="39"/>
        <w:spacing w:before="217" w:line="219" w:lineRule="auto"/>
        <w:rPr/>
      </w:pPr>
      <w:r>
        <w:rPr>
          <w:spacing w:val="-1"/>
        </w:rPr>
        <w:t>1.持续精进再地西场景打造，迭代升级，全面优化顾客消费体验。</w:t>
      </w:r>
    </w:p>
    <w:p>
      <w:pPr>
        <w:pStyle w:val="BodyText"/>
        <w:ind w:left="25"/>
        <w:spacing w:before="207" w:line="219" w:lineRule="auto"/>
        <w:rPr/>
      </w:pPr>
      <w:r>
        <w:rPr>
          <w:spacing w:val="-1"/>
        </w:rPr>
        <w:t>2.强化 “再地</w:t>
      </w:r>
      <w:r>
        <w:rPr>
          <w:spacing w:val="-81"/>
        </w:rPr>
        <w:t xml:space="preserve"> </w:t>
      </w:r>
      <w:r>
        <w:rPr>
          <w:spacing w:val="-1"/>
        </w:rPr>
        <w:t>” 品牌整体塑造，加强与周边商户联动协</w:t>
      </w:r>
      <w:r>
        <w:rPr>
          <w:spacing w:val="-2"/>
        </w:rPr>
        <w:t>同、资源互促。</w:t>
      </w:r>
    </w:p>
    <w:p>
      <w:pPr>
        <w:pStyle w:val="BodyText"/>
        <w:ind w:left="27"/>
        <w:spacing w:before="207" w:line="220" w:lineRule="auto"/>
        <w:rPr/>
      </w:pPr>
      <w:r>
        <w:rPr>
          <w:spacing w:val="-1"/>
        </w:rPr>
        <w:t>3.启动周年庆前期筹备工作，同步对接营运部门沟通落地方案。</w:t>
      </w:r>
    </w:p>
    <w:p>
      <w:pPr>
        <w:pStyle w:val="BodyText"/>
        <w:ind w:left="25" w:right="77" w:hanging="4"/>
        <w:spacing w:before="206" w:line="394" w:lineRule="auto"/>
        <w:rPr/>
      </w:pPr>
      <w:r>
        <w:rPr>
          <w:spacing w:val="-2"/>
        </w:rPr>
        <w:t>4.灵活优化再地、再地西吸烟区布设，适度放宽管控力度；再地西专用吸烟房选址可另</w:t>
      </w:r>
      <w:r>
        <w:rPr>
          <w:spacing w:val="-2"/>
        </w:rPr>
        <w:t>行考虑其它备选方案。</w:t>
      </w:r>
    </w:p>
    <w:p>
      <w:pPr>
        <w:pStyle w:val="BodyText"/>
        <w:ind w:left="32"/>
        <w:spacing w:before="2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（二）客户满意部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朱依可</w:t>
      </w:r>
    </w:p>
    <w:p>
      <w:pPr>
        <w:pStyle w:val="BodyText"/>
        <w:spacing w:before="216" w:line="220" w:lineRule="auto"/>
        <w:jc w:val="right"/>
        <w:rPr/>
      </w:pPr>
      <w:r>
        <w:rPr>
          <w:spacing w:val="-5"/>
        </w:rPr>
        <w:t>1.严格做好 V5 客户名单筛查，严防黄牛混入，强化高净值 V5 客户的深度互动与维</w:t>
      </w:r>
      <w:r>
        <w:rPr>
          <w:spacing w:val="-6"/>
        </w:rPr>
        <w:t>系。</w:t>
      </w:r>
    </w:p>
    <w:p>
      <w:pPr>
        <w:pStyle w:val="BodyText"/>
        <w:spacing w:before="207" w:line="219" w:lineRule="auto"/>
        <w:jc w:val="right"/>
        <w:rPr/>
      </w:pPr>
      <w:r>
        <w:rPr>
          <w:spacing w:val="-5"/>
        </w:rPr>
        <w:t>2.持续深耕大客户拓展工作，优化客户结构、提升客群质量，为后续二</w:t>
      </w:r>
      <w:r>
        <w:rPr>
          <w:spacing w:val="-6"/>
        </w:rPr>
        <w:t>期经营发展储备。</w:t>
      </w:r>
    </w:p>
    <w:p>
      <w:pPr>
        <w:pStyle w:val="BodyText"/>
        <w:ind w:left="25"/>
        <w:spacing w:before="211" w:line="228" w:lineRule="auto"/>
        <w:rPr>
          <w:sz w:val="20"/>
          <w:szCs w:val="20"/>
        </w:rPr>
      </w:pPr>
      <w:r>
        <w:rPr>
          <w:shd w:val="clear" w:fill="FFFF00"/>
          <w:sz w:val="20"/>
          <w:szCs w:val="20"/>
          <w:b/>
          <w:bCs/>
          <w:spacing w:val="7"/>
        </w:rPr>
        <w:t>五、综合管理中心</w:t>
      </w:r>
    </w:p>
    <w:p>
      <w:pPr>
        <w:pStyle w:val="BodyText"/>
        <w:ind w:left="32"/>
        <w:spacing w:before="222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（一）数智</w:t>
      </w:r>
      <w:r>
        <w:rPr>
          <w:sz w:val="20"/>
          <w:szCs w:val="20"/>
          <w:spacing w:val="-43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AI</w:t>
      </w:r>
      <w:r>
        <w:rPr>
          <w:rFonts w:ascii="Calibri" w:hAnsi="Calibri" w:eastAsia="Calibri" w:cs="Calibri"/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  <w:spacing w:val="6"/>
        </w:rPr>
        <w:t>发展部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陈晓军</w:t>
      </w:r>
    </w:p>
    <w:p>
      <w:pPr>
        <w:pStyle w:val="BodyText"/>
        <w:ind w:left="39"/>
        <w:spacing w:before="216" w:line="219" w:lineRule="auto"/>
        <w:rPr/>
      </w:pPr>
      <w:r>
        <w:rPr>
          <w:spacing w:val="-1"/>
        </w:rPr>
        <w:t>1.明确“无蚊”的工作目标，科学评估项目实施必要性及实际成效达成情况。</w:t>
      </w:r>
    </w:p>
    <w:p>
      <w:pPr>
        <w:pStyle w:val="BodyText"/>
        <w:ind w:left="25"/>
        <w:spacing w:before="207" w:line="220" w:lineRule="auto"/>
        <w:rPr/>
      </w:pPr>
      <w:r>
        <w:rPr/>
        <w:t>2.关于移动专项工作需以量化数据为支撑</w:t>
      </w:r>
      <w:r>
        <w:rPr>
          <w:spacing w:val="-1"/>
        </w:rPr>
        <w:t>，直观体现落地实效。</w:t>
      </w:r>
    </w:p>
    <w:p>
      <w:pPr>
        <w:pStyle w:val="BodyText"/>
        <w:ind w:left="25" w:right="133" w:firstLine="1"/>
        <w:spacing w:before="205" w:line="393" w:lineRule="auto"/>
        <w:rPr/>
      </w:pPr>
      <w:r>
        <w:rPr>
          <w:spacing w:val="-1"/>
        </w:rPr>
        <w:t>3.AI 运营小组建立例会机制，每两周至少与魏总召开一次工作汇报会</w:t>
      </w:r>
      <w:r>
        <w:rPr>
          <w:spacing w:val="-2"/>
        </w:rPr>
        <w:t>议，汇报 AI</w:t>
      </w:r>
      <w:r>
        <w:rPr>
          <w:spacing w:val="36"/>
        </w:rPr>
        <w:t xml:space="preserve"> </w:t>
      </w:r>
      <w:r>
        <w:rPr>
          <w:spacing w:val="-2"/>
        </w:rPr>
        <w:t>内</w:t>
      </w:r>
      <w:r>
        <w:rPr>
          <w:spacing w:val="-2"/>
        </w:rPr>
        <w:t>部推进落地进展。</w:t>
      </w:r>
    </w:p>
    <w:p>
      <w:pPr>
        <w:pStyle w:val="BodyText"/>
        <w:ind w:left="21"/>
        <w:spacing w:before="1" w:line="220" w:lineRule="auto"/>
        <w:rPr/>
      </w:pPr>
      <w:r>
        <w:rPr/>
        <w:t>4.两周内组织跨部门研讨，开展 AI 工作预期目标梳理及</w:t>
      </w:r>
      <w:r>
        <w:rPr>
          <w:spacing w:val="-1"/>
        </w:rPr>
        <w:t>落地可行性探讨。</w:t>
      </w:r>
    </w:p>
    <w:p>
      <w:pPr>
        <w:pStyle w:val="BodyText"/>
        <w:ind w:left="32"/>
        <w:spacing w:before="210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（二）人力资源部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朱丽丽</w:t>
      </w:r>
    </w:p>
    <w:p>
      <w:pPr>
        <w:pStyle w:val="BodyText"/>
        <w:ind w:left="22" w:right="77" w:firstLine="16"/>
        <w:spacing w:before="216" w:line="393" w:lineRule="auto"/>
        <w:rPr/>
      </w:pPr>
      <w:r>
        <w:rPr>
          <w:spacing w:val="-2"/>
        </w:rPr>
        <w:t>1.将各部门重点管理问题设立专项并纳入绩效考核，明确主责部门责任，落实相应</w:t>
      </w:r>
      <w:r>
        <w:rPr>
          <w:spacing w:val="-3"/>
        </w:rPr>
        <w:t>管理</w:t>
      </w:r>
      <w:r>
        <w:rPr>
          <w:spacing w:val="-2"/>
        </w:rPr>
        <w:t>考核问责。</w:t>
      </w:r>
    </w:p>
    <w:p>
      <w:pPr>
        <w:pStyle w:val="BodyText"/>
        <w:ind w:left="21" w:right="77" w:firstLine="3"/>
        <w:spacing w:before="1" w:line="394" w:lineRule="auto"/>
        <w:rPr/>
      </w:pPr>
      <w:r>
        <w:rPr>
          <w:spacing w:val="-2"/>
        </w:rPr>
        <w:t>2.对标头部企业高标准发展要求，由人力部门牵头强化各部门负责人管理素养建设，甄</w:t>
      </w:r>
      <w:r>
        <w:rPr>
          <w:spacing w:val="-1"/>
        </w:rPr>
        <w:t>选理念同频的核心骨干，充实优质人才梯队。</w:t>
      </w:r>
    </w:p>
    <w:p>
      <w:pPr>
        <w:pStyle w:val="BodyText"/>
        <w:ind w:left="32"/>
        <w:spacing w:before="1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（三）行政法务部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李文静</w:t>
      </w:r>
    </w:p>
    <w:p>
      <w:pPr>
        <w:pStyle w:val="BodyText"/>
        <w:ind w:left="39"/>
        <w:spacing w:before="216" w:line="219" w:lineRule="auto"/>
        <w:rPr/>
      </w:pPr>
      <w:r>
        <w:rPr>
          <w:spacing w:val="-1"/>
        </w:rPr>
        <w:t>1.完成眉州东坡旁空置区域导视标识增设，联合品塑，兼顾其导引功能与广告展示。</w:t>
      </w:r>
    </w:p>
    <w:p>
      <w:pPr>
        <w:pStyle w:val="BodyText"/>
        <w:ind w:left="26" w:right="77" w:hanging="1"/>
        <w:spacing w:before="209" w:line="394" w:lineRule="auto"/>
        <w:rPr/>
      </w:pPr>
      <w:r>
        <w:rPr>
          <w:spacing w:val="-2"/>
        </w:rPr>
        <w:t>2.牵头汇总各业务条线关于停电专项的应急预案，重点督促设备部制定清晰、可落地的</w:t>
      </w:r>
      <w:r>
        <w:rPr>
          <w:spacing w:val="-2"/>
        </w:rPr>
        <w:t>处置方案与应对举措。</w:t>
      </w:r>
    </w:p>
    <w:p>
      <w:pPr>
        <w:spacing w:line="394" w:lineRule="auto"/>
        <w:sectPr>
          <w:pgSz w:w="11906" w:h="16839"/>
          <w:pgMar w:top="1431" w:right="1721" w:bottom="0" w:left="1785" w:header="0" w:footer="0" w:gutter="0"/>
        </w:sectPr>
        <w:rPr/>
      </w:pPr>
    </w:p>
    <w:p>
      <w:pPr>
        <w:pStyle w:val="BodyText"/>
        <w:ind w:left="23"/>
        <w:spacing w:before="137" w:line="228" w:lineRule="auto"/>
        <w:rPr>
          <w:sz w:val="20"/>
          <w:szCs w:val="20"/>
        </w:rPr>
      </w:pPr>
      <w:r>
        <w:rPr>
          <w:shd w:val="clear" w:fill="FFFF00"/>
          <w:sz w:val="20"/>
          <w:szCs w:val="20"/>
          <w:b/>
          <w:bCs/>
          <w:spacing w:val="7"/>
        </w:rPr>
        <w:t>六、工程服务中心</w:t>
      </w:r>
    </w:p>
    <w:p>
      <w:pPr>
        <w:pStyle w:val="BodyText"/>
        <w:ind w:left="32"/>
        <w:spacing w:before="221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（一）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b/>
          <w:bCs/>
          <w:spacing w:val="1"/>
        </w:rPr>
        <w:t>内装部</w:t>
      </w:r>
      <w:r>
        <w:rPr>
          <w:rFonts w:ascii="Calibri" w:hAnsi="Calibri" w:eastAsia="Calibri" w:cs="Calibri"/>
          <w:sz w:val="20"/>
          <w:szCs w:val="20"/>
          <w:b/>
          <w:bCs/>
          <w:spacing w:val="1"/>
        </w:rPr>
        <w:t>-</w:t>
      </w:r>
      <w:r>
        <w:rPr>
          <w:sz w:val="20"/>
          <w:szCs w:val="20"/>
          <w:b/>
          <w:bCs/>
          <w:spacing w:val="1"/>
        </w:rPr>
        <w:t>李广庆</w:t>
      </w:r>
    </w:p>
    <w:p>
      <w:pPr>
        <w:pStyle w:val="BodyText"/>
        <w:ind w:left="47" w:right="188" w:hanging="21"/>
        <w:spacing w:before="215" w:line="395" w:lineRule="auto"/>
        <w:rPr/>
      </w:pPr>
      <w:r>
        <w:rPr>
          <w:spacing w:val="-2"/>
        </w:rPr>
        <w:t>坚持追根溯源解决问题，配合人力部门设立专项，将相关结果纳入绩效考核并落实扣分</w:t>
      </w:r>
      <w:r>
        <w:rPr>
          <w:spacing w:val="-11"/>
        </w:rPr>
        <w:t>问责。</w:t>
      </w:r>
    </w:p>
    <w:p>
      <w:pPr>
        <w:pStyle w:val="BodyText"/>
        <w:ind w:left="32"/>
        <w:spacing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（二）设备部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-</w:t>
      </w:r>
      <w:r>
        <w:rPr>
          <w:sz w:val="20"/>
          <w:szCs w:val="20"/>
          <w:b/>
          <w:bCs/>
          <w:spacing w:val="6"/>
        </w:rPr>
        <w:t>陆亚洲</w:t>
      </w:r>
    </w:p>
    <w:p>
      <w:pPr>
        <w:pStyle w:val="BodyText"/>
        <w:spacing w:before="216" w:line="220" w:lineRule="auto"/>
        <w:jc w:val="right"/>
        <w:rPr/>
      </w:pPr>
      <w:r>
        <w:rPr>
          <w:spacing w:val="-3"/>
        </w:rPr>
        <w:t>1.三日內针对扶梯故障临时停运问题制定专项整改方案，从源头规避同类问题重复发生。</w:t>
      </w:r>
    </w:p>
    <w:p>
      <w:pPr>
        <w:pStyle w:val="BodyText"/>
        <w:ind w:left="21" w:right="188" w:firstLine="3"/>
        <w:spacing w:before="204" w:line="393" w:lineRule="auto"/>
        <w:rPr/>
      </w:pPr>
      <w:r>
        <w:rPr>
          <w:spacing w:val="-2"/>
        </w:rPr>
        <w:t>2.联合客户满意部、营运部及现场管理部，用一周时间全面梳理客群体验痛点，并制定</w:t>
      </w:r>
      <w:r>
        <w:rPr>
          <w:spacing w:val="-1"/>
        </w:rPr>
        <w:t>对应整改提升措施。</w:t>
      </w:r>
    </w:p>
    <w:p>
      <w:pPr>
        <w:pStyle w:val="BodyText"/>
        <w:ind w:left="27"/>
        <w:spacing w:line="220" w:lineRule="auto"/>
        <w:rPr/>
      </w:pPr>
      <w:r>
        <w:rPr/>
        <w:t>3.尽快解决巴奴旁轿厢电梯梯控设置，实现该部电梯仅在</w:t>
      </w:r>
      <w:r>
        <w:rPr>
          <w:spacing w:val="-1"/>
        </w:rPr>
        <w:t>指定楼层停靠的管控需求。</w:t>
      </w:r>
    </w:p>
    <w:sectPr>
      <w:pgSz w:w="11906" w:h="16839"/>
      <w:pgMar w:top="1431" w:right="161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dcterms:created xsi:type="dcterms:W3CDTF">2026-05-12T18:19:12Z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2026-05-12T18:44:54</vt:filetime>
  </property>
</Properties>
</file>