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4F080" w14:textId="77777777" w:rsidR="00516332" w:rsidRDefault="00000000">
      <w:pPr>
        <w:spacing w:after="120"/>
        <w:jc w:val="center"/>
      </w:pPr>
      <w:r>
        <w:rPr>
          <w:b/>
          <w:bCs/>
          <w:sz w:val="40"/>
          <w:szCs w:val="40"/>
        </w:rPr>
        <w:t>Evidence-Based Data for Evidence-Based AI</w:t>
      </w:r>
    </w:p>
    <w:p w14:paraId="0AAB125B" w14:textId="77777777" w:rsidR="00516332" w:rsidRDefault="00000000">
      <w:pPr>
        <w:spacing w:after="80"/>
        <w:jc w:val="center"/>
      </w:pPr>
      <w:r>
        <w:rPr>
          <w:i/>
          <w:iCs/>
          <w:color w:val="444444"/>
          <w:sz w:val="26"/>
          <w:szCs w:val="26"/>
        </w:rPr>
        <w:t>From provenance to formal verification — what healthcare must do before AI writes the code.</w:t>
      </w:r>
    </w:p>
    <w:p w14:paraId="5FEBD4D8" w14:textId="55CF1717" w:rsidR="00516332" w:rsidRDefault="00000000">
      <w:pPr>
        <w:spacing w:after="360"/>
        <w:jc w:val="center"/>
      </w:pPr>
      <w:r>
        <w:rPr>
          <w:color w:val="666666"/>
          <w:sz w:val="22"/>
          <w:szCs w:val="22"/>
        </w:rPr>
        <w:t xml:space="preserve">Michael </w:t>
      </w:r>
      <w:r w:rsidR="006F2880">
        <w:rPr>
          <w:color w:val="666666"/>
          <w:sz w:val="22"/>
          <w:szCs w:val="22"/>
        </w:rPr>
        <w:t>Bouzinier and</w:t>
      </w:r>
      <w:r>
        <w:rPr>
          <w:color w:val="666666"/>
          <w:sz w:val="22"/>
          <w:szCs w:val="22"/>
        </w:rPr>
        <w:t xml:space="preserve"> Dmitry </w:t>
      </w:r>
      <w:proofErr w:type="spellStart"/>
      <w:r>
        <w:rPr>
          <w:color w:val="666666"/>
          <w:sz w:val="22"/>
          <w:szCs w:val="22"/>
        </w:rPr>
        <w:t>Etin</w:t>
      </w:r>
      <w:proofErr w:type="spellEnd"/>
    </w:p>
    <w:p w14:paraId="75514D9D" w14:textId="77777777" w:rsidR="00516332" w:rsidRDefault="00000000">
      <w:pPr>
        <w:spacing w:after="160" w:line="300" w:lineRule="auto"/>
        <w:jc w:val="both"/>
      </w:pPr>
      <w:r>
        <w:t>Evidence-based medicine has won its argument. Few clinicians or policymakers now doubt that decisions should rest on evidence rather than authority. But the question of where that evidence comes from has quietly become the most consequential question in healthcare AI.</w:t>
      </w:r>
    </w:p>
    <w:p w14:paraId="4B1B767F" w14:textId="77777777" w:rsidR="00516332" w:rsidRDefault="00000000">
      <w:pPr>
        <w:spacing w:after="160" w:line="300" w:lineRule="auto"/>
        <w:jc w:val="both"/>
      </w:pPr>
      <w:r>
        <w:t>Most of the evidence underpinning modern medicine is clinical-trial-style: a population, an intervention, a comparator, an outcome, a statistical measure. The infrastructure of systematic review and guideline development is built on that template. It assumes that evidence concerns an intervention tested in a population, and that someone, somewhere, can read what was done.</w:t>
      </w:r>
    </w:p>
    <w:p w14:paraId="779DC6B7" w14:textId="77777777" w:rsidR="00516332" w:rsidRDefault="00000000">
      <w:pPr>
        <w:spacing w:after="160" w:line="300" w:lineRule="auto"/>
        <w:jc w:val="both"/>
      </w:pPr>
      <w:r>
        <w:t xml:space="preserve">Increasingly, that assumption is failing. Evidence is being asked to come from the data around us — from electronic health records, claims systems, registries, sensor streams, biobank linkages. A few years </w:t>
      </w:r>
      <w:proofErr w:type="gramStart"/>
      <w:r>
        <w:t>ago</w:t>
      </w:r>
      <w:proofErr w:type="gramEnd"/>
      <w:r>
        <w:t xml:space="preserve"> The Economist ran a cover story declaring that “data is the new oil.” The metaphor was tidy, and it was wrong. Health data is not oil. It is shale: abundant, fragmented across regulatory landscapes, inconsistent in quality, and expensive to refine into anything you would </w:t>
      </w:r>
      <w:proofErr w:type="gramStart"/>
      <w:r>
        <w:t>actually want</w:t>
      </w:r>
      <w:proofErr w:type="gramEnd"/>
      <w:r>
        <w:t xml:space="preserve"> to burn in an engine. The provenance of what comes out matters as much as the output itself.</w:t>
      </w:r>
    </w:p>
    <w:p w14:paraId="7ADD5FD9" w14:textId="77777777" w:rsidR="00516332" w:rsidRDefault="00000000">
      <w:pPr>
        <w:spacing w:after="160" w:line="300" w:lineRule="auto"/>
        <w:jc w:val="both"/>
      </w:pPr>
      <w:r>
        <w:t>Three years ago, a group of us — at Harvard, at DIT, and at collaborating institutions — began writing a book about how to refine this shale honestly. Two stories pushed us into it. The first was a widely discussed Nature analysis of deep-learning models built to predict COVID-19 risk from chest images: under inspection, the best-performing models had largely learned to read the blank margins of the images rather than the lungs. The second was closer to home. Population-health colleagues studying climate and health had noticed unusual spikes in average regional temperature. Some weather stations, it turned out, had been reporting in Kelvin rather than Celsius. Averaged over time and space, the contamination produced only a modest, plausible-looking warming — enough to enter analyses unnoticed.</w:t>
      </w:r>
    </w:p>
    <w:p w14:paraId="19B31453" w14:textId="77777777" w:rsidR="00516332" w:rsidRDefault="00000000">
      <w:pPr>
        <w:spacing w:after="160" w:line="300" w:lineRule="auto"/>
        <w:jc w:val="both"/>
      </w:pPr>
      <w:r>
        <w:t>Garbage in, garbage out has become a cliché, but it has not stopped being true. Bias in, bias out is also true. The lesson is unglamorous: you must know what is in your data, in a form a machine can check.</w:t>
      </w:r>
    </w:p>
    <w:p w14:paraId="061F7DD0" w14:textId="77777777" w:rsidR="00516332" w:rsidRDefault="00000000">
      <w:pPr>
        <w:spacing w:after="160" w:line="300" w:lineRule="auto"/>
        <w:jc w:val="both"/>
      </w:pPr>
      <w:r>
        <w:lastRenderedPageBreak/>
        <w:t>We submitted the manuscript to the publisher on December 31, 2025. In the four months since, more has changed than in the previous three years — not because the argument went stale, but because it became urgent.</w:t>
      </w:r>
    </w:p>
    <w:p w14:paraId="012A36E2" w14:textId="77777777" w:rsidR="00516332" w:rsidRDefault="00000000">
      <w:pPr>
        <w:pStyle w:val="Heading1"/>
      </w:pPr>
      <w:r>
        <w:t xml:space="preserve">The toy became a </w:t>
      </w:r>
      <w:proofErr w:type="gramStart"/>
      <w:r>
        <w:t>tool</w:t>
      </w:r>
      <w:proofErr w:type="gramEnd"/>
    </w:p>
    <w:p w14:paraId="4B8836EB" w14:textId="77777777" w:rsidR="00516332" w:rsidRDefault="00000000">
      <w:pPr>
        <w:spacing w:after="160" w:line="300" w:lineRule="auto"/>
        <w:jc w:val="both"/>
      </w:pPr>
      <w:r>
        <w:t>Borrowing a frame from Gartner, the popular narrative of late 2025 said we were past the peak of the AI hype cycle: a bubble, infrastructure spending that had not paid off, agents that disappointed when treated as tools. We think the diagnosis was wrong. The agents disappointed because they were being used as toys. That is the ordinary path of every transformative technology. Electricity, the telephone, the laser, the personal computer — each was first dismissed as a curiosity. The toy-to-tool transition is a real event, and for AI agents it has happened in the last five months.</w:t>
      </w:r>
    </w:p>
    <w:p w14:paraId="43AFC5C4" w14:textId="77777777" w:rsidR="00516332" w:rsidRDefault="00000000">
      <w:pPr>
        <w:spacing w:after="160" w:line="300" w:lineRule="auto"/>
        <w:jc w:val="both"/>
      </w:pPr>
      <w:r>
        <w:t xml:space="preserve">Across three </w:t>
      </w:r>
      <w:proofErr w:type="spellStart"/>
      <w:r>
        <w:t>organisations</w:t>
      </w:r>
      <w:proofErr w:type="spellEnd"/>
      <w:r>
        <w:t xml:space="preserve"> we work with — in three very different fields — the same question has arrived independently: why are we spending our most talented engineers’ time writing code that an agent can write? Two of the three have made it a formal mandate to transition to AI-written code by the end of 2026. The third is still deciding. None of them are building toys.</w:t>
      </w:r>
    </w:p>
    <w:p w14:paraId="4942C0D3" w14:textId="77777777" w:rsidR="00516332" w:rsidRDefault="00000000">
      <w:pPr>
        <w:spacing w:after="160" w:line="300" w:lineRule="auto"/>
        <w:jc w:val="both"/>
      </w:pPr>
      <w:r>
        <w:t>That makes the bust still ahead, not behind. And it will not be a bust because the technology failed. It will be a bust because we trusted what we should not have trusted.</w:t>
      </w:r>
    </w:p>
    <w:p w14:paraId="20EC4994" w14:textId="77777777" w:rsidR="00516332" w:rsidRDefault="00000000">
      <w:pPr>
        <w:pBdr>
          <w:left w:val="single" w:sz="12" w:space="12" w:color="888888"/>
        </w:pBdr>
        <w:spacing w:before="200" w:after="200" w:line="300" w:lineRule="auto"/>
        <w:ind w:left="720" w:right="720"/>
      </w:pPr>
      <w:r>
        <w:rPr>
          <w:i/>
          <w:iCs/>
        </w:rPr>
        <w:t xml:space="preserve">Once millions of lines of pipeline and model code are written by AI, nobody will know what any of it </w:t>
      </w:r>
      <w:proofErr w:type="gramStart"/>
      <w:r>
        <w:rPr>
          <w:i/>
          <w:iCs/>
        </w:rPr>
        <w:t>actually does</w:t>
      </w:r>
      <w:proofErr w:type="gramEnd"/>
      <w:r>
        <w:rPr>
          <w:i/>
          <w:iCs/>
        </w:rPr>
        <w:t>.</w:t>
      </w:r>
    </w:p>
    <w:p w14:paraId="23CF6DF6" w14:textId="77777777" w:rsidR="00516332" w:rsidRDefault="00000000">
      <w:pPr>
        <w:spacing w:after="160" w:line="300" w:lineRule="auto"/>
        <w:jc w:val="both"/>
      </w:pPr>
      <w:r>
        <w:t xml:space="preserve">Donald Knuth observed that every non-trivial program contains bugs. AI-written programs are not exempt; if </w:t>
      </w:r>
      <w:proofErr w:type="gramStart"/>
      <w:r>
        <w:t>anything</w:t>
      </w:r>
      <w:proofErr w:type="gramEnd"/>
      <w:r>
        <w:t xml:space="preserve"> they are an extreme case, because the human review step that used to catch the obvious mistakes is being removed at exactly the moment the production of code is being </w:t>
      </w:r>
      <w:proofErr w:type="spellStart"/>
      <w:r>
        <w:t>industrialised</w:t>
      </w:r>
      <w:proofErr w:type="spellEnd"/>
      <w:r>
        <w:t xml:space="preserve">. The first serious clinical or operational failure attributable to the opacity of AI-written code will, in our view, mark the real trough of the AI cycle. It will be a deserved </w:t>
      </w:r>
      <w:proofErr w:type="gramStart"/>
      <w:r>
        <w:t>trough, unless</w:t>
      </w:r>
      <w:proofErr w:type="gramEnd"/>
      <w:r>
        <w:t xml:space="preserve"> we change the basis for trust first.</w:t>
      </w:r>
    </w:p>
    <w:p w14:paraId="67BA3CDF" w14:textId="77777777" w:rsidR="00516332" w:rsidRDefault="00000000">
      <w:pPr>
        <w:pStyle w:val="Heading1"/>
      </w:pPr>
      <w:r>
        <w:t xml:space="preserve">Two ways to </w:t>
      </w:r>
      <w:proofErr w:type="gramStart"/>
      <w:r>
        <w:t>trust</w:t>
      </w:r>
      <w:proofErr w:type="gramEnd"/>
    </w:p>
    <w:p w14:paraId="6EBE344A" w14:textId="77777777" w:rsidR="00516332" w:rsidRDefault="00000000">
      <w:pPr>
        <w:spacing w:after="160" w:line="300" w:lineRule="auto"/>
        <w:jc w:val="both"/>
      </w:pPr>
      <w:r>
        <w:t xml:space="preserve">Trust is a transfer of understanding. Historically, in engineering as in medicine, we have transferred it the human way: explain → understand → trust. You explain what you did; I understand it; I now trust it. Every meaningful certification, audit and code review we have today </w:t>
      </w:r>
      <w:proofErr w:type="gramStart"/>
      <w:r>
        <w:t>rests</w:t>
      </w:r>
      <w:proofErr w:type="gramEnd"/>
      <w:r>
        <w:t xml:space="preserve"> on this chain. It works when one engineer can read the pipeline.</w:t>
      </w:r>
    </w:p>
    <w:p w14:paraId="11E8EFB3" w14:textId="77777777" w:rsidR="00516332" w:rsidRDefault="00000000">
      <w:pPr>
        <w:spacing w:after="160" w:line="300" w:lineRule="auto"/>
        <w:jc w:val="both"/>
      </w:pPr>
      <w:r>
        <w:lastRenderedPageBreak/>
        <w:t xml:space="preserve">There is another way, older in some respects and newer in others: </w:t>
      </w:r>
      <w:proofErr w:type="spellStart"/>
      <w:r>
        <w:t>formalise</w:t>
      </w:r>
      <w:proofErr w:type="spellEnd"/>
      <w:r>
        <w:t xml:space="preserve"> → validate → trust. The thing is written down precisely enough that a machine can check its properties, and the trust comes from the validation rather than from the reader. Mathematicians have always known the difference between “intuitively plausible” and “formally proved.” Early computer scientists knew it too. In the 1960s, when people programmed in machine code, assembly, and at best Fortran, readability was poor enough that program correctness was usually attempted by proof rather than by reading. Structured programming and the readable languages of the 1970s and 1980s made code prose-like, and formal methods went out of fashion — not because they had failed, but because the problem they solved appeared to have gone away.</w:t>
      </w:r>
    </w:p>
    <w:p w14:paraId="30406066" w14:textId="77777777" w:rsidR="00516332" w:rsidRDefault="00000000">
      <w:pPr>
        <w:spacing w:after="160" w:line="300" w:lineRule="auto"/>
        <w:jc w:val="both"/>
      </w:pPr>
      <w:r>
        <w:t>AI-generated code at scale restores the 1960s problem under new conditions: volume plus opacity equals no human review. It is worth taking the older discipline down from the shelf.</w:t>
      </w:r>
    </w:p>
    <w:p w14:paraId="30BEEFA3" w14:textId="77777777" w:rsidR="00516332" w:rsidRDefault="00000000">
      <w:pPr>
        <w:pStyle w:val="Heading1"/>
      </w:pPr>
      <w:r>
        <w:t>Where regulation already presumes this</w:t>
      </w:r>
    </w:p>
    <w:p w14:paraId="27FC1E1A" w14:textId="77777777" w:rsidR="00516332" w:rsidRDefault="00000000">
      <w:pPr>
        <w:spacing w:after="160" w:line="300" w:lineRule="auto"/>
        <w:jc w:val="both"/>
      </w:pPr>
      <w:r>
        <w:t>This is not a hypothetical preference. Europe’s emerging digital-health architecture already presumes a verifiable record of what happened to the data — even if it currently accepts narrative documents in place of one.</w:t>
      </w:r>
    </w:p>
    <w:p w14:paraId="0E1B95C7" w14:textId="77777777" w:rsidR="00516332" w:rsidRDefault="00000000">
      <w:pPr>
        <w:pStyle w:val="ListParagraph"/>
        <w:numPr>
          <w:ilvl w:val="0"/>
          <w:numId w:val="2"/>
        </w:numPr>
        <w:spacing w:after="100" w:line="300" w:lineRule="auto"/>
      </w:pPr>
      <w:r>
        <w:rPr>
          <w:b/>
          <w:bCs/>
        </w:rPr>
        <w:t xml:space="preserve">EU AI Act. </w:t>
      </w:r>
      <w:r>
        <w:t>Risk classification and oversight presume a documented, reviewable account of training and operating data.</w:t>
      </w:r>
    </w:p>
    <w:p w14:paraId="534DADF6" w14:textId="77777777" w:rsidR="00516332" w:rsidRDefault="00000000">
      <w:pPr>
        <w:pStyle w:val="ListParagraph"/>
        <w:numPr>
          <w:ilvl w:val="0"/>
          <w:numId w:val="2"/>
        </w:numPr>
        <w:spacing w:after="100" w:line="300" w:lineRule="auto"/>
      </w:pPr>
      <w:r>
        <w:rPr>
          <w:b/>
          <w:bCs/>
        </w:rPr>
        <w:t xml:space="preserve">EHDS, Articles 51, 53, 73. </w:t>
      </w:r>
      <w:r>
        <w:t>Purpose limitation, permitted categories and secure processing environments presume a verifiable record of how data is processed for secondary use.</w:t>
      </w:r>
    </w:p>
    <w:p w14:paraId="661798D2" w14:textId="77777777" w:rsidR="00516332" w:rsidRDefault="00000000">
      <w:pPr>
        <w:pStyle w:val="ListParagraph"/>
        <w:numPr>
          <w:ilvl w:val="0"/>
          <w:numId w:val="2"/>
        </w:numPr>
        <w:spacing w:after="100" w:line="300" w:lineRule="auto"/>
      </w:pPr>
      <w:r>
        <w:rPr>
          <w:b/>
          <w:bCs/>
        </w:rPr>
        <w:t xml:space="preserve">GDPR, Article 89. </w:t>
      </w:r>
      <w:r>
        <w:t xml:space="preserve">Safeguards for research presume demonstrable </w:t>
      </w:r>
      <w:proofErr w:type="spellStart"/>
      <w:r>
        <w:t>pseudonymisation</w:t>
      </w:r>
      <w:proofErr w:type="spellEnd"/>
      <w:r>
        <w:t>, access logging and statistical disclosure controls.</w:t>
      </w:r>
    </w:p>
    <w:p w14:paraId="324EA40E" w14:textId="77777777" w:rsidR="00516332" w:rsidRDefault="00000000">
      <w:pPr>
        <w:spacing w:after="160" w:line="300" w:lineRule="auto"/>
        <w:jc w:val="both"/>
      </w:pPr>
      <w:r>
        <w:t xml:space="preserve">Today, </w:t>
      </w:r>
      <w:proofErr w:type="spellStart"/>
      <w:r>
        <w:t>organisations</w:t>
      </w:r>
      <w:proofErr w:type="spellEnd"/>
      <w:r>
        <w:t xml:space="preserve"> meet these obligations with PDFs. With structured provenance and machine-checkable rules, compliance becomes a query.</w:t>
      </w:r>
    </w:p>
    <w:p w14:paraId="0DF878EB" w14:textId="77777777" w:rsidR="00516332" w:rsidRDefault="00000000">
      <w:pPr>
        <w:spacing w:after="160" w:line="300" w:lineRule="auto"/>
        <w:jc w:val="both"/>
      </w:pPr>
      <w:r>
        <w:t>Regulation, after all, is a form of delegation. There are three levels at which AI can be regulated, and each has a characteristic strength and characteristic blind spot.</w:t>
      </w:r>
    </w:p>
    <w:p w14:paraId="10437BF5" w14:textId="77777777" w:rsidR="00516332" w:rsidRDefault="00000000">
      <w:pPr>
        <w:pStyle w:val="Heading2"/>
        <w:spacing w:before="280" w:after="160"/>
      </w:pPr>
      <w:r>
        <w:t>Deployment</w:t>
      </w:r>
    </w:p>
    <w:p w14:paraId="07F71C68" w14:textId="77777777" w:rsidR="00516332" w:rsidRDefault="00000000">
      <w:pPr>
        <w:spacing w:after="160" w:line="300" w:lineRule="auto"/>
        <w:jc w:val="both"/>
      </w:pPr>
      <w:r>
        <w:t xml:space="preserve">Risk classification by use case. The EU AI Act’s Article 6 designates a system as high-risk if it is a safety component of a product covered by EU </w:t>
      </w:r>
      <w:proofErr w:type="spellStart"/>
      <w:r>
        <w:t>harmonised</w:t>
      </w:r>
      <w:proofErr w:type="spellEnd"/>
      <w:r>
        <w:t xml:space="preserve"> legislation — healthcare, law enforcement, employment. The limitation: providers self-classify, the interests of providers and </w:t>
      </w:r>
      <w:r>
        <w:lastRenderedPageBreak/>
        <w:t>regulators sometimes diverge, and systems that span categories produce grey areas in which classification can drift towards the more lenient regime (</w:t>
      </w:r>
      <w:proofErr w:type="spellStart"/>
      <w:r>
        <w:t>Gasiola</w:t>
      </w:r>
      <w:proofErr w:type="spellEnd"/>
      <w:r>
        <w:t>, Computer Law &amp; Security Review, 2025).</w:t>
      </w:r>
    </w:p>
    <w:p w14:paraId="2E097050" w14:textId="77777777" w:rsidR="00516332" w:rsidRDefault="00000000">
      <w:pPr>
        <w:pStyle w:val="Heading2"/>
        <w:spacing w:before="280" w:after="160"/>
      </w:pPr>
      <w:r>
        <w:t>Architecture</w:t>
      </w:r>
    </w:p>
    <w:p w14:paraId="3B267F2F" w14:textId="77777777" w:rsidR="00516332" w:rsidRDefault="00000000">
      <w:pPr>
        <w:spacing w:after="160" w:line="300" w:lineRule="auto"/>
        <w:jc w:val="both"/>
      </w:pPr>
      <w:r>
        <w:t>Heuristics for general-purpose models. Article 51(2) of the AI Act treats systemic risk as triggered above 10²⁵ FLOPs of training compute. The limitation, as we wrote on the slide and will write again here: thresholds invite manipulation; architecture changes; data does not.</w:t>
      </w:r>
    </w:p>
    <w:p w14:paraId="4EEA0AE9" w14:textId="77777777" w:rsidR="00516332" w:rsidRDefault="00000000">
      <w:pPr>
        <w:pStyle w:val="Heading2"/>
        <w:spacing w:before="280" w:after="160"/>
      </w:pPr>
      <w:r>
        <w:t>Data for training</w:t>
      </w:r>
    </w:p>
    <w:p w14:paraId="03B16883" w14:textId="77777777" w:rsidR="00516332" w:rsidRDefault="00000000">
      <w:pPr>
        <w:spacing w:after="160" w:line="300" w:lineRule="auto"/>
        <w:jc w:val="both"/>
      </w:pPr>
      <w:r>
        <w:t xml:space="preserve">Provenance, transformations, exclusions, labels. Article 53(1) obliges providers of general-purpose AI to </w:t>
      </w:r>
      <w:proofErr w:type="spellStart"/>
      <w:r>
        <w:t>summarise</w:t>
      </w:r>
      <w:proofErr w:type="spellEnd"/>
      <w:r>
        <w:t xml:space="preserve"> the data used for training. The limitation today is that the obligation is met by narrative summaries rather than structured, </w:t>
      </w:r>
      <w:proofErr w:type="spellStart"/>
      <w:r>
        <w:t>queryable</w:t>
      </w:r>
      <w:proofErr w:type="spellEnd"/>
      <w:r>
        <w:t xml:space="preserve"> records.</w:t>
      </w:r>
    </w:p>
    <w:p w14:paraId="4803113A" w14:textId="77777777" w:rsidR="00516332" w:rsidRDefault="00000000">
      <w:pPr>
        <w:spacing w:after="160" w:line="300" w:lineRule="auto"/>
        <w:jc w:val="both"/>
      </w:pPr>
      <w:r>
        <w:t xml:space="preserve">Current regulation </w:t>
      </w:r>
      <w:proofErr w:type="spellStart"/>
      <w:r>
        <w:t>emphasises</w:t>
      </w:r>
      <w:proofErr w:type="spellEnd"/>
      <w:r>
        <w:t xml:space="preserve"> the first two and treats the third as an afterthought. We think the order is upside down. Data for training is the only level where regulation can persist across changes everywhere else: across use cases and risk categories, because a single dataset shapes every deployment built on top of it; and across architectures, because hyperparameters, fine-tunings and model versions change continuously while the data is the stable referent.</w:t>
      </w:r>
    </w:p>
    <w:p w14:paraId="38B8BB48" w14:textId="77777777" w:rsidR="00516332" w:rsidRDefault="00000000">
      <w:pPr>
        <w:pStyle w:val="Heading1"/>
      </w:pPr>
      <w:r>
        <w:t xml:space="preserve">Three failures that deployment review did not </w:t>
      </w:r>
      <w:proofErr w:type="gramStart"/>
      <w:r>
        <w:t>catch</w:t>
      </w:r>
      <w:proofErr w:type="gramEnd"/>
    </w:p>
    <w:p w14:paraId="21F59180" w14:textId="77777777" w:rsidR="00516332" w:rsidRDefault="00000000">
      <w:pPr>
        <w:spacing w:after="160" w:line="300" w:lineRule="auto"/>
        <w:jc w:val="both"/>
      </w:pPr>
      <w:r>
        <w:t xml:space="preserve">The clearest way to see why data for training </w:t>
      </w:r>
      <w:proofErr w:type="gramStart"/>
      <w:r>
        <w:t>has to</w:t>
      </w:r>
      <w:proofErr w:type="gramEnd"/>
      <w:r>
        <w:t xml:space="preserve"> be the foundation is to look at three real-world failures of AI systems in healthcare where the model and the deployment were, by every conventional measure, in good shape.</w:t>
      </w:r>
    </w:p>
    <w:p w14:paraId="64DB94E5" w14:textId="77777777" w:rsidR="00516332" w:rsidRDefault="00000000">
      <w:pPr>
        <w:pStyle w:val="Heading2"/>
        <w:spacing w:before="280" w:after="160"/>
      </w:pPr>
      <w:r>
        <w:t xml:space="preserve">The Epic Sepsis Model: when deployment-level review is not </w:t>
      </w:r>
      <w:proofErr w:type="gramStart"/>
      <w:r>
        <w:t>enough</w:t>
      </w:r>
      <w:proofErr w:type="gramEnd"/>
    </w:p>
    <w:p w14:paraId="56EBF446" w14:textId="77777777" w:rsidR="00516332" w:rsidRDefault="00000000">
      <w:pPr>
        <w:spacing w:after="160" w:line="300" w:lineRule="auto"/>
        <w:jc w:val="both"/>
      </w:pPr>
      <w:r>
        <w:t xml:space="preserve">The Epic Sepsis Model is a proprietary early-warning system for sepsis, deployed at hundreds of US hospitals. In 2021, a team at Michigan Medicine published an external validation in JAMA Internal Medicine (Wong et al.) covering 38,455 adult </w:t>
      </w:r>
      <w:proofErr w:type="spellStart"/>
      <w:r>
        <w:t>hospitalisations</w:t>
      </w:r>
      <w:proofErr w:type="spellEnd"/>
      <w:r>
        <w:t xml:space="preserve">. At the threshold the hospital </w:t>
      </w:r>
      <w:proofErr w:type="gramStart"/>
      <w:r>
        <w:t>actually used</w:t>
      </w:r>
      <w:proofErr w:type="gramEnd"/>
      <w:r>
        <w:t xml:space="preserve"> in practice — a score of 6, within the vendor’s recommended range — the model detected only 33 percent of sepsis cases. It missed 1,709 of 2,552. Among every hundred patients it flagged, about twelve had sepsis; the other eighty-eight were false alarms.</w:t>
      </w:r>
    </w:p>
    <w:p w14:paraId="35070E87" w14:textId="77777777" w:rsidR="00516332" w:rsidRDefault="00000000">
      <w:pPr>
        <w:spacing w:after="160" w:line="300" w:lineRule="auto"/>
        <w:jc w:val="both"/>
      </w:pPr>
      <w:r>
        <w:t xml:space="preserve">On paper, the deployment was classified as high-stakes clinical use and was governed accordingly. What deployment-level review could not see was that, in the authors’ own careful </w:t>
      </w:r>
      <w:r>
        <w:lastRenderedPageBreak/>
        <w:t>phrasing, “only limited information is publicly available about the model’s performance, and no independent validations have been published to date.” The vendor’s internal documentation, shared under permission, reported AUCs of 0.76 to 0.83; the external study found 0.63. The thing that was missing was not a regulatory category. It was an inspectable account of the data and the validation cohort.</w:t>
      </w:r>
    </w:p>
    <w:p w14:paraId="6AC51680" w14:textId="77777777" w:rsidR="00516332" w:rsidRDefault="00000000">
      <w:pPr>
        <w:pStyle w:val="Heading2"/>
        <w:spacing w:before="280" w:after="160"/>
      </w:pPr>
      <w:r>
        <w:t>Obermeyer et al.: the label, not the model</w:t>
      </w:r>
    </w:p>
    <w:p w14:paraId="25FD14F4" w14:textId="77777777" w:rsidR="00516332" w:rsidRDefault="00000000">
      <w:pPr>
        <w:spacing w:after="160" w:line="300" w:lineRule="auto"/>
        <w:jc w:val="both"/>
      </w:pPr>
      <w:r>
        <w:t xml:space="preserve">In 2019, Obermeyer and colleagues published in </w:t>
      </w:r>
      <w:proofErr w:type="gramStart"/>
      <w:r>
        <w:t>Science</w:t>
      </w:r>
      <w:proofErr w:type="gramEnd"/>
      <w:r>
        <w:t xml:space="preserve"> an audit of a widely used commercial care-management algorithm. The product they studied affected millions of patients; algorithms of its class are used to manage care for roughly 200 million people in the United States each year. The architecture was sound; the calibration looked fine; race was not in the feature set.</w:t>
      </w:r>
    </w:p>
    <w:p w14:paraId="7919900E" w14:textId="77777777" w:rsidR="00516332" w:rsidRDefault="00000000">
      <w:pPr>
        <w:spacing w:after="160" w:line="300" w:lineRule="auto"/>
        <w:jc w:val="both"/>
      </w:pPr>
      <w:r>
        <w:t>The label was the problem. The algorithm had been trained to predict next-year healthcare cost as a proxy for next-year health need. For structural reasons — lower access, less spending at equivalent illness — Black patients with the same level of chronic illness generated about $1,800 less in annual cost than White patients. The model learned that mapping faithfully. At the algorithm’s auto-enrollment threshold, Black patients had 26 percent more chronic conditions than White patients at the same risk score. Fixing the bias would have raised the share of Black patients flagged for extra care from 17.7 percent to 46.5 percent.</w:t>
      </w:r>
    </w:p>
    <w:p w14:paraId="64B86ADC" w14:textId="77777777" w:rsidR="00516332" w:rsidRDefault="00000000">
      <w:pPr>
        <w:spacing w:after="160" w:line="300" w:lineRule="auto"/>
        <w:jc w:val="both"/>
      </w:pPr>
      <w:r>
        <w:t>In collaboration with the manufacturer, the authors retrained the same model on the same features with a different label — a combined index of health and cost. On the manufacturer’s own 3.7-million-patient dataset, the excess chronic-illness burden at a given score fell by roughly 84 percent. The architecture was untouched. The fix lived in the data.</w:t>
      </w:r>
    </w:p>
    <w:p w14:paraId="11E86AD8" w14:textId="77777777" w:rsidR="00516332" w:rsidRDefault="00000000">
      <w:pPr>
        <w:pBdr>
          <w:left w:val="single" w:sz="12" w:space="12" w:color="888888"/>
        </w:pBdr>
        <w:spacing w:before="200" w:after="200" w:line="300" w:lineRule="auto"/>
        <w:ind w:left="720" w:right="720"/>
      </w:pPr>
      <w:r>
        <w:rPr>
          <w:i/>
          <w:iCs/>
        </w:rPr>
        <w:t>Using traditional metrics of overall prediction quality, cost seemed to be an effective proxy for health — and yet still produced large biases. — Obermeyer et al., 2019</w:t>
      </w:r>
    </w:p>
    <w:p w14:paraId="1C5789AF" w14:textId="77777777" w:rsidR="00516332" w:rsidRDefault="00000000">
      <w:pPr>
        <w:spacing w:after="160" w:line="300" w:lineRule="auto"/>
        <w:jc w:val="both"/>
      </w:pPr>
      <w:r>
        <w:t>Any architecture-level or performance-level review that asked only “Is it accurate on its label? Is it well calibrated by race on that label?” would have found nothing wrong. The bias appeared only when someone asked a different question: at a given score, are Black and White patients equally sick? That question required access to clinical outcomes, not just claims and cost — in other words, to the substance of the training data.</w:t>
      </w:r>
    </w:p>
    <w:p w14:paraId="6549AE4D" w14:textId="77777777" w:rsidR="00516332" w:rsidRDefault="00000000">
      <w:pPr>
        <w:pStyle w:val="Heading2"/>
        <w:spacing w:before="280" w:after="160"/>
      </w:pPr>
      <w:r>
        <w:t>Thailand DR screening: the operational data environment</w:t>
      </w:r>
    </w:p>
    <w:p w14:paraId="56B0B4DC" w14:textId="77777777" w:rsidR="00516332" w:rsidRDefault="00000000">
      <w:pPr>
        <w:spacing w:after="160" w:line="300" w:lineRule="auto"/>
        <w:jc w:val="both"/>
      </w:pPr>
      <w:proofErr w:type="spellStart"/>
      <w:r>
        <w:lastRenderedPageBreak/>
        <w:t>Beede</w:t>
      </w:r>
      <w:proofErr w:type="spellEnd"/>
      <w:r>
        <w:t xml:space="preserve"> and colleagues (CHI 2020) studied a specialist-level deep-learning model for diabetic retinopathy in eleven Thai clinics. On internal validation, the model performed at the level of a board-certified ophthalmologist. In the field, twenty-one percent of images were rejected as ungradable: room lighting was wrong, dilation drops were not used, internet connections dropped, patients had to be re-scheduled. Nurses developed workarounds, including taking decisions the algorithm was meant to make. The model that had outperformed specialists in the lab failed to function as designed in the clinic.</w:t>
      </w:r>
    </w:p>
    <w:p w14:paraId="5417438C" w14:textId="77777777" w:rsidR="00516332" w:rsidRDefault="00000000">
      <w:pPr>
        <w:spacing w:after="160" w:line="300" w:lineRule="auto"/>
        <w:jc w:val="both"/>
      </w:pPr>
      <w:r>
        <w:t xml:space="preserve">In all three cases, the training data did not cover the full variability of the operational data. Deployment-level review classified the system. Architecture-level review approved the model. Neither could see what was </w:t>
      </w:r>
      <w:proofErr w:type="gramStart"/>
      <w:r>
        <w:t>actually wrong</w:t>
      </w:r>
      <w:proofErr w:type="gramEnd"/>
      <w:r>
        <w:t>, because the relevant facts lived in the data.</w:t>
      </w:r>
    </w:p>
    <w:p w14:paraId="1B8733B8" w14:textId="77777777" w:rsidR="00516332" w:rsidRDefault="00000000">
      <w:pPr>
        <w:pStyle w:val="Heading1"/>
      </w:pPr>
      <w:r>
        <w:t xml:space="preserve">Actionable provenance: where formal methods live in data </w:t>
      </w:r>
      <w:proofErr w:type="gramStart"/>
      <w:r>
        <w:t>pipelines</w:t>
      </w:r>
      <w:proofErr w:type="gramEnd"/>
    </w:p>
    <w:p w14:paraId="2CD7D5DD" w14:textId="77777777" w:rsidR="00516332" w:rsidRDefault="00000000">
      <w:pPr>
        <w:spacing w:after="160" w:line="300" w:lineRule="auto"/>
        <w:jc w:val="both"/>
      </w:pPr>
      <w:r>
        <w:t>If formal methods are to return, they will not return in the form they had in the 1970s. In data processing pipelines they take the form of what we have been calling actionable provenance. The idea is plain enough.</w:t>
      </w:r>
    </w:p>
    <w:p w14:paraId="6F3445B7" w14:textId="77777777" w:rsidR="00516332" w:rsidRDefault="00000000">
      <w:pPr>
        <w:pStyle w:val="Heading2"/>
        <w:spacing w:before="280" w:after="160"/>
      </w:pPr>
      <w:r>
        <w:t>Provenance</w:t>
      </w:r>
    </w:p>
    <w:p w14:paraId="436373CB" w14:textId="77777777" w:rsidR="00516332" w:rsidRDefault="00000000">
      <w:pPr>
        <w:pStyle w:val="ListParagraph"/>
        <w:numPr>
          <w:ilvl w:val="0"/>
          <w:numId w:val="2"/>
        </w:numPr>
        <w:spacing w:after="100" w:line="300" w:lineRule="auto"/>
      </w:pPr>
      <w:r>
        <w:t>Captured automatically as workflows execute.</w:t>
      </w:r>
    </w:p>
    <w:p w14:paraId="595E0564" w14:textId="77777777" w:rsidR="00516332" w:rsidRDefault="00000000">
      <w:pPr>
        <w:pStyle w:val="ListParagraph"/>
        <w:numPr>
          <w:ilvl w:val="0"/>
          <w:numId w:val="2"/>
        </w:numPr>
        <w:spacing w:after="100" w:line="300" w:lineRule="auto"/>
      </w:pPr>
      <w:r>
        <w:t xml:space="preserve">Structured, </w:t>
      </w:r>
      <w:proofErr w:type="spellStart"/>
      <w:r>
        <w:t>queryable</w:t>
      </w:r>
      <w:proofErr w:type="spellEnd"/>
      <w:r>
        <w:t xml:space="preserve"> records — not narrative documents.</w:t>
      </w:r>
    </w:p>
    <w:p w14:paraId="0701B495" w14:textId="77777777" w:rsidR="00516332" w:rsidRDefault="00000000">
      <w:pPr>
        <w:pStyle w:val="ListParagraph"/>
        <w:numPr>
          <w:ilvl w:val="0"/>
          <w:numId w:val="2"/>
        </w:numPr>
        <w:spacing w:after="100" w:line="300" w:lineRule="auto"/>
      </w:pPr>
      <w:r>
        <w:t xml:space="preserve">A description of what was </w:t>
      </w:r>
      <w:proofErr w:type="gramStart"/>
      <w:r>
        <w:t>actually done</w:t>
      </w:r>
      <w:proofErr w:type="gramEnd"/>
      <w:r>
        <w:t xml:space="preserve"> to the data, at a granularity that a machine can inspect.</w:t>
      </w:r>
    </w:p>
    <w:p w14:paraId="67797724" w14:textId="77777777" w:rsidR="00516332" w:rsidRDefault="00000000">
      <w:pPr>
        <w:pStyle w:val="Heading2"/>
        <w:spacing w:before="280" w:after="160"/>
      </w:pPr>
      <w:r>
        <w:t>Rules</w:t>
      </w:r>
    </w:p>
    <w:p w14:paraId="39DC9711" w14:textId="77777777" w:rsidR="00516332" w:rsidRDefault="00000000">
      <w:pPr>
        <w:pStyle w:val="ListParagraph"/>
        <w:numPr>
          <w:ilvl w:val="0"/>
          <w:numId w:val="2"/>
        </w:numPr>
        <w:spacing w:after="100" w:line="300" w:lineRule="auto"/>
      </w:pPr>
      <w:r>
        <w:t>Formal predicates run over the provenance records.</w:t>
      </w:r>
    </w:p>
    <w:p w14:paraId="5E9C2BBC" w14:textId="77777777" w:rsidR="00516332" w:rsidRDefault="00000000">
      <w:pPr>
        <w:pStyle w:val="ListParagraph"/>
        <w:numPr>
          <w:ilvl w:val="0"/>
          <w:numId w:val="2"/>
        </w:numPr>
        <w:spacing w:after="100" w:line="300" w:lineRule="auto"/>
      </w:pPr>
      <w:r>
        <w:t>Verifiable by machine on every run.</w:t>
      </w:r>
    </w:p>
    <w:p w14:paraId="2846ACDB" w14:textId="77777777" w:rsidR="00516332" w:rsidRDefault="00000000">
      <w:pPr>
        <w:pStyle w:val="ListParagraph"/>
        <w:numPr>
          <w:ilvl w:val="0"/>
          <w:numId w:val="2"/>
        </w:numPr>
        <w:spacing w:after="100" w:line="300" w:lineRule="auto"/>
      </w:pPr>
      <w:r>
        <w:t xml:space="preserve">Readable by clinicians, </w:t>
      </w:r>
      <w:proofErr w:type="gramStart"/>
      <w:r>
        <w:t>regulators</w:t>
      </w:r>
      <w:proofErr w:type="gramEnd"/>
      <w:r>
        <w:t xml:space="preserve"> and governance experts — not only engineers.</w:t>
      </w:r>
    </w:p>
    <w:p w14:paraId="3A621411" w14:textId="77777777" w:rsidR="00516332" w:rsidRDefault="00000000">
      <w:pPr>
        <w:pStyle w:val="ListParagraph"/>
        <w:numPr>
          <w:ilvl w:val="0"/>
          <w:numId w:val="2"/>
        </w:numPr>
        <w:spacing w:after="100" w:line="300" w:lineRule="auto"/>
      </w:pPr>
      <w:r>
        <w:t>Expressing compliance and quality requirements directly, in the same vocabulary as the obligations they implement.</w:t>
      </w:r>
    </w:p>
    <w:p w14:paraId="5FA8A717" w14:textId="77777777" w:rsidR="00516332" w:rsidRDefault="00000000">
      <w:pPr>
        <w:pStyle w:val="Heading2"/>
        <w:spacing w:before="280" w:after="160"/>
      </w:pPr>
      <w:r>
        <w:t>Actions</w:t>
      </w:r>
    </w:p>
    <w:p w14:paraId="641F122B" w14:textId="77777777" w:rsidR="00516332" w:rsidRDefault="00000000">
      <w:pPr>
        <w:pStyle w:val="ListParagraph"/>
        <w:numPr>
          <w:ilvl w:val="0"/>
          <w:numId w:val="2"/>
        </w:numPr>
        <w:spacing w:after="100" w:line="300" w:lineRule="auto"/>
      </w:pPr>
      <w:r>
        <w:t>Compliance attestations produced as outputs of the pipeline, not as side documents.</w:t>
      </w:r>
    </w:p>
    <w:p w14:paraId="1708DC48" w14:textId="77777777" w:rsidR="00516332" w:rsidRDefault="00000000">
      <w:pPr>
        <w:pStyle w:val="ListParagraph"/>
        <w:numPr>
          <w:ilvl w:val="0"/>
          <w:numId w:val="2"/>
        </w:numPr>
        <w:spacing w:after="100" w:line="300" w:lineRule="auto"/>
      </w:pPr>
      <w:r>
        <w:t>Audit trails and quality assertions.</w:t>
      </w:r>
    </w:p>
    <w:p w14:paraId="49F775C5" w14:textId="77777777" w:rsidR="00516332" w:rsidRDefault="00000000">
      <w:pPr>
        <w:pStyle w:val="ListParagraph"/>
        <w:numPr>
          <w:ilvl w:val="0"/>
          <w:numId w:val="2"/>
        </w:numPr>
        <w:spacing w:after="100" w:line="300" w:lineRule="auto"/>
      </w:pPr>
      <w:r>
        <w:lastRenderedPageBreak/>
        <w:t>Drift alerts and recourse triggers when the operational data leaves the training envelope.</w:t>
      </w:r>
    </w:p>
    <w:p w14:paraId="356DE893" w14:textId="77777777" w:rsidR="00516332" w:rsidRDefault="00000000">
      <w:pPr>
        <w:spacing w:after="160" w:line="300" w:lineRule="auto"/>
        <w:jc w:val="both"/>
      </w:pPr>
      <w:r>
        <w:t>A machine-checkable rule, in a dialect intended for healthcare policymakers and governance experts rather than for engineers, can look something like this:</w:t>
      </w:r>
    </w:p>
    <w:p w14:paraId="5480195B" w14:textId="77777777" w:rsidR="00516332" w:rsidRDefault="00000000">
      <w:pPr>
        <w:shd w:val="clear" w:color="auto" w:fill="F2F2F2"/>
        <w:spacing w:before="120" w:after="120"/>
        <w:ind w:left="360" w:right="360"/>
      </w:pPr>
      <w:proofErr w:type="spellStart"/>
      <w:r>
        <w:rPr>
          <w:rFonts w:ascii="Consolas" w:eastAsia="Consolas" w:hAnsi="Consolas" w:cs="Consolas"/>
          <w:sz w:val="20"/>
          <w:szCs w:val="20"/>
        </w:rPr>
        <w:t>pseudonymization_rules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patient_id</w:t>
      </w:r>
      <w:proofErr w:type="spellEnd"/>
      <w:r>
        <w:rPr>
          <w:rFonts w:ascii="Consolas" w:eastAsia="Consolas" w:hAnsi="Consolas" w:cs="Consolas"/>
          <w:sz w:val="20"/>
          <w:szCs w:val="20"/>
        </w:rPr>
        <w:t xml:space="preserve">     → hash(salt: </w:t>
      </w:r>
      <w:proofErr w:type="spellStart"/>
      <w:r>
        <w:rPr>
          <w:rFonts w:ascii="Consolas" w:eastAsia="Consolas" w:hAnsi="Consolas" w:cs="Consolas"/>
          <w:sz w:val="20"/>
          <w:szCs w:val="20"/>
        </w:rPr>
        <w:t>project_specific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birth_date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age_at_event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admission_date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relative_timeline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index_date</w:t>
      </w:r>
      <w:proofErr w:type="spellEnd"/>
      <w:r>
        <w:rPr>
          <w:rFonts w:ascii="Consolas" w:eastAsia="Consolas" w:hAnsi="Consolas" w:cs="Consolas"/>
          <w:sz w:val="20"/>
          <w:szCs w:val="20"/>
        </w:rPr>
        <w:t xml:space="preserve">: "diagnosis")   </w:t>
      </w:r>
      <w:proofErr w:type="spellStart"/>
      <w:r>
        <w:rPr>
          <w:rFonts w:ascii="Consolas" w:eastAsia="Consolas" w:hAnsi="Consolas" w:cs="Consolas"/>
          <w:sz w:val="20"/>
          <w:szCs w:val="20"/>
        </w:rPr>
        <w:t>hospital_id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region_category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quality_predicates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assert_k_anonymity</w:t>
      </w:r>
      <w:proofErr w:type="spellEnd"/>
      <w:r>
        <w:rPr>
          <w:rFonts w:ascii="Consolas" w:eastAsia="Consolas" w:hAnsi="Consolas" w:cs="Consolas"/>
          <w:sz w:val="20"/>
          <w:szCs w:val="20"/>
        </w:rPr>
        <w:t xml:space="preserve">(k: 5, </w:t>
      </w:r>
      <w:proofErr w:type="spellStart"/>
      <w:r>
        <w:rPr>
          <w:rFonts w:ascii="Consolas" w:eastAsia="Consolas" w:hAnsi="Consolas" w:cs="Consolas"/>
          <w:sz w:val="20"/>
          <w:szCs w:val="20"/>
        </w:rPr>
        <w:t>quasi_identifiers</w:t>
      </w:r>
      <w:proofErr w:type="spellEnd"/>
      <w:r>
        <w:rPr>
          <w:rFonts w:ascii="Consolas" w:eastAsia="Consolas" w:hAnsi="Consolas" w:cs="Consolas"/>
          <w:sz w:val="20"/>
          <w:szCs w:val="20"/>
        </w:rPr>
        <w:t xml:space="preserve">: ["age", "gender", "region"]),   </w:t>
      </w:r>
      <w:proofErr w:type="spellStart"/>
      <w:r>
        <w:rPr>
          <w:rFonts w:ascii="Consolas" w:eastAsia="Consolas" w:hAnsi="Consolas" w:cs="Consolas"/>
          <w:sz w:val="20"/>
          <w:szCs w:val="20"/>
        </w:rPr>
        <w:t>assert_valid_consent</w:t>
      </w:r>
      <w:proofErr w:type="spellEnd"/>
      <w:r>
        <w:rPr>
          <w:rFonts w:ascii="Consolas" w:eastAsia="Consolas" w:hAnsi="Consolas" w:cs="Consolas"/>
          <w:sz w:val="20"/>
          <w:szCs w:val="20"/>
        </w:rPr>
        <w:t>(type: "</w:t>
      </w:r>
      <w:proofErr w:type="spellStart"/>
      <w:r>
        <w:rPr>
          <w:rFonts w:ascii="Consolas" w:eastAsia="Consolas" w:hAnsi="Consolas" w:cs="Consolas"/>
          <w:sz w:val="20"/>
          <w:szCs w:val="20"/>
        </w:rPr>
        <w:t>broad_consent_research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assert_purpose_compatibility</w:t>
      </w:r>
      <w:proofErr w:type="spellEnd"/>
      <w:r>
        <w:rPr>
          <w:rFonts w:ascii="Consolas" w:eastAsia="Consolas" w:hAnsi="Consolas" w:cs="Consolas"/>
          <w:sz w:val="20"/>
          <w:szCs w:val="20"/>
        </w:rPr>
        <w:t xml:space="preserve">(declared: "cardiovascular", </w:t>
      </w:r>
      <w:proofErr w:type="spellStart"/>
      <w:r>
        <w:rPr>
          <w:rFonts w:ascii="Consolas" w:eastAsia="Consolas" w:hAnsi="Consolas" w:cs="Consolas"/>
          <w:sz w:val="20"/>
          <w:szCs w:val="20"/>
        </w:rPr>
        <w:t>used_for</w:t>
      </w:r>
      <w:proofErr w:type="spellEnd"/>
      <w:r>
        <w:rPr>
          <w:rFonts w:ascii="Consolas" w:eastAsia="Consolas" w:hAnsi="Consolas" w:cs="Consolas"/>
          <w:sz w:val="20"/>
          <w:szCs w:val="20"/>
        </w:rPr>
        <w:t>: "cardiovascular") ]</w:t>
      </w:r>
    </w:p>
    <w:p w14:paraId="51599C9D" w14:textId="77777777" w:rsidR="00516332" w:rsidRDefault="00000000">
      <w:pPr>
        <w:spacing w:after="160" w:line="300" w:lineRule="auto"/>
        <w:jc w:val="both"/>
      </w:pPr>
      <w:r>
        <w:t>The detail is less important than the shape. The rule says what must be true; the provenance record says what was done; the action says what follows. Compliance stops being a narrative and starts being a query.</w:t>
      </w:r>
    </w:p>
    <w:p w14:paraId="75DA03BB" w14:textId="77777777" w:rsidR="00516332" w:rsidRDefault="00000000">
      <w:pPr>
        <w:pStyle w:val="Heading1"/>
      </w:pPr>
      <w:r>
        <w:t>The long horizon: invariants for self-modifying systems</w:t>
      </w:r>
    </w:p>
    <w:p w14:paraId="47CE0ED3" w14:textId="77777777" w:rsidR="00516332" w:rsidRDefault="00000000">
      <w:pPr>
        <w:spacing w:after="160" w:line="300" w:lineRule="auto"/>
        <w:jc w:val="both"/>
      </w:pPr>
      <w:r>
        <w:t>The horizon is closer than most healthcare regulators have prepared for. The progression is already visible: AI assists engineers; AI authors pipelines; AI deploys pipelines; AI modifies pipelines in flight. For systems that rewrite themselves, no fixed specification will hold for very long. We need a different formal object — one that survives the system’s evolution.</w:t>
      </w:r>
    </w:p>
    <w:p w14:paraId="471B9216" w14:textId="77777777" w:rsidR="00516332" w:rsidRDefault="00000000">
      <w:pPr>
        <w:spacing w:after="160" w:line="300" w:lineRule="auto"/>
        <w:jc w:val="both"/>
      </w:pPr>
      <w:r>
        <w:t xml:space="preserve">That object is the invariant: a property the system must preserve through every change to itself (see </w:t>
      </w:r>
      <w:proofErr w:type="spellStart"/>
      <w:r>
        <w:t>Bukatin</w:t>
      </w:r>
      <w:proofErr w:type="spellEnd"/>
      <w:r>
        <w:t>, 2024, on invariant properties of self-modifying systems). Two ideas matter, both still working hypotheses:</w:t>
      </w:r>
    </w:p>
    <w:p w14:paraId="07C0433E" w14:textId="77777777" w:rsidR="00516332" w:rsidRDefault="00000000">
      <w:pPr>
        <w:pStyle w:val="ListParagraph"/>
        <w:numPr>
          <w:ilvl w:val="0"/>
          <w:numId w:val="2"/>
        </w:numPr>
        <w:spacing w:after="100" w:line="300" w:lineRule="auto"/>
      </w:pPr>
      <w:r>
        <w:rPr>
          <w:b/>
          <w:bCs/>
        </w:rPr>
        <w:t xml:space="preserve">Invariants are discovered, not given. </w:t>
      </w:r>
      <w:r>
        <w:t>They are refined as the system evolves, and they are only ever approximately satisfied.</w:t>
      </w:r>
    </w:p>
    <w:p w14:paraId="75E04E8D" w14:textId="77777777" w:rsidR="00516332" w:rsidRDefault="00000000">
      <w:pPr>
        <w:pStyle w:val="ListParagraph"/>
        <w:numPr>
          <w:ilvl w:val="0"/>
          <w:numId w:val="2"/>
        </w:numPr>
        <w:spacing w:after="100" w:line="300" w:lineRule="auto"/>
      </w:pPr>
      <w:r>
        <w:rPr>
          <w:b/>
          <w:bCs/>
        </w:rPr>
        <w:t xml:space="preserve">Gradual changes preserve invariants more reliably than abrupt ones. </w:t>
      </w:r>
      <w:r>
        <w:t>Continuous evolution is easier to keep within a bound than punctuated rewriting.</w:t>
      </w:r>
    </w:p>
    <w:p w14:paraId="39327DCB" w14:textId="77777777" w:rsidR="00516332" w:rsidRDefault="00000000">
      <w:pPr>
        <w:spacing w:after="160" w:line="300" w:lineRule="auto"/>
        <w:jc w:val="both"/>
      </w:pPr>
      <w:r>
        <w:t xml:space="preserve">If we were specifying a vehicle to transport goods overland in the early nineteenth century, “four wheels” might have served as a perfectly sensible invariant. By the twentieth century, three-wheeled aircraft and many-wheeled lorries were carrying goods, and certain four-wheeled vehicles were carrying artillery instead. The invariant had to be reconsidered, and the right level of abstraction for it turned out to be higher than the original designers imagined. The lesson </w:t>
      </w:r>
      <w:proofErr w:type="spellStart"/>
      <w:r>
        <w:t>generalises</w:t>
      </w:r>
      <w:proofErr w:type="spellEnd"/>
      <w:r>
        <w:t>. When a system can rewrite itself, the only stable definition of correctness is the description of what must never stop being true.</w:t>
      </w:r>
    </w:p>
    <w:p w14:paraId="6110B746" w14:textId="77777777" w:rsidR="00516332" w:rsidRDefault="00000000">
      <w:pPr>
        <w:pStyle w:val="Heading1"/>
      </w:pPr>
      <w:r>
        <w:lastRenderedPageBreak/>
        <w:t>Where to start</w:t>
      </w:r>
    </w:p>
    <w:p w14:paraId="5953F329" w14:textId="77777777" w:rsidR="00516332" w:rsidRDefault="00000000">
      <w:pPr>
        <w:spacing w:after="160" w:line="300" w:lineRule="auto"/>
        <w:jc w:val="both"/>
      </w:pPr>
      <w:r>
        <w:t>The strongest regulatory framework will combine all three levels: deployment classification, architectural heuristics, and data-for-training provenance. But it must place significantly more weight on the foundational layer, where the least visible and most consequential risks are introduced.</w:t>
      </w:r>
    </w:p>
    <w:p w14:paraId="04A459F8" w14:textId="77777777" w:rsidR="00516332" w:rsidRDefault="00000000">
      <w:pPr>
        <w:pStyle w:val="ListParagraph"/>
        <w:numPr>
          <w:ilvl w:val="0"/>
          <w:numId w:val="2"/>
        </w:numPr>
        <w:spacing w:after="100" w:line="300" w:lineRule="auto"/>
      </w:pPr>
      <w:r>
        <w:rPr>
          <w:b/>
          <w:bCs/>
        </w:rPr>
        <w:t xml:space="preserve">Data for training: </w:t>
      </w:r>
      <w:r>
        <w:t>foundational; persists across use cases and architectures.</w:t>
      </w:r>
    </w:p>
    <w:p w14:paraId="301C2C0D" w14:textId="77777777" w:rsidR="00516332" w:rsidRDefault="00000000">
      <w:pPr>
        <w:pStyle w:val="ListParagraph"/>
        <w:numPr>
          <w:ilvl w:val="0"/>
          <w:numId w:val="2"/>
        </w:numPr>
        <w:spacing w:after="100" w:line="300" w:lineRule="auto"/>
      </w:pPr>
      <w:r>
        <w:rPr>
          <w:b/>
          <w:bCs/>
        </w:rPr>
        <w:t xml:space="preserve">Model </w:t>
      </w:r>
      <w:proofErr w:type="spellStart"/>
      <w:r>
        <w:rPr>
          <w:b/>
          <w:bCs/>
        </w:rPr>
        <w:t>behaviour</w:t>
      </w:r>
      <w:proofErr w:type="spellEnd"/>
      <w:r>
        <w:rPr>
          <w:b/>
          <w:bCs/>
        </w:rPr>
        <w:t xml:space="preserve">: </w:t>
      </w:r>
      <w:r>
        <w:t xml:space="preserve">harder to </w:t>
      </w:r>
      <w:proofErr w:type="spellStart"/>
      <w:r>
        <w:t>formalise</w:t>
      </w:r>
      <w:proofErr w:type="spellEnd"/>
      <w:r>
        <w:t xml:space="preserve">; </w:t>
      </w:r>
      <w:proofErr w:type="spellStart"/>
      <w:r>
        <w:t>regularisable</w:t>
      </w:r>
      <w:proofErr w:type="spellEnd"/>
      <w:r>
        <w:t>, to an extent.</w:t>
      </w:r>
    </w:p>
    <w:p w14:paraId="43D2C7F6" w14:textId="77777777" w:rsidR="00516332" w:rsidRDefault="00000000">
      <w:pPr>
        <w:pStyle w:val="ListParagraph"/>
        <w:numPr>
          <w:ilvl w:val="0"/>
          <w:numId w:val="2"/>
        </w:numPr>
        <w:spacing w:after="100" w:line="300" w:lineRule="auto"/>
      </w:pPr>
      <w:r>
        <w:rPr>
          <w:b/>
          <w:bCs/>
        </w:rPr>
        <w:t xml:space="preserve">Deployment and drift: </w:t>
      </w:r>
      <w:r>
        <w:t>continuous monitoring, version control, recourse.</w:t>
      </w:r>
    </w:p>
    <w:p w14:paraId="084E0F06" w14:textId="77777777" w:rsidR="00516332" w:rsidRDefault="00000000">
      <w:pPr>
        <w:pStyle w:val="ListParagraph"/>
        <w:numPr>
          <w:ilvl w:val="0"/>
          <w:numId w:val="2"/>
        </w:numPr>
        <w:spacing w:after="100" w:line="300" w:lineRule="auto"/>
      </w:pPr>
      <w:r>
        <w:rPr>
          <w:b/>
          <w:bCs/>
        </w:rPr>
        <w:t xml:space="preserve">Self-modification: </w:t>
      </w:r>
      <w:r>
        <w:t>invariants, on the long horizon.</w:t>
      </w:r>
    </w:p>
    <w:p w14:paraId="35A306D0" w14:textId="77777777" w:rsidR="00516332" w:rsidRDefault="00000000">
      <w:pPr>
        <w:spacing w:after="160" w:line="300" w:lineRule="auto"/>
        <w:jc w:val="both"/>
      </w:pPr>
      <w:r>
        <w:t>Take it for granted that AI will write the data pipelines. The choice that remains is whether the trust we place in those pipelines will be based on an explanation we can no longer read, or on a formal verification of what was done to the data. Healthcare, where the consequences of misplaced trust are paid in patients, is where this shift must happen first.</w:t>
      </w:r>
    </w:p>
    <w:p w14:paraId="4A4924CA" w14:textId="77777777" w:rsidR="00516332" w:rsidRDefault="00000000">
      <w:pPr>
        <w:pStyle w:val="Heading1"/>
      </w:pPr>
      <w:r>
        <w:t>References</w:t>
      </w:r>
    </w:p>
    <w:p w14:paraId="7315414E" w14:textId="77777777" w:rsidR="00516332" w:rsidRDefault="00000000">
      <w:pPr>
        <w:spacing w:after="160" w:line="300" w:lineRule="auto"/>
        <w:jc w:val="both"/>
      </w:pPr>
      <w:r>
        <w:t xml:space="preserve">Wong, A., </w:t>
      </w:r>
      <w:proofErr w:type="spellStart"/>
      <w:r>
        <w:t>Otles</w:t>
      </w:r>
      <w:proofErr w:type="spellEnd"/>
      <w:r>
        <w:t>, E., Donnelly, J. P., et al. External validation of a widely implemented proprietary sepsis prediction model in hospitalized patients. JAMA Internal Medicine, 2021.</w:t>
      </w:r>
    </w:p>
    <w:p w14:paraId="11774B12" w14:textId="77777777" w:rsidR="00516332" w:rsidRDefault="00000000">
      <w:pPr>
        <w:spacing w:after="160" w:line="300" w:lineRule="auto"/>
        <w:jc w:val="both"/>
      </w:pPr>
      <w:r>
        <w:t xml:space="preserve">Obermeyer, Z., Powers, B., </w:t>
      </w:r>
      <w:proofErr w:type="spellStart"/>
      <w:r>
        <w:t>Vogeli</w:t>
      </w:r>
      <w:proofErr w:type="spellEnd"/>
      <w:r>
        <w:t>, C., Mullainathan, S. Dissecting racial bias in an algorithm used to manage the health of populations. Science, 2019.</w:t>
      </w:r>
    </w:p>
    <w:p w14:paraId="28879D13" w14:textId="77777777" w:rsidR="00516332" w:rsidRDefault="00000000">
      <w:pPr>
        <w:spacing w:after="160" w:line="300" w:lineRule="auto"/>
        <w:jc w:val="both"/>
      </w:pPr>
      <w:proofErr w:type="spellStart"/>
      <w:r>
        <w:t>Beede</w:t>
      </w:r>
      <w:proofErr w:type="spellEnd"/>
      <w:r>
        <w:t>, E., Baylor, E., Hersch, F., et al. A human-centered evaluation of a deep learning system deployed in clinics for the detection of diabetic retinopathy. CHI, 2020.</w:t>
      </w:r>
    </w:p>
    <w:p w14:paraId="75A1A9D5" w14:textId="77777777" w:rsidR="00516332" w:rsidRDefault="00000000">
      <w:pPr>
        <w:spacing w:after="160" w:line="300" w:lineRule="auto"/>
        <w:jc w:val="both"/>
      </w:pPr>
      <w:proofErr w:type="spellStart"/>
      <w:r>
        <w:t>Gasiola</w:t>
      </w:r>
      <w:proofErr w:type="spellEnd"/>
      <w:r>
        <w:t>, A. The risk-based approach in the AI Act: deconstructing the pyramid. Computer Law &amp; Security Review, 2025.</w:t>
      </w:r>
    </w:p>
    <w:p w14:paraId="55FD389A" w14:textId="77777777" w:rsidR="00516332" w:rsidRDefault="00000000">
      <w:pPr>
        <w:spacing w:after="160" w:line="300" w:lineRule="auto"/>
        <w:jc w:val="both"/>
      </w:pPr>
      <w:proofErr w:type="spellStart"/>
      <w:r>
        <w:t>Bukatin</w:t>
      </w:r>
      <w:proofErr w:type="spellEnd"/>
      <w:r>
        <w:t>, M. Pondering invariant properties of self-modifying systems. 2024. https://doi.org/10.13140/RG.2.2.19271.15523</w:t>
      </w:r>
    </w:p>
    <w:sectPr w:rsidR="005163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771C5"/>
    <w:multiLevelType w:val="hybridMultilevel"/>
    <w:tmpl w:val="D64E0D06"/>
    <w:lvl w:ilvl="0" w:tplc="07A0C176">
      <w:start w:val="1"/>
      <w:numFmt w:val="bullet"/>
      <w:lvlText w:val="●"/>
      <w:lvlJc w:val="left"/>
      <w:pPr>
        <w:ind w:left="720" w:hanging="360"/>
      </w:pPr>
    </w:lvl>
    <w:lvl w:ilvl="1" w:tplc="5ADC249A">
      <w:start w:val="1"/>
      <w:numFmt w:val="bullet"/>
      <w:lvlText w:val="○"/>
      <w:lvlJc w:val="left"/>
      <w:pPr>
        <w:ind w:left="1440" w:hanging="360"/>
      </w:pPr>
    </w:lvl>
    <w:lvl w:ilvl="2" w:tplc="80363B9A">
      <w:start w:val="1"/>
      <w:numFmt w:val="bullet"/>
      <w:lvlText w:val="■"/>
      <w:lvlJc w:val="left"/>
      <w:pPr>
        <w:ind w:left="2160" w:hanging="360"/>
      </w:pPr>
    </w:lvl>
    <w:lvl w:ilvl="3" w:tplc="FB488576">
      <w:start w:val="1"/>
      <w:numFmt w:val="bullet"/>
      <w:lvlText w:val="●"/>
      <w:lvlJc w:val="left"/>
      <w:pPr>
        <w:ind w:left="2880" w:hanging="360"/>
      </w:pPr>
    </w:lvl>
    <w:lvl w:ilvl="4" w:tplc="7DB8912E">
      <w:start w:val="1"/>
      <w:numFmt w:val="bullet"/>
      <w:lvlText w:val="○"/>
      <w:lvlJc w:val="left"/>
      <w:pPr>
        <w:ind w:left="3600" w:hanging="360"/>
      </w:pPr>
    </w:lvl>
    <w:lvl w:ilvl="5" w:tplc="0F1E619A">
      <w:start w:val="1"/>
      <w:numFmt w:val="bullet"/>
      <w:lvlText w:val="■"/>
      <w:lvlJc w:val="left"/>
      <w:pPr>
        <w:ind w:left="4320" w:hanging="360"/>
      </w:pPr>
    </w:lvl>
    <w:lvl w:ilvl="6" w:tplc="CCAEE47E">
      <w:start w:val="1"/>
      <w:numFmt w:val="bullet"/>
      <w:lvlText w:val="●"/>
      <w:lvlJc w:val="left"/>
      <w:pPr>
        <w:ind w:left="5040" w:hanging="360"/>
      </w:pPr>
    </w:lvl>
    <w:lvl w:ilvl="7" w:tplc="5B8A2CA0">
      <w:start w:val="1"/>
      <w:numFmt w:val="bullet"/>
      <w:lvlText w:val="●"/>
      <w:lvlJc w:val="left"/>
      <w:pPr>
        <w:ind w:left="5760" w:hanging="360"/>
      </w:pPr>
    </w:lvl>
    <w:lvl w:ilvl="8" w:tplc="72E2AD22">
      <w:start w:val="1"/>
      <w:numFmt w:val="bullet"/>
      <w:lvlText w:val="●"/>
      <w:lvlJc w:val="left"/>
      <w:pPr>
        <w:ind w:left="6480" w:hanging="360"/>
      </w:pPr>
    </w:lvl>
  </w:abstractNum>
  <w:abstractNum w:abstractNumId="1" w15:restartNumberingAfterBreak="0">
    <w:nsid w:val="5D705A05"/>
    <w:multiLevelType w:val="hybridMultilevel"/>
    <w:tmpl w:val="523892D0"/>
    <w:lvl w:ilvl="0" w:tplc="CB7277E8">
      <w:start w:val="1"/>
      <w:numFmt w:val="bullet"/>
      <w:lvlText w:val="•"/>
      <w:lvlJc w:val="left"/>
      <w:pPr>
        <w:ind w:left="720" w:hanging="360"/>
      </w:pPr>
    </w:lvl>
    <w:lvl w:ilvl="1" w:tplc="74A0B83C">
      <w:numFmt w:val="decimal"/>
      <w:lvlText w:val=""/>
      <w:lvlJc w:val="left"/>
    </w:lvl>
    <w:lvl w:ilvl="2" w:tplc="83443464">
      <w:numFmt w:val="decimal"/>
      <w:lvlText w:val=""/>
      <w:lvlJc w:val="left"/>
    </w:lvl>
    <w:lvl w:ilvl="3" w:tplc="5212EB8C">
      <w:numFmt w:val="decimal"/>
      <w:lvlText w:val=""/>
      <w:lvlJc w:val="left"/>
    </w:lvl>
    <w:lvl w:ilvl="4" w:tplc="131A16B6">
      <w:numFmt w:val="decimal"/>
      <w:lvlText w:val=""/>
      <w:lvlJc w:val="left"/>
    </w:lvl>
    <w:lvl w:ilvl="5" w:tplc="C526F632">
      <w:numFmt w:val="decimal"/>
      <w:lvlText w:val=""/>
      <w:lvlJc w:val="left"/>
    </w:lvl>
    <w:lvl w:ilvl="6" w:tplc="A3E4D54C">
      <w:numFmt w:val="decimal"/>
      <w:lvlText w:val=""/>
      <w:lvlJc w:val="left"/>
    </w:lvl>
    <w:lvl w:ilvl="7" w:tplc="71F8CC12">
      <w:numFmt w:val="decimal"/>
      <w:lvlText w:val=""/>
      <w:lvlJc w:val="left"/>
    </w:lvl>
    <w:lvl w:ilvl="8" w:tplc="8D94D9DE">
      <w:numFmt w:val="decimal"/>
      <w:lvlText w:val=""/>
      <w:lvlJc w:val="left"/>
    </w:lvl>
  </w:abstractNum>
  <w:num w:numId="1" w16cid:durableId="638069150">
    <w:abstractNumId w:val="0"/>
    <w:lvlOverride w:ilvl="0">
      <w:startOverride w:val="1"/>
    </w:lvlOverride>
  </w:num>
  <w:num w:numId="2" w16cid:durableId="1048334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332"/>
    <w:rsid w:val="00516332"/>
    <w:rsid w:val="006F2880"/>
    <w:rsid w:val="007D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C55F85"/>
  <w15:docId w15:val="{13FF469B-722B-DA4F-ABED-F12C5138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6243A"/>
      <w:sz w:val="32"/>
      <w:szCs w:val="32"/>
    </w:rPr>
  </w:style>
  <w:style w:type="paragraph" w:styleId="Heading2">
    <w:name w:val="heading 2"/>
    <w:uiPriority w:val="9"/>
    <w:unhideWhenUsed/>
    <w:qFormat/>
    <w:pPr>
      <w:spacing w:before="240" w:after="140"/>
      <w:outlineLvl w:val="1"/>
    </w:pPr>
    <w:rPr>
      <w:b/>
      <w:bCs/>
      <w:color w:val="16243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2653</Words>
  <Characters>15125</Characters>
  <Application>Microsoft Office Word</Application>
  <DocSecurity>0</DocSecurity>
  <Lines>126</Lines>
  <Paragraphs>35</Paragraphs>
  <ScaleCrop>false</ScaleCrop>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Evidence-Based Data for Evidence-Based AI</dc:title>
  <dc:creator>Michael Gasiola et al.</dc:creator>
  <cp:lastModifiedBy>Bouzinier, Michael</cp:lastModifiedBy>
  <cp:revision>2</cp:revision>
  <dcterms:created xsi:type="dcterms:W3CDTF">2026-05-24T22:54:00Z</dcterms:created>
  <dcterms:modified xsi:type="dcterms:W3CDTF">2026-06-16T00:00:00Z</dcterms:modified>
</cp:coreProperties>
</file>