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sz w:val="28"/>
        </w:rPr>
        <w:t>《开源软件与新技术》</w:t>
      </w:r>
    </w:p>
    <w:p>
      <w:pPr>
        <w:pStyle w:val="Title"/>
        <w:spacing w:before="560" w:after="240"/>
        <w:jc w:val="center"/>
      </w:pPr>
      <w:r>
        <w:t>低代码订单与库存编排实验报告</w:t>
      </w:r>
    </w:p>
    <w:p>
      <w:pPr>
        <w:jc w:val="center"/>
      </w:pPr>
      <w:r>
        <w:rPr>
          <w:b/>
          <w:sz w:val="30"/>
        </w:rPr>
        <w:t>实验 6</w:t>
      </w:r>
    </w:p>
    <w:p>
      <w:pPr>
        <w:spacing w:after="13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26"/>
        <w:gridCol w:w="5026"/>
      </w:tblGrid>
      <w:tr>
        <w:tc>
          <w:tcPr>
            <w:tcW w:type="dxa" w:w="5026"/>
            <w:tcMar>
              <w:top w:w="140" w:type="dxa"/>
              <w:start w:w="160" w:type="dxa"/>
              <w:bottom w:w="140" w:type="dxa"/>
              <w:end w:w="160" w:type="dxa"/>
            </w:tcMar>
            <w:vAlign w:val="center"/>
          </w:tcPr>
          <w:p>
            <w:pPr>
              <w:jc w:val="center"/>
            </w:pPr>
            <w:r>
              <w:t>姓名</w:t>
            </w:r>
          </w:p>
        </w:tc>
        <w:tc>
          <w:tcPr>
            <w:tcW w:type="dxa" w:w="5026"/>
            <w:tcMar>
              <w:top w:w="140" w:type="dxa"/>
              <w:start w:w="160" w:type="dxa"/>
              <w:bottom w:w="140" w:type="dxa"/>
              <w:end w:w="160" w:type="dxa"/>
            </w:tcMar>
            <w:vAlign w:val="center"/>
          </w:tcPr>
          <w:p>
            <w:r>
              <w:t>侯宇晴</w:t>
            </w:r>
          </w:p>
        </w:tc>
      </w:tr>
      <w:tr>
        <w:tc>
          <w:tcPr>
            <w:tcW w:type="dxa" w:w="5026"/>
            <w:tcMar>
              <w:top w:w="140" w:type="dxa"/>
              <w:start w:w="160" w:type="dxa"/>
              <w:bottom w:w="140" w:type="dxa"/>
              <w:end w:w="160" w:type="dxa"/>
            </w:tcMar>
            <w:vAlign w:val="center"/>
          </w:tcPr>
          <w:p>
            <w:pPr>
              <w:jc w:val="center"/>
            </w:pPr>
            <w:r>
              <w:t>学号</w:t>
            </w:r>
          </w:p>
        </w:tc>
        <w:tc>
          <w:tcPr>
            <w:tcW w:type="dxa" w:w="5026"/>
            <w:tcMar>
              <w:top w:w="140" w:type="dxa"/>
              <w:start w:w="160" w:type="dxa"/>
              <w:bottom w:w="140" w:type="dxa"/>
              <w:end w:w="160" w:type="dxa"/>
            </w:tcMar>
            <w:vAlign w:val="center"/>
          </w:tcPr>
          <w:p>
            <w:r>
              <w:t>23120506154</w:t>
            </w:r>
          </w:p>
        </w:tc>
      </w:tr>
      <w:tr>
        <w:tc>
          <w:tcPr>
            <w:tcW w:type="dxa" w:w="5026"/>
            <w:tcMar>
              <w:top w:w="140" w:type="dxa"/>
              <w:start w:w="160" w:type="dxa"/>
              <w:bottom w:w="140" w:type="dxa"/>
              <w:end w:w="160" w:type="dxa"/>
            </w:tcMar>
            <w:vAlign w:val="center"/>
          </w:tcPr>
          <w:p>
            <w:pPr>
              <w:jc w:val="center"/>
            </w:pPr>
            <w:r>
              <w:t>班级</w:t>
            </w:r>
          </w:p>
        </w:tc>
        <w:tc>
          <w:tcPr>
            <w:tcW w:type="dxa" w:w="5026"/>
            <w:tcMar>
              <w:top w:w="140" w:type="dxa"/>
              <w:start w:w="160" w:type="dxa"/>
              <w:bottom w:w="140" w:type="dxa"/>
              <w:end w:w="160" w:type="dxa"/>
            </w:tcMar>
            <w:vAlign w:val="center"/>
          </w:tcPr>
          <w:p>
            <w:r>
              <w:t>软件2304</w:t>
            </w:r>
          </w:p>
        </w:tc>
      </w:tr>
      <w:tr>
        <w:tc>
          <w:tcPr>
            <w:tcW w:type="dxa" w:w="5026"/>
            <w:tcMar>
              <w:top w:w="140" w:type="dxa"/>
              <w:start w:w="160" w:type="dxa"/>
              <w:bottom w:w="140" w:type="dxa"/>
              <w:end w:w="160" w:type="dxa"/>
            </w:tcMar>
            <w:vAlign w:val="center"/>
          </w:tcPr>
          <w:p>
            <w:pPr>
              <w:jc w:val="center"/>
            </w:pPr>
            <w:r>
              <w:t>完成日期</w:t>
            </w:r>
          </w:p>
        </w:tc>
        <w:tc>
          <w:tcPr>
            <w:tcW w:type="dxa" w:w="5026"/>
            <w:tcMar>
              <w:top w:w="140" w:type="dxa"/>
              <w:start w:w="160" w:type="dxa"/>
              <w:bottom w:w="140" w:type="dxa"/>
              <w:end w:w="160" w:type="dxa"/>
            </w:tcMar>
            <w:vAlign w:val="center"/>
          </w:tcPr>
          <w:p>
            <w:r>
              <w:t>2026 年 10 月 1 日</w:t>
            </w:r>
          </w:p>
        </w:tc>
      </w:tr>
    </w:tbl>
    <w:p>
      <w:pPr>
        <w:spacing w:after="600"/>
      </w:pPr>
    </w:p>
    <w:p>
      <w:pPr>
        <w:jc w:val="center"/>
      </w:pPr>
      <w:r>
        <w:rPr>
          <w:color w:val="4B586E"/>
          <w:sz w:val="19"/>
        </w:rPr>
        <w:t>完成情况  Node-RED 编排、独立库存服务、事务幂等、操作页面和自动化测试均已完成</w:t>
      </w:r>
    </w:p>
    <w:p>
      <w:r>
        <w:br w:type="page"/>
      </w:r>
    </w:p>
    <w:p>
      <w:pPr>
        <w:pStyle w:val="Heading1"/>
      </w:pPr>
      <w:r>
        <w:t>实验结论</w:t>
      </w:r>
    </w:p>
    <w:p>
      <w:r>
        <w:t>本实验完成了一个可运行的订单编排系统。Node-RED 5.0.7 负责 HTTP 接入、校验、调用库存服务、结果分类和页面展示，独立 Node.js 服务负责 SQLite 数据所有权和库存事务。系统预置 10 件商品，使用 request_id 保证幂等，重复请求不重复扣减。26 项自动化测试全部通过，并已通过真实 HTTP 请求完成 BOOK 数量 2 的订单演示。</w:t>
      </w:r>
    </w:p>
    <w:p>
      <w:pPr>
        <w:pStyle w:val="Heading1"/>
      </w:pPr>
      <w:r>
        <w:t>一 实验目标与范围</w:t>
      </w:r>
    </w:p>
    <w:p>
      <w:r>
        <w:t>目标是用低代码流程表达业务编排，同时把持久化和并发一致性留在独立服务中。实验关注可运行、可测试、可复现，而不是仅提交流程截图。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51"/>
        <w:gridCol w:w="3351"/>
        <w:gridCol w:w="3351"/>
      </w:tblGrid>
      <w:tr>
        <w:trPr>
          <w:tblHeader w:val="true"/>
        </w:trPr>
        <w:tc>
          <w:tcPr>
            <w:tcW w:type="dxa" w:w="1944"/>
            <w:shd w:fill="243B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目标</w:t>
            </w:r>
          </w:p>
        </w:tc>
        <w:tc>
          <w:tcPr>
            <w:tcW w:type="dxa" w:w="1440"/>
            <w:shd w:fill="243B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结果</w:t>
            </w:r>
          </w:p>
        </w:tc>
        <w:tc>
          <w:tcPr>
            <w:tcW w:type="dxa" w:w="6048"/>
            <w:shd w:fill="243B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证据</w:t>
            </w:r>
          </w:p>
        </w:tc>
      </w:tr>
      <w:tr>
        <w:tc>
          <w:tcPr>
            <w:tcW w:type="dxa" w:w="19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流程编排</w:t>
            </w:r>
          </w:p>
        </w:tc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6"/>
              </w:rPr>
              <w:t>已完成</w:t>
            </w:r>
          </w:p>
        </w:tc>
        <w:tc>
          <w:tcPr>
            <w:tcW w:type="dxa" w:w="604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Node-RED HTTP 节点和函数节点</w:t>
            </w:r>
          </w:p>
        </w:tc>
      </w:tr>
      <w:tr>
        <w:tc>
          <w:tcPr>
            <w:tcW w:type="dxa" w:w="19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sz w:val="16"/>
              </w:rPr>
              <w:t>库存事务</w:t>
            </w:r>
          </w:p>
        </w:tc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6FA"/>
          </w:tcPr>
          <w:p>
            <w:r>
              <w:rPr>
                <w:sz w:val="16"/>
              </w:rPr>
              <w:t>已完成</w:t>
            </w:r>
          </w:p>
        </w:tc>
        <w:tc>
          <w:tcPr>
            <w:tcW w:type="dxa" w:w="604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sz w:val="16"/>
              </w:rPr>
              <w:t>SQLite 事务、非负库存约束</w:t>
            </w:r>
          </w:p>
        </w:tc>
      </w:tr>
      <w:tr>
        <w:tc>
          <w:tcPr>
            <w:tcW w:type="dxa" w:w="19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幂等处理</w:t>
            </w:r>
          </w:p>
        </w:tc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6"/>
              </w:rPr>
              <w:t>已完成</w:t>
            </w:r>
          </w:p>
        </w:tc>
        <w:tc>
          <w:tcPr>
            <w:tcW w:type="dxa" w:w="604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request_id 与请求摘要</w:t>
            </w:r>
          </w:p>
        </w:tc>
      </w:tr>
      <w:tr>
        <w:tc>
          <w:tcPr>
            <w:tcW w:type="dxa" w:w="19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sz w:val="16"/>
              </w:rPr>
              <w:t>规则演进</w:t>
            </w:r>
          </w:p>
        </w:tc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6FA"/>
          </w:tcPr>
          <w:p>
            <w:r>
              <w:rPr>
                <w:sz w:val="16"/>
              </w:rPr>
              <w:t>已完成</w:t>
            </w:r>
          </w:p>
        </w:tc>
        <w:tc>
          <w:tcPr>
            <w:tcW w:type="dxa" w:w="604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sz w:val="16"/>
              </w:rPr>
              <w:t>规则版本和单笔数量上限</w:t>
            </w:r>
          </w:p>
        </w:tc>
      </w:tr>
      <w:tr>
        <w:tc>
          <w:tcPr>
            <w:tcW w:type="dxa" w:w="19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可视化操作</w:t>
            </w:r>
          </w:p>
        </w:tc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6"/>
              </w:rPr>
              <w:t>已完成</w:t>
            </w:r>
          </w:p>
        </w:tc>
        <w:tc>
          <w:tcPr>
            <w:tcW w:type="dxa" w:w="604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订单页面、列表和详情</w:t>
            </w:r>
          </w:p>
        </w:tc>
      </w:tr>
      <w:tr>
        <w:tc>
          <w:tcPr>
            <w:tcW w:type="dxa" w:w="19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sz w:val="16"/>
              </w:rPr>
              <w:t>工程质量</w:t>
            </w:r>
          </w:p>
        </w:tc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6FA"/>
          </w:tcPr>
          <w:p>
            <w:r>
              <w:rPr>
                <w:sz w:val="16"/>
              </w:rPr>
              <w:t>已完成</w:t>
            </w:r>
          </w:p>
        </w:tc>
        <w:tc>
          <w:tcPr>
            <w:tcW w:type="dxa" w:w="604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sz w:val="16"/>
              </w:rPr>
              <w:t>26 项测试、分支和结构化提交</w:t>
            </w:r>
          </w:p>
        </w:tc>
      </w:tr>
    </w:tbl>
    <w:p>
      <w:pPr>
        <w:spacing w:after="20"/>
      </w:pPr>
    </w:p>
    <w:p>
      <w:pPr>
        <w:pStyle w:val="Heading1"/>
      </w:pPr>
      <w:r>
        <w:t>二 架构与数据所有权</w:t>
      </w:r>
    </w:p>
    <w:p>
      <w:r>
        <w:t>系统由浏览器、Node-RED 和库存服务三层组成。浏览器只访问 Node-RED 的 1880 端口；Node-RED 把通过校验的订单转发到 127.0.0.1:8001；库存服务独占数据库文件。该设计避免低代码流程直接拼接 SQL，也让事务和幂等能够单元测试。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51"/>
        <w:gridCol w:w="3351"/>
        <w:gridCol w:w="3351"/>
      </w:tblGrid>
      <w:tr>
        <w:trPr>
          <w:tblHeader w:val="true"/>
        </w:trPr>
        <w:tc>
          <w:tcPr>
            <w:tcW w:type="dxa" w:w="1800"/>
            <w:shd w:fill="243B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组件</w:t>
            </w:r>
          </w:p>
        </w:tc>
        <w:tc>
          <w:tcPr>
            <w:tcW w:type="dxa" w:w="4320"/>
            <w:shd w:fill="243B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职责</w:t>
            </w:r>
          </w:p>
        </w:tc>
        <w:tc>
          <w:tcPr>
            <w:tcW w:type="dxa" w:w="3312"/>
            <w:shd w:fill="243B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失败边界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操作页面</w:t>
            </w:r>
          </w:p>
        </w:tc>
        <w:tc>
          <w:tcPr>
            <w:tcW w:type="dxa" w:w="432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6"/>
              </w:rPr>
              <w:t>录入订单、查看状态</w:t>
            </w:r>
          </w:p>
        </w:tc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输入错误在界面提示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sz w:val="16"/>
              </w:rPr>
              <w:t>Node-RED</w:t>
            </w:r>
          </w:p>
        </w:tc>
        <w:tc>
          <w:tcPr>
            <w:tcW w:type="dxa" w:w="432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6FA"/>
          </w:tcPr>
          <w:p>
            <w:r>
              <w:rPr>
                <w:sz w:val="16"/>
              </w:rPr>
              <w:t>协议转换、校验、编排</w:t>
            </w:r>
          </w:p>
        </w:tc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sz w:val="16"/>
              </w:rPr>
              <w:t>依赖失败统一为 502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库存服务</w:t>
            </w:r>
          </w:p>
        </w:tc>
        <w:tc>
          <w:tcPr>
            <w:tcW w:type="dxa" w:w="432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6"/>
              </w:rPr>
              <w:t>商品、预留、幂等、规则</w:t>
            </w:r>
          </w:p>
        </w:tc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事务回滚且库存不为负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sz w:val="16"/>
              </w:rPr>
              <w:t>SQLite</w:t>
            </w:r>
          </w:p>
        </w:tc>
        <w:tc>
          <w:tcPr>
            <w:tcW w:type="dxa" w:w="432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6FA"/>
          </w:tcPr>
          <w:p>
            <w:r>
              <w:rPr>
                <w:sz w:val="16"/>
              </w:rPr>
              <w:t>商品和预留持久化</w:t>
            </w:r>
          </w:p>
        </w:tc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sz w:val="16"/>
              </w:rPr>
              <w:t>由单一服务拥有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三 核心实现</w:t>
      </w:r>
    </w:p>
    <w:p>
      <w:pPr>
        <w:pStyle w:val="Heading2"/>
      </w:pPr>
      <w:r>
        <w:t>库存事务和幂等</w:t>
      </w:r>
    </w:p>
    <w:p>
      <w:r>
        <w:t>库存服务先校验 request_id、SKU 和 quantity，再计算请求摘要。相同 request_id 与相同请求体直接返回首次结果；相同标识但请求体不同返回冲突。正常预留在显式事务中检查库存并扣减，任何异常均回滚，因此不会出现只写订单但未扣库存的半完成状态。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26"/>
        <w:gridCol w:w="5026"/>
      </w:tblGrid>
      <w:tr>
        <w:trPr>
          <w:tblHeader w:val="true"/>
        </w:trPr>
        <w:tc>
          <w:tcPr>
            <w:tcW w:type="dxa" w:w="2880"/>
            <w:shd w:fill="243B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6552"/>
            <w:shd w:fill="243B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用途</w:t>
            </w:r>
          </w:p>
        </w:tc>
      </w:tr>
      <w:tr>
        <w:tc>
          <w:tcPr>
            <w:tcW w:type="dxa" w:w="28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request_id</w:t>
            </w:r>
          </w:p>
        </w:tc>
        <w:tc>
          <w:tcPr>
            <w:tcW w:type="dxa" w:w="65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外部幂等键，长度 6–40</w:t>
            </w:r>
          </w:p>
        </w:tc>
      </w:tr>
      <w:tr>
        <w:tc>
          <w:tcPr>
            <w:tcW w:type="dxa" w:w="28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sz w:val="16"/>
              </w:rPr>
              <w:t>request_hash</w:t>
            </w:r>
          </w:p>
        </w:tc>
        <w:tc>
          <w:tcPr>
            <w:tcW w:type="dxa" w:w="65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sz w:val="16"/>
              </w:rPr>
              <w:t>识别同键不同请求体</w:t>
            </w:r>
          </w:p>
        </w:tc>
      </w:tr>
      <w:tr>
        <w:tc>
          <w:tcPr>
            <w:tcW w:type="dxa" w:w="28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sku / quantity</w:t>
            </w:r>
          </w:p>
        </w:tc>
        <w:tc>
          <w:tcPr>
            <w:tcW w:type="dxa" w:w="65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库存定位和扣减数量</w:t>
            </w:r>
          </w:p>
        </w:tc>
      </w:tr>
      <w:tr>
        <w:tc>
          <w:tcPr>
            <w:tcW w:type="dxa" w:w="28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sz w:val="16"/>
              </w:rPr>
              <w:t>status / reason</w:t>
            </w:r>
          </w:p>
        </w:tc>
        <w:tc>
          <w:tcPr>
            <w:tcW w:type="dxa" w:w="65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sz w:val="16"/>
              </w:rPr>
              <w:t>completed 或 rejected 及原因</w:t>
            </w:r>
          </w:p>
        </w:tc>
      </w:tr>
      <w:tr>
        <w:tc>
          <w:tcPr>
            <w:tcW w:type="dxa" w:w="28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rule_version</w:t>
            </w:r>
          </w:p>
        </w:tc>
        <w:tc>
          <w:tcPr>
            <w:tcW w:type="dxa" w:w="65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记录做出决定时使用的规则</w:t>
            </w:r>
          </w:p>
        </w:tc>
      </w:tr>
    </w:tbl>
    <w:p>
      <w:pPr>
        <w:spacing w:after="20"/>
      </w:pPr>
    </w:p>
    <w:p>
      <w:pPr>
        <w:pStyle w:val="Heading2"/>
      </w:pPr>
      <w:r>
        <w:t>流程与错误映射</w:t>
      </w:r>
    </w:p>
    <w:p>
      <w:r>
        <w:t>POST /api/orders 依次经过 JSON 解析、白名单字段校验、库存服务调用和结果分类。参数错误返回 400，未知商品返回 404，请求冲突返回 409，依赖异常转换为不暴露内部细节的 502。GET 接口提供商品、订单列表和单条详情。</w:t>
      </w:r>
    </w:p>
    <w:p>
      <w:pPr>
        <w:ind w:left="360"/>
      </w:pPr>
      <w:r>
        <w:rPr>
          <w:rFonts w:ascii="Consolas" w:hAnsi="Consolas"/>
          <w:color w:val="28374B"/>
          <w:sz w:val="17"/>
        </w:rPr>
        <w:t>POST /api/orders  → validate → POST inventory/reserve → classify → HTTP response</w:t>
      </w:r>
    </w:p>
    <w:p>
      <w:pPr>
        <w:pStyle w:val="Heading2"/>
      </w:pPr>
      <w:r>
        <w:t>页面安全</w:t>
      </w:r>
    </w:p>
    <w:p>
      <w:r>
        <w:t>订单页设置 no-store、X-Frame-Options: DENY、X-Content-Type-Options: nosniff 和限制脚本、样式、连接来源的 CSP。安全响应头有独立回归测试。</w:t>
      </w:r>
    </w:p>
    <w:p>
      <w:pPr>
        <w:pStyle w:val="Heading1"/>
      </w:pPr>
      <w:r>
        <w:t>四 运行结果</w:t>
      </w:r>
    </w:p>
    <w:p>
      <w:r>
        <w:t>实际启动库存服务和 Node-RED 后，健康检查均返回 ok。演示请求 request_id=demo-0001、sku=BOOK、quantity=2 返回 completed；再次发送同一请求得到相同记录且没有重复扣减。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40092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der-work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40092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图表标题"/>
        <w:jc w:val="center"/>
      </w:pPr>
      <w:r>
        <w:t>图 1  Node-RED 订单编排页面与已完成订单</w:t>
      </w:r>
    </w:p>
    <w:p>
      <w:r>
        <w:br w:type="page"/>
      </w:r>
    </w:p>
    <w:p>
      <w:pPr>
        <w:pStyle w:val="Heading1"/>
      </w:pPr>
      <w:r>
        <w:t>五 测试与复现</w:t>
      </w:r>
    </w:p>
    <w:p>
      <w:r>
        <w:t>执行 npm test 得到 26 passed。测试直接使用临时数据库验证库存逻辑，并解析 flows.json 检查入口、连线、响应节点、依赖调用和安全响应头。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51"/>
        <w:gridCol w:w="3351"/>
        <w:gridCol w:w="3351"/>
      </w:tblGrid>
      <w:tr>
        <w:trPr>
          <w:tblHeader w:val="true"/>
        </w:trPr>
        <w:tc>
          <w:tcPr>
            <w:tcW w:type="dxa" w:w="2592"/>
            <w:shd w:fill="243B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测试组</w:t>
            </w:r>
          </w:p>
        </w:tc>
        <w:tc>
          <w:tcPr>
            <w:tcW w:type="dxa" w:w="1152"/>
            <w:shd w:fill="243B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数量</w:t>
            </w:r>
          </w:p>
        </w:tc>
        <w:tc>
          <w:tcPr>
            <w:tcW w:type="dxa" w:w="6552"/>
            <w:shd w:fill="243B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覆盖内容</w:t>
            </w:r>
          </w:p>
        </w:tc>
      </w:tr>
      <w:tr>
        <w:tc>
          <w:tcPr>
            <w:tcW w:type="dxa" w:w="25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流程结构</w:t>
            </w:r>
          </w:p>
        </w:tc>
        <w:tc>
          <w:tcPr>
            <w:tcW w:type="dxa" w:w="11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65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入口、页面、调用链、错误路径和响应头</w:t>
            </w:r>
          </w:p>
        </w:tc>
      </w:tr>
      <w:tr>
        <w:tc>
          <w:tcPr>
            <w:tcW w:type="dxa" w:w="25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sz w:val="16"/>
              </w:rPr>
              <w:t>库存服务</w:t>
            </w:r>
          </w:p>
        </w:tc>
        <w:tc>
          <w:tcPr>
            <w:tcW w:type="dxa" w:w="11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6FA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65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sz w:val="16"/>
              </w:rPr>
              <w:t>种子数据、幂等、冲突、边界、过滤和详情</w:t>
            </w:r>
          </w:p>
        </w:tc>
      </w:tr>
    </w:tbl>
    <w:p>
      <w:pPr>
        <w:spacing w:after="20"/>
      </w:pPr>
    </w:p>
    <w:p>
      <w:pPr>
        <w:ind w:left="360"/>
      </w:pPr>
      <w:r>
        <w:rPr>
          <w:rFonts w:ascii="Consolas" w:hAnsi="Consolas"/>
          <w:color w:val="28374B"/>
          <w:sz w:val="17"/>
        </w:rPr>
        <w:t>npm install</w:t>
        <w:br/>
        <w:t>npm test</w:t>
        <w:br/>
        <w:t>powershell -ExecutionPolicy Bypass -File scripts/start.ps1</w:t>
      </w:r>
    </w:p>
    <w:p>
      <w:pPr>
        <w:pStyle w:val="Heading2"/>
      </w:pPr>
      <w:r>
        <w:t>边界场景</w:t>
      </w:r>
    </w:p>
    <w:p>
      <w:pPr>
        <w:pStyle w:val="ListBullet"/>
      </w:pPr>
      <w:r>
        <w:t>库存刚好等于购买数量时成功，扣减后为零；库存不足时拒绝且库存不变。</w:t>
      </w:r>
    </w:p>
    <w:p>
      <w:pPr>
        <w:pStyle w:val="ListBullet"/>
      </w:pPr>
      <w:r>
        <w:t>相同幂等键但数量或 SKU 改变时返回冲突，防止覆盖历史含义。</w:t>
      </w:r>
    </w:p>
    <w:p>
      <w:pPr>
        <w:pStyle w:val="ListBullet"/>
      </w:pPr>
      <w:r>
        <w:t>库存服务不可达或返回 5xx 时，流程返回经过脱敏的依赖错误。</w:t>
      </w:r>
    </w:p>
    <w:p>
      <w:pPr>
        <w:pStyle w:val="ListBullet"/>
      </w:pPr>
      <w:r>
        <w:t>数量不是正整数、字段超出白名单或标识格式错误时，在进入依赖前拒绝。</w:t>
      </w:r>
    </w:p>
    <w:p>
      <w:pPr>
        <w:pStyle w:val="Heading1"/>
      </w:pPr>
      <w:r>
        <w:t>六 工程过程</w:t>
      </w:r>
    </w:p>
    <w:p>
      <w:r>
        <w:t>开发从 main 基线创建 feature/order-workflow 分支，按库存服务、流程与页面、测试、依赖锁定、文档和安全修复拆分提交。项目使用 MIT License，NOTICE 记录 Node-RED 及依赖。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26"/>
        <w:gridCol w:w="5026"/>
      </w:tblGrid>
      <w:tr>
        <w:trPr>
          <w:tblHeader w:val="true"/>
        </w:trPr>
        <w:tc>
          <w:tcPr>
            <w:tcW w:type="dxa" w:w="2088"/>
            <w:shd w:fill="243B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提交</w:t>
            </w:r>
          </w:p>
        </w:tc>
        <w:tc>
          <w:tcPr>
            <w:tcW w:type="dxa" w:w="7416"/>
            <w:shd w:fill="243B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20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f8832ee</w:t>
            </w:r>
          </w:p>
        </w:tc>
        <w:tc>
          <w:tcPr>
            <w:tcW w:type="dxa" w:w="741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实验初始化</w:t>
            </w:r>
          </w:p>
        </w:tc>
      </w:tr>
      <w:tr>
        <w:tc>
          <w:tcPr>
            <w:tcW w:type="dxa" w:w="20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sz w:val="16"/>
              </w:rPr>
              <w:t>9d317bb</w:t>
            </w:r>
          </w:p>
        </w:tc>
        <w:tc>
          <w:tcPr>
            <w:tcW w:type="dxa" w:w="741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sz w:val="16"/>
              </w:rPr>
              <w:t>事务库存服务</w:t>
            </w:r>
          </w:p>
        </w:tc>
      </w:tr>
      <w:tr>
        <w:tc>
          <w:tcPr>
            <w:tcW w:type="dxa" w:w="20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13d2681</w:t>
            </w:r>
          </w:p>
        </w:tc>
        <w:tc>
          <w:tcPr>
            <w:tcW w:type="dxa" w:w="741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Node-RED 流程和页面</w:t>
            </w:r>
          </w:p>
        </w:tc>
      </w:tr>
      <w:tr>
        <w:tc>
          <w:tcPr>
            <w:tcW w:type="dxa" w:w="20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sz w:val="16"/>
              </w:rPr>
              <w:t>7e1fdb8</w:t>
            </w:r>
          </w:p>
        </w:tc>
        <w:tc>
          <w:tcPr>
            <w:tcW w:type="dxa" w:w="741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sz w:val="16"/>
              </w:rPr>
              <w:t>自动化测试</w:t>
            </w:r>
          </w:p>
        </w:tc>
      </w:tr>
      <w:tr>
        <w:tc>
          <w:tcPr>
            <w:tcW w:type="dxa" w:w="20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0246b9e</w:t>
            </w:r>
          </w:p>
        </w:tc>
        <w:tc>
          <w:tcPr>
            <w:tcW w:type="dxa" w:w="741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依赖锁定</w:t>
            </w:r>
          </w:p>
        </w:tc>
      </w:tr>
      <w:tr>
        <w:tc>
          <w:tcPr>
            <w:tcW w:type="dxa" w:w="20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sz w:val="16"/>
              </w:rPr>
              <w:t>3511f49</w:t>
            </w:r>
          </w:p>
        </w:tc>
        <w:tc>
          <w:tcPr>
            <w:tcW w:type="dxa" w:w="741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sz w:val="16"/>
              </w:rPr>
              <w:t>复现和自审文档</w:t>
            </w:r>
          </w:p>
        </w:tc>
      </w:tr>
      <w:tr>
        <w:tc>
          <w:tcPr>
            <w:tcW w:type="dxa" w:w="20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7ce2ca8</w:t>
            </w:r>
          </w:p>
        </w:tc>
        <w:tc>
          <w:tcPr>
            <w:tcW w:type="dxa" w:w="741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页面安全响应头</w:t>
            </w:r>
          </w:p>
        </w:tc>
      </w:tr>
    </w:tbl>
    <w:p>
      <w:pPr>
        <w:spacing w:after="20"/>
      </w:pPr>
    </w:p>
    <w:p>
      <w:pPr>
        <w:pStyle w:val="Heading1"/>
      </w:pPr>
      <w:r>
        <w:t>七 思考题</w:t>
      </w:r>
    </w:p>
    <w:p>
      <w:pPr>
        <w:pStyle w:val="Heading2"/>
      </w:pPr>
      <w:r>
        <w:t>为什么不让流程直接操作数据库</w:t>
      </w:r>
    </w:p>
    <w:p>
      <w:r>
        <w:t>库存扣减需要把读取、判断、写入和幂等记录放在同一事务内。独立服务能集中约束数据所有权，并用单元测试覆盖失败回滚；流程只关心业务顺序和协议映射，职责更清晰。</w:t>
      </w:r>
    </w:p>
    <w:p>
      <w:pPr>
        <w:pStyle w:val="Heading2"/>
      </w:pPr>
      <w:r>
        <w:t>幂等键应由谁提供</w:t>
      </w:r>
    </w:p>
    <w:p>
      <w:r>
        <w:t>最了解一次业务操作边界的调用方应生成幂等键，服务端保存并验证。服务端不能只看到重复键就返回成功，还必须检查请求摘要，否则同键不同内容会被错误合并。</w:t>
      </w:r>
    </w:p>
    <w:p>
      <w:pPr>
        <w:pStyle w:val="Heading2"/>
      </w:pPr>
      <w:r>
        <w:t>低代码是否不需要测试</w:t>
      </w:r>
    </w:p>
    <w:p>
      <w:r>
        <w:t>流程图仍然是程序。节点配置、连线和函数代码都可能出错，因此既要做结构测试，也要通过实际 HTTP 请求验证进程间交互。</w:t>
      </w:r>
    </w:p>
    <w:p>
      <w:pPr>
        <w:pStyle w:val="Heading1"/>
      </w:pPr>
      <w:r>
        <w:t>八 限制与总结</w:t>
      </w:r>
    </w:p>
    <w:p>
      <w:r>
        <w:t>当前实现面向本地单实例实验，SQLite 和进程内规则配置不适合多实例高并发部署；生产环境还需要认证、集中日志、数据库迁移和分布式幂等。实验范围内，编排、事务、错误处理、界面和 26 项测试均已完成。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094" w:bottom="936" w:left="10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D87"/>
        <w:sz w:val="16"/>
      </w:rPr>
      <w:t>侯宇晴  23120506154  软件2304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87D87"/>
        <w:sz w:val="16"/>
      </w:rPr>
      <w:t>开源软件与新技术  实验 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93" w:lineRule="auto" w:after="100"/>
    </w:pPr>
    <w:rPr>
      <w:rFonts w:ascii="等线" w:hAnsi="等线" w:eastAsia="等线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等线" w:hAnsi="等线" w:eastAsia="等线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等线" w:hAnsi="等线" w:eastAsia="等线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等线" w:hAnsi="等线" w:eastAsia="等线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图表标题">
    <w:name w:val="图表标题"/>
    <w:rPr>
      <w:rFonts w:ascii="等线" w:hAnsi="等线" w:eastAsia="等线"/>
      <w:color w:val="505050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低代码订单与库存编排实验报告</dc:title>
  <dc:subject/>
  <dc:creator>侯宇晴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