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Benchmark méthodologique — Modèles LLM de génération de quiz</w:t>
      </w:r>
    </w:p>
    <w:p>
      <w:r>
        <w:rPr>
          <w:i/>
          <w:iCs/>
          <w:sz w:val="20"/>
          <w:szCs w:val="20"/>
        </w:rPr>
        <w:t xml:space="preserve">Contexte : retour beta-testeur Master 2 — 45 s d'attente pour générer 10 questions, sensation de site cassé, risque d'abandon.</w:t>
      </w:r>
    </w:p>
    <w:p>
      <w:pPr>
        <w:pStyle w:val="Heading2"/>
      </w:pPr>
      <w:r>
        <w:t xml:space="preserve">1. Méthodologie</w:t>
      </w:r>
    </w:p>
    <w:p>
      <w:r>
        <w:rPr>
          <w:i/>
          <w:iCs/>
          <w:sz w:val="20"/>
          <w:szCs w:val="20"/>
        </w:rPr>
        <w:t xml:space="preserve">Compte tenu du délai (réponse exigée ce soir), nous nous appuyons sur un benchmark public existant plutôt que sur un test interne. Le protocole retenu reproduit nos conditions réelles : CPU uniquement (notre projet tourne sur Ollama en local, sans GPU dédié), via Ollama, sur une machine modeste comparable à un poste de développement standard.</w:t>
      </w:r>
    </w:p>
    <w:p>
      <w:pPr>
        <w:pStyle w:val="Heading2"/>
      </w:pPr>
      <w:r>
        <w:t xml:space="preserve">2. Constat sur notre configuration actuelle</w:t>
      </w:r>
    </w:p>
    <w:p>
      <w:r>
        <w:t xml:space="preserve">Notre projet utilise Llama 3.1 8B en local via Ollama, sans GPU configuré (CPU uniquement). Un guide de référence sur le déploiement CPU est explicite : pour une machine à 2-3 vCPU, il ne faut pas dépasser 4 milliards de paramètres ; au-delà, le débit tombe à un niveau inutilisable et le temps avant la première réponse donne l'impression que l'application est cassée — exactement le symptôme remonté par le beta-testeur M2.</w:t>
      </w:r>
    </w:p>
    <w:p>
      <w:pPr>
        <w:pStyle w:val="Heading2"/>
      </w:pPr>
      <w:r>
        <w:t xml:space="preserve">3. Comparatif des modèles candidats — données mesurées (même protocole, même machine)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160"/>
        <w:gridCol w:w="1700"/>
        <w:gridCol w:w="1500"/>
        <w:gridCol w:w="1600"/>
      </w:tblGrid>
      <w:tr>
        <w:tc>
          <w:tcPr>
            <w:tcW w:type="dxa" w:w="2400"/>
            <w:tcBorders>
              <w:top w:val="single" w:color="CCCCCC" w:sz="1"/>
              <w:left w:val="single" w:color="CCCCCC" w:sz="1"/>
              <w:bottom w:val="single" w:color="CCCCCC" w:sz="1"/>
              <w:right w:val="single" w:color="CCCCCC" w:sz="1"/>
            </w:tcBorders>
            <w:shd w:fill="1E1B4B" w:val="clear"/>
            <w:tcMar>
              <w:top w:type="dxa" w:w="80"/>
              <w:left w:type="dxa" w:w="120"/>
              <w:bottom w:type="dxa" w:w="80"/>
              <w:right w:type="dxa" w:w="120"/>
            </w:tcMar>
          </w:tcPr>
          <w:p>
            <w:r>
              <w:rPr>
                <w:b/>
                <w:bCs/>
                <w:color w:val="FFFFFF"/>
                <w:sz w:val="18"/>
                <w:szCs w:val="18"/>
              </w:rPr>
              <w:t xml:space="preserve">Modèle</w:t>
            </w:r>
          </w:p>
        </w:tc>
        <w:tc>
          <w:tcPr>
            <w:tcW w:type="dxa" w:w="2160"/>
            <w:tcBorders>
              <w:top w:val="single" w:color="CCCCCC" w:sz="1"/>
              <w:left w:val="single" w:color="CCCCCC" w:sz="1"/>
              <w:bottom w:val="single" w:color="CCCCCC" w:sz="1"/>
              <w:right w:val="single" w:color="CCCCCC" w:sz="1"/>
            </w:tcBorders>
            <w:shd w:fill="1E1B4B" w:val="clear"/>
            <w:tcMar>
              <w:top w:type="dxa" w:w="80"/>
              <w:left w:type="dxa" w:w="120"/>
              <w:bottom w:type="dxa" w:w="80"/>
              <w:right w:type="dxa" w:w="120"/>
            </w:tcMar>
          </w:tcPr>
          <w:p>
            <w:r>
              <w:rPr>
                <w:b/>
                <w:bCs/>
                <w:color w:val="FFFFFF"/>
                <w:sz w:val="18"/>
                <w:szCs w:val="18"/>
              </w:rPr>
              <w:t xml:space="preserve">Taille</w:t>
            </w:r>
          </w:p>
        </w:tc>
        <w:tc>
          <w:tcPr>
            <w:tcW w:type="dxa" w:w="1700"/>
            <w:tcBorders>
              <w:top w:val="single" w:color="CCCCCC" w:sz="1"/>
              <w:left w:val="single" w:color="CCCCCC" w:sz="1"/>
              <w:bottom w:val="single" w:color="CCCCCC" w:sz="1"/>
              <w:right w:val="single" w:color="CCCCCC" w:sz="1"/>
            </w:tcBorders>
            <w:shd w:fill="1E1B4B" w:val="clear"/>
            <w:tcMar>
              <w:top w:type="dxa" w:w="80"/>
              <w:left w:type="dxa" w:w="120"/>
              <w:bottom w:type="dxa" w:w="80"/>
              <w:right w:type="dxa" w:w="120"/>
            </w:tcMar>
          </w:tcPr>
          <w:p>
            <w:r>
              <w:rPr>
                <w:b/>
                <w:bCs/>
                <w:color w:val="FFFFFF"/>
                <w:sz w:val="18"/>
                <w:szCs w:val="18"/>
              </w:rPr>
              <w:t xml:space="preserve">Temps de réponse (CPU)</w:t>
            </w:r>
          </w:p>
        </w:tc>
        <w:tc>
          <w:tcPr>
            <w:tcW w:type="dxa" w:w="1500"/>
            <w:tcBorders>
              <w:top w:val="single" w:color="CCCCCC" w:sz="1"/>
              <w:left w:val="single" w:color="CCCCCC" w:sz="1"/>
              <w:bottom w:val="single" w:color="CCCCCC" w:sz="1"/>
              <w:right w:val="single" w:color="CCCCCC" w:sz="1"/>
            </w:tcBorders>
            <w:shd w:fill="1E1B4B" w:val="clear"/>
            <w:tcMar>
              <w:top w:type="dxa" w:w="80"/>
              <w:left w:type="dxa" w:w="120"/>
              <w:bottom w:type="dxa" w:w="80"/>
              <w:right w:type="dxa" w:w="120"/>
            </w:tcMar>
          </w:tcPr>
          <w:p>
            <w:r>
              <w:rPr>
                <w:b/>
                <w:bCs/>
                <w:color w:val="FFFFFF"/>
                <w:sz w:val="18"/>
                <w:szCs w:val="18"/>
              </w:rPr>
              <w:t xml:space="preserve">RAM utilisée</w:t>
            </w:r>
          </w:p>
        </w:tc>
        <w:tc>
          <w:tcPr>
            <w:tcW w:type="dxa" w:w="1600"/>
            <w:tcBorders>
              <w:top w:val="single" w:color="CCCCCC" w:sz="1"/>
              <w:left w:val="single" w:color="CCCCCC" w:sz="1"/>
              <w:bottom w:val="single" w:color="CCCCCC" w:sz="1"/>
              <w:right w:val="single" w:color="CCCCCC" w:sz="1"/>
            </w:tcBorders>
            <w:shd w:fill="1E1B4B" w:val="clear"/>
            <w:tcMar>
              <w:top w:type="dxa" w:w="80"/>
              <w:left w:type="dxa" w:w="120"/>
              <w:bottom w:type="dxa" w:w="80"/>
              <w:right w:type="dxa" w:w="120"/>
            </w:tcMar>
          </w:tcPr>
          <w:p>
            <w:r>
              <w:rPr>
                <w:b/>
                <w:bCs/>
                <w:color w:val="FFFFFF"/>
                <w:sz w:val="18"/>
                <w:szCs w:val="18"/>
              </w:rPr>
              <w:t xml:space="preserve">Disque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18"/>
                <w:szCs w:val="18"/>
              </w:rPr>
              <w:t xml:space="preserve">Llama 3.1 8B</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8B — modèle actuel</w:t>
            </w:r>
          </w:p>
        </w:tc>
        <w:tc>
          <w:tcPr>
            <w:tcW w:type="dxa" w:w="17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r>
              <w:rPr>
                <w:b w:val="false"/>
                <w:bCs w:val="false"/>
                <w:sz w:val="18"/>
                <w:szCs w:val="18"/>
              </w:rPr>
              <w:t xml:space="preserve">Hors zone recommandée pour CPU (&gt;4B)</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18"/>
                <w:szCs w:val="18"/>
              </w:rPr>
              <w:t xml:space="preserve">Llama 3.2 3B</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3B — distillé du 8B actuel</w:t>
            </w:r>
          </w:p>
        </w:tc>
        <w:tc>
          <w:tcPr>
            <w:tcW w:type="dxa" w:w="170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tcPr>
          <w:p>
            <w:r>
              <w:rPr>
                <w:b w:val="false"/>
                <w:bCs w:val="false"/>
                <w:sz w:val="18"/>
                <w:szCs w:val="18"/>
              </w:rPr>
              <w:t xml:space="preserve">88 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11,4 Go</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2,0 Go</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18"/>
                <w:szCs w:val="18"/>
              </w:rPr>
              <w:t xml:space="preserve">Phi-4 Mini</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3,8B — alternative</w:t>
            </w:r>
          </w:p>
        </w:tc>
        <w:tc>
          <w:tcPr>
            <w:tcW w:type="dxa" w:w="17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tcPr>
          <w:p>
            <w:r>
              <w:rPr>
                <w:b w:val="false"/>
                <w:bCs w:val="false"/>
                <w:sz w:val="18"/>
                <w:szCs w:val="18"/>
              </w:rPr>
              <w:t xml:space="preserve">97 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8,9 Go</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2,5 Go</w:t>
            </w:r>
          </w:p>
        </w:tc>
      </w:tr>
    </w:tbl>
    <w:p>
      <w:pPr>
        <w:spacing w:before="80"/>
      </w:pPr>
      <w:r>
        <w:rPr>
          <w:i/>
          <w:iCs/>
          <w:color w:val="888888"/>
          <w:sz w:val="16"/>
          <w:szCs w:val="16"/>
        </w:rPr>
        <w:t xml:space="preserve">Source : ComputingForGeeks, comparatif self-hosting Ollama, CPU-only (4 vCPU / 16 Go RAM), même machine et même prompt pour tous les modèles testés (mars 2026).</w:t>
      </w:r>
    </w:p>
    <w:p>
      <w:pPr>
        <w:spacing w:before="60"/>
      </w:pPr>
      <w:r>
        <w:rPr>
          <w:i/>
          <w:iCs/>
          <w:color w:val="888888"/>
          <w:sz w:val="16"/>
          <w:szCs w:val="16"/>
        </w:rPr>
        <w:t xml:space="preserve">Llama 3.1 8B n'était pas inclus dans ce protocole précis ; le tableau le situe par rapport au seuil de 4B identifié comme limite raisonnable pour du CPU dans la littérature (voir section 2). C'est cohérent avec le vécu du beta-testeur : 45 s d'attente, bien au-delà du seuil utilisable.</w:t>
      </w:r>
    </w:p>
    <w:p>
      <w:pPr>
        <w:pStyle w:val="Heading2"/>
      </w:pPr>
      <w:r>
        <w:t xml:space="preserve">4. Spécificités de notre implémentation</w:t>
      </w:r>
    </w:p>
    <w:p>
      <w:pPr>
        <w:pStyle w:val="ListParagraph"/>
        <w:numPr>
          <w:ilvl w:val="0"/>
          <w:numId w:val="2"/>
        </w:numPr>
      </w:pPr>
      <w:r>
        <w:t xml:space="preserve">Notre pipeline n'utilise pas de RAG : le texte du PDF est extrait en intégralité puis tronqué à 8000 caractères avant d'être injecté dans le prompt (MAX_SOURCE_CHARS = 8000, fichier quiz_prompt.py). Le contexte envoyé au modèle reste donc court, quelle que soit la taille du cours source.</w:t>
      </w:r>
    </w:p>
    <w:p>
      <w:pPr>
        <w:pStyle w:val="ListParagraph"/>
        <w:numPr>
          <w:ilvl w:val="0"/>
          <w:numId w:val="2"/>
        </w:numPr>
      </w:pPr>
      <w:r>
        <w:t xml:space="preserve">Le code reconnaît lui-même le problème : le timeout est fixé à 600 secondes (OLLAMA_TIMEOUT) avec un commentaire précisant qu'une génération en 8B sur CPU peut dépasser largement 120 secondes — cohérent avec les 45 s mesurées par le beta-testeur et avec le seuil de 4B identifié dans la littérature CPU.</w:t>
      </w:r>
    </w:p>
    <w:p>
      <w:pPr>
        <w:pStyle w:val="ListParagraph"/>
        <w:numPr>
          <w:ilvl w:val="0"/>
          <w:numId w:val="2"/>
        </w:numPr>
      </w:pPr>
      <w:r>
        <w:t xml:space="preserve">Llama 3.2 3B étant une version distillée de Llama 3.1 8B (même famille, même méthode d'entraînement), le risque de perte de qualité sur la génération de QCM est limité par rapport à un changement de famille de modèle.</w:t>
      </w:r>
    </w:p>
    <w:p>
      <w:r>
        <w:br w:type="page"/>
      </w:r>
    </w:p>
    <w:p>
      <w:pPr>
        <w:pStyle w:val="Heading1"/>
      </w:pPr>
      <w:r>
        <w:t xml:space="preserve">ADR-002 : Choix du modèle LLM de génération de quiz</w:t>
      </w:r>
    </w:p>
    <w:p>
      <w:pPr>
        <w:pStyle w:val="Heading2"/>
      </w:pPr>
      <w:r>
        <w:t xml:space="preserve">Statut</w:t>
      </w:r>
    </w:p>
    <w:p>
      <w:r>
        <w:t xml:space="preserve">Accepté.</w:t>
      </w:r>
    </w:p>
    <w:p>
      <w:pPr>
        <w:pStyle w:val="Heading2"/>
      </w:pPr>
      <w:r>
        <w:t xml:space="preserve">Contexte</w:t>
      </w:r>
    </w:p>
    <w:p>
      <w:r>
        <w:t xml:space="preserve">Un beta-testeur (étudiant M2) a mesuré 45 secondes d'attente pour la génération de 10 QCM sur un cours d'algorithmie, au point de croire le site cassé et de faillir quitter l'application. Le sponsor exige un temps de génération acceptable dès ce soir. Le modèle actuellement intégré est Llama 3.1 8B via Ollama, en local, sur CPU uniquement (pas de GPU configuré). Le pipeline n'utilise pas de RAG : le texte du PDF est extrait puis tronqué à 8000 caractères avant d'être envoyé au modèle ; le contexte transmis reste donc court quelle que soit la longueur du cours. Le code documente déjà le risque (timeout fixé à 600 s, commentaire signalant qu'une génération 8B sur CPU peut dépasser 120 s). Faute de temps pour un test interne, la décision s'appuie sur un benchmark public récent reproduisant des conditions CPU-only comparables.</w:t>
      </w:r>
    </w:p>
    <w:p>
      <w:pPr>
        <w:pStyle w:val="Heading2"/>
      </w:pPr>
      <w:r>
        <w:t xml:space="preserve">Options envisagées</w:t>
      </w:r>
    </w:p>
    <w:p>
      <w:pPr>
        <w:pStyle w:val="ListParagraph"/>
        <w:numPr>
          <w:ilvl w:val="0"/>
          <w:numId w:val="2"/>
        </w:numPr>
      </w:pPr>
      <w:r>
        <w:rPr>
          <w:b/>
          <w:bCs/>
        </w:rPr>
        <w:t xml:space="preserve">Option A — Garder Llama 3.1 8B : </w:t>
      </w:r>
      <w:r>
        <w:t xml:space="preserve">aucune migration, mais un modèle 8B sur CPU reste au-dessus du seuil de taille recommandé pour un temps de réponse utilisable (la littérature situe ce seuil à 4B sur CPU modeste), ce qui ne résout pas le problème remonté par le beta-testeur.</w:t>
      </w:r>
    </w:p>
    <w:p>
      <w:pPr>
        <w:pStyle w:val="ListParagraph"/>
        <w:numPr>
          <w:ilvl w:val="0"/>
          <w:numId w:val="2"/>
        </w:numPr>
      </w:pPr>
      <w:r>
        <w:rPr>
          <w:b/>
          <w:bCs/>
        </w:rPr>
        <w:t xml:space="preserve">Option B — Basculer vers Llama 3.2 3B : </w:t>
      </w:r>
      <w:r>
        <w:t xml:space="preserve">modèle distillé du 8B actuel (3B, sous le seuil recommandé pour CPU), 88 s mesurées sur un protocole CPU comparable.</w:t>
      </w:r>
    </w:p>
    <w:p>
      <w:pPr>
        <w:pStyle w:val="ListParagraph"/>
        <w:numPr>
          <w:ilvl w:val="0"/>
          <w:numId w:val="2"/>
        </w:numPr>
      </w:pPr>
      <w:r>
        <w:rPr>
          <w:b/>
          <w:bCs/>
        </w:rPr>
        <w:t xml:space="preserve">Option C — Basculer vers Phi-4 Mini : </w:t>
      </w:r>
      <w:r>
        <w:t xml:space="preserve">alternative légère (3,8B), 97 s mesurées sur le même protocole — plus lent que l'option B et appartient à une autre famille de modèle (risque qualité moins maîtrisé).</w:t>
      </w:r>
    </w:p>
    <w:p>
      <w:pPr>
        <w:pStyle w:val="Heading2"/>
      </w:pPr>
      <w:r>
        <w:t xml:space="preserve">Décision retenue</w:t>
      </w:r>
    </w:p>
    <w:p>
      <w:r>
        <w:rPr>
          <w:b/>
          <w:bCs/>
        </w:rPr>
        <w:t xml:space="preserve">Option B — Bascule vers Llama 3.2 3B. </w:t>
      </w:r>
      <w:r>
        <w:t xml:space="preserve">C'est le modèle le plus rapide du panel testé sur un protocole CPU comparable au nôtre, et une version distillée de notre modèle actuel, ce qui limite le risque de perte de qualité par rapport à un changement de famille de modèle. Si la qualité perçue s'avère insuffisante à l'usage, repli possible sur Phi-4 Mini.</w:t>
      </w:r>
    </w:p>
    <w:p>
      <w:pPr>
        <w:pStyle w:val="Heading2"/>
      </w:pPr>
      <w:r>
        <w:t xml:space="preserve">Conséquences</w:t>
      </w:r>
    </w:p>
    <w:p>
      <w:pPr>
        <w:pStyle w:val="ListParagraph"/>
        <w:numPr>
          <w:ilvl w:val="0"/>
          <w:numId w:val="2"/>
        </w:numPr>
      </w:pPr>
      <w:r>
        <w:rPr>
          <w:b/>
          <w:bCs/>
        </w:rPr>
        <w:t xml:space="preserve">Positives : </w:t>
      </w:r>
      <w:r>
        <w:t xml:space="preserve">gain de temps de réponse attendu, déploiement CPU plus confortable, meilleure expérience dès le premier quiz généré.</w:t>
      </w:r>
    </w:p>
    <w:p>
      <w:pPr>
        <w:pStyle w:val="ListParagraph"/>
        <w:numPr>
          <w:ilvl w:val="0"/>
          <w:numId w:val="2"/>
        </w:numPr>
      </w:pPr>
      <w:r>
        <w:rPr>
          <w:b/>
          <w:bCs/>
        </w:rPr>
        <w:t xml:space="preserve">Négatives : </w:t>
      </w:r>
      <w:r>
        <w:t xml:space="preserve">risque de légère baisse de qualité des QCM générés par rapport au 8B, à valider à l'usage.</w:t>
      </w:r>
    </w:p>
    <w:p>
      <w:pPr>
        <w:pStyle w:val="ListParagraph"/>
        <w:numPr>
          <w:ilvl w:val="0"/>
          <w:numId w:val="2"/>
        </w:numPr>
      </w:pPr>
      <w:r>
        <w:rPr>
          <w:b/>
          <w:bCs/>
        </w:rPr>
        <w:t xml:space="preserve">À surveiller : </w:t>
      </w:r>
      <w:r>
        <w:t xml:space="preserve">vérifier le temps de réponse réel sur notre machine après bascule (le benchmark public sert de base de décision, pas de mesure définitive) ; prévoir un retour rapide à Llama 3.1 8B si la qualité perçue des quiz devient insuffisante.</w:t>
      </w:r>
    </w:p>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6"/>
        <w:szCs w:val="16"/>
      </w:rPr>
      <w:t xml:space="preserve">Page </w:t>
    </w:r>
    <w:r>
      <w:rPr>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color w:val="888888"/>
        <w:sz w:val="16"/>
        <w:szCs w:val="16"/>
      </w:rPr>
      <w:t xml:space="preserve">EduTutor IA — Perturbation J2 : Latence de génération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color w:val="1E1B4B"/>
      <w:sz w:val="30"/>
      <w:szCs w:val="30"/>
    </w:rPr>
  </w:style>
  <w:style w:type="paragraph" w:styleId="Heading2">
    <w:name w:val="Heading 2"/>
    <w:basedOn w:val="Normal"/>
    <w:next w:val="Normal"/>
    <w:qFormat/>
    <w:pPr>
      <w:spacing w:after="120" w:before="200"/>
      <w:outlineLvl w:val="1"/>
    </w:pPr>
    <w:rPr>
      <w:rFonts w:ascii="Arial" w:cs="Arial" w:eastAsia="Arial" w:hAnsi="Arial"/>
      <w:b/>
      <w:bCs/>
      <w:color w:val="1E1B4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2026-06-30T14:05:37.410Z</dcterms:created>
  <dcterms:modified xsi:type="dcterms:W3CDTF">2026-06-30T14:05:37.431Z</dcterms:modified>
</cp:coreProperties>
</file>

<file path=docProps/custom.xml><?xml version="1.0" encoding="utf-8"?>
<Properties xmlns="http://schemas.openxmlformats.org/officeDocument/2006/custom-properties" xmlns:vt="http://schemas.openxmlformats.org/officeDocument/2006/docPropsVTypes"/>
</file>