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CD5" w:rsidRPr="00923CD5" w:rsidRDefault="00923CD5">
      <w:pPr>
        <w:jc w:val="center"/>
        <w:rPr>
          <w:rFonts w:ascii="Liberation Sans" w:eastAsia="Microsoft YaHei" w:hAnsi="Liberation Sans" w:hint="eastAsia"/>
          <w:b/>
          <w:bCs/>
          <w:sz w:val="50"/>
          <w:szCs w:val="56"/>
        </w:rPr>
      </w:pPr>
      <w:r w:rsidRPr="00923CD5">
        <w:rPr>
          <w:rFonts w:ascii="Liberation Sans" w:eastAsia="Microsoft YaHei" w:hAnsi="Liberation Sans"/>
          <w:b/>
          <w:bCs/>
          <w:sz w:val="50"/>
          <w:szCs w:val="56"/>
        </w:rPr>
        <w:t>Robotique interactive pour l’estimation d’impédance mécanique chez l’humain, lors de tâches rythmiques</w:t>
      </w:r>
    </w:p>
    <w:p w:rsidR="00B11C7B" w:rsidRDefault="00923CD5">
      <w:pPr>
        <w:jc w:val="center"/>
        <w:rPr>
          <w:rFonts w:hint="eastAsia"/>
        </w:rPr>
      </w:pPr>
      <w:r>
        <w:t>Vincent F</w:t>
      </w:r>
      <w:r>
        <w:rPr>
          <w:rFonts w:hint="eastAsia"/>
        </w:rPr>
        <w:t>ortineau</w:t>
      </w:r>
      <w:r w:rsidRPr="00923CD5">
        <w:rPr>
          <w:vertAlign w:val="superscript"/>
        </w:rPr>
        <w:t>1,2</w:t>
      </w:r>
      <w:r>
        <w:t>, Isabelle S</w:t>
      </w:r>
      <w:r>
        <w:rPr>
          <w:rFonts w:hint="eastAsia"/>
        </w:rPr>
        <w:t>iegler</w:t>
      </w:r>
      <w:r>
        <w:rPr>
          <w:vertAlign w:val="superscript"/>
        </w:rPr>
        <w:t>2</w:t>
      </w:r>
      <w:r>
        <w:t>, Maria M</w:t>
      </w:r>
      <w:r>
        <w:rPr>
          <w:rFonts w:hint="eastAsia"/>
        </w:rPr>
        <w:t>akarov</w:t>
      </w:r>
      <w:r>
        <w:t>,</w:t>
      </w:r>
      <w:r w:rsidRPr="00923CD5">
        <w:rPr>
          <w:vertAlign w:val="superscript"/>
        </w:rPr>
        <w:t xml:space="preserve"> </w:t>
      </w:r>
      <w:r>
        <w:rPr>
          <w:vertAlign w:val="superscript"/>
        </w:rPr>
        <w:t>1</w:t>
      </w:r>
      <w:r>
        <w:t xml:space="preserve"> Pedro R</w:t>
      </w:r>
      <w:r>
        <w:rPr>
          <w:rFonts w:hint="eastAsia"/>
        </w:rPr>
        <w:t>odriguez</w:t>
      </w:r>
      <w:r>
        <w:t>-A</w:t>
      </w:r>
      <w:r>
        <w:rPr>
          <w:rFonts w:hint="eastAsia"/>
        </w:rPr>
        <w:t>yerbe</w:t>
      </w:r>
      <w:r>
        <w:rPr>
          <w:vertAlign w:val="superscript"/>
        </w:rPr>
        <w:t>1</w:t>
      </w:r>
    </w:p>
    <w:p w:rsidR="00B11C7B" w:rsidRPr="00923CD5" w:rsidRDefault="00923CD5">
      <w:pPr>
        <w:jc w:val="center"/>
        <w:rPr>
          <w:rFonts w:hint="eastAsia"/>
          <w:lang w:val="en-US"/>
        </w:rPr>
      </w:pPr>
      <w:r>
        <w:rPr>
          <w:lang w:val="en-US"/>
        </w:rPr>
        <w:t xml:space="preserve">1- </w:t>
      </w:r>
      <w:r w:rsidRPr="00923CD5">
        <w:rPr>
          <w:lang w:val="en-US"/>
        </w:rPr>
        <w:t xml:space="preserve">L2S, </w:t>
      </w:r>
      <w:r>
        <w:rPr>
          <w:lang w:val="en-US"/>
        </w:rPr>
        <w:t xml:space="preserve">2- </w:t>
      </w:r>
      <w:r w:rsidRPr="00923CD5">
        <w:rPr>
          <w:lang w:val="en-US"/>
        </w:rPr>
        <w:t>CIAMS</w:t>
      </w:r>
    </w:p>
    <w:p w:rsidR="00B11C7B" w:rsidRPr="00923CD5" w:rsidRDefault="00923CD5">
      <w:pPr>
        <w:jc w:val="center"/>
        <w:rPr>
          <w:rFonts w:hint="eastAsia"/>
          <w:lang w:val="en-US"/>
        </w:rPr>
      </w:pPr>
      <w:r>
        <w:rPr>
          <w:rFonts w:hint="eastAsia"/>
          <w:lang w:val="en-US"/>
        </w:rPr>
        <w:t>v</w:t>
      </w:r>
      <w:r w:rsidRPr="00923CD5">
        <w:rPr>
          <w:lang w:val="en-US"/>
        </w:rPr>
        <w:t>incent.fortineau@centralesupelec.fr</w:t>
      </w:r>
    </w:p>
    <w:p w:rsidR="00B11C7B" w:rsidRPr="00923CD5" w:rsidRDefault="00B11C7B">
      <w:pPr>
        <w:rPr>
          <w:rFonts w:hint="eastAsia"/>
          <w:lang w:val="en-US"/>
        </w:rPr>
      </w:pPr>
    </w:p>
    <w:p w:rsidR="00B11C7B" w:rsidRDefault="00B11C7B">
      <w:pPr>
        <w:pStyle w:val="Titre1"/>
        <w:rPr>
          <w:rFonts w:hint="eastAsia"/>
        </w:rPr>
      </w:pPr>
      <w:r>
        <w:t>Résumé</w:t>
      </w:r>
    </w:p>
    <w:p w:rsidR="00B11C7B" w:rsidRDefault="00923CD5" w:rsidP="005A0099">
      <w:pPr>
        <w:jc w:val="both"/>
        <w:rPr>
          <w:rFonts w:hint="eastAsia"/>
        </w:rPr>
      </w:pPr>
      <w:r>
        <w:t xml:space="preserve">Avec le développement de la robotique de service - </w:t>
      </w:r>
      <w:r w:rsidRPr="00923CD5">
        <w:rPr>
          <w:i/>
        </w:rPr>
        <w:t>que ce soit à travers des exosquelettes, des robots chirurgiens, ou des robots industriels collaboratifs</w:t>
      </w:r>
      <w:r>
        <w:t xml:space="preserve"> - comprendre et reproduire la robustesse des interactions physiques humaines est devenu sujet important pour la sécurité, la résilience et l’efficacité énergétique des robots.</w:t>
      </w:r>
    </w:p>
    <w:p w:rsidR="00B11C7B" w:rsidRDefault="00B11C7B" w:rsidP="005A0099">
      <w:pPr>
        <w:jc w:val="both"/>
        <w:rPr>
          <w:rFonts w:hint="eastAsia"/>
        </w:rPr>
      </w:pPr>
    </w:p>
    <w:p w:rsidR="00923CD5" w:rsidRDefault="00923CD5" w:rsidP="005A0099">
      <w:pPr>
        <w:jc w:val="both"/>
        <w:rPr>
          <w:rFonts w:hint="eastAsia"/>
        </w:rPr>
      </w:pPr>
      <w:r>
        <w:t xml:space="preserve">L’étude du contrôle moteur humain sous les prismes de l’automatique et des neurosciences </w:t>
      </w:r>
      <w:r w:rsidR="00300A5E">
        <w:t xml:space="preserve">s’inscrit donc dans cette démarche </w:t>
      </w:r>
      <w:r>
        <w:t>depuis plusieurs décennie</w:t>
      </w:r>
      <w:r>
        <w:rPr>
          <w:rFonts w:hint="eastAsia"/>
        </w:rPr>
        <w:t>s</w:t>
      </w:r>
      <w:r>
        <w:t xml:space="preserve"> [</w:t>
      </w:r>
      <w:r w:rsidR="005A0099">
        <w:t>1</w:t>
      </w:r>
      <w:r>
        <w:t>]. L’étude de l’impédance mécanique</w:t>
      </w:r>
      <w:r w:rsidR="005A0099">
        <w:t>, et donc de la biomécanique permet de modéliser des relations entre les forces d’interactions et les variables cinématiques lors de contacts physiques. Toutefois, l’identification des paramètres constitutifs de l’impédance reste laborieuse.</w:t>
      </w:r>
    </w:p>
    <w:p w:rsidR="005A0099" w:rsidRDefault="005A0099" w:rsidP="005A0099">
      <w:pPr>
        <w:jc w:val="both"/>
        <w:rPr>
          <w:rFonts w:hint="eastAsia"/>
        </w:rPr>
      </w:pPr>
    </w:p>
    <w:p w:rsidR="005A0099" w:rsidRDefault="005A0099" w:rsidP="005A0099">
      <w:pPr>
        <w:jc w:val="both"/>
        <w:rPr>
          <w:rFonts w:hint="eastAsia"/>
        </w:rPr>
      </w:pPr>
      <w:r>
        <w:t xml:space="preserve">En continuant les travaux s’intéressant la tâche de jonglerie [2] pour y intégrer des problématiques dynamiques, on proposera une méthodologie d’évaluation d’impédance au cours de la tâche </w:t>
      </w:r>
      <w:r w:rsidR="00300A5E">
        <w:t xml:space="preserve">rythmique </w:t>
      </w:r>
      <w:r>
        <w:t>en utilisant un robot articulé [3]. Des résultats préliminaires sont présentés, avec leurs limitations et les solutions envisagées et mises en place pour les surpasser. L’ambition finale est de mesurer le comportement biomécanique humain, d’observer les variations d’impédance et d’évaluer leur intérêt pour la robustesse de la tâche</w:t>
      </w:r>
      <w:r w:rsidR="00300A5E">
        <w:t>, pour les reproduire en robotique</w:t>
      </w:r>
      <w:bookmarkStart w:id="0" w:name="_GoBack"/>
      <w:bookmarkEnd w:id="0"/>
      <w:r>
        <w:t>.</w:t>
      </w:r>
    </w:p>
    <w:p w:rsidR="005A0099" w:rsidRDefault="005A0099" w:rsidP="005A0099">
      <w:pPr>
        <w:jc w:val="both"/>
        <w:rPr>
          <w:rFonts w:hint="eastAsia"/>
        </w:rPr>
      </w:pPr>
    </w:p>
    <w:p w:rsidR="00FD79D7" w:rsidRDefault="00BF440E" w:rsidP="00BF440E">
      <w:pPr>
        <w:jc w:val="right"/>
        <w:rPr>
          <w:rFonts w:hint="eastAsia"/>
        </w:rPr>
      </w:pPr>
      <w:r w:rsidRPr="00BF440E">
        <w:rPr>
          <w:noProof/>
          <w:lang w:eastAsia="fr-FR" w:bidi="ar-SA"/>
        </w:rPr>
        <w:drawing>
          <wp:inline distT="0" distB="0" distL="0" distR="0">
            <wp:extent cx="2106295" cy="1482090"/>
            <wp:effectExtent l="0" t="0" r="0" b="0"/>
            <wp:docPr id="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a:picLocks noChangeAspect="1" noChangeArrowheads="1"/>
                    </pic:cNvPicPr>
                  </pic:nvPicPr>
                  <pic:blipFill>
                    <a:blip r:embed="rId5" cstate="print">
                      <a:extLst>
                        <a:ext uri="{28A0092B-C50C-407E-A947-70E740481C1C}">
                          <a14:useLocalDpi xmlns:a14="http://schemas.microsoft.com/office/drawing/2010/main" val="0"/>
                        </a:ext>
                      </a:extLst>
                    </a:blip>
                    <a:srcRect l="8957" t="18770" r="28017" b="10258"/>
                    <a:stretch>
                      <a:fillRect/>
                    </a:stretch>
                  </pic:blipFill>
                  <pic:spPr bwMode="auto">
                    <a:xfrm>
                      <a:off x="0" y="0"/>
                      <a:ext cx="2106295" cy="1482090"/>
                    </a:xfrm>
                    <a:prstGeom prst="rect">
                      <a:avLst/>
                    </a:prstGeom>
                    <a:noFill/>
                    <a:ln>
                      <a:noFill/>
                    </a:ln>
                  </pic:spPr>
                </pic:pic>
              </a:graphicData>
            </a:graphic>
          </wp:inline>
        </w:drawing>
      </w:r>
      <w:r>
        <w:t xml:space="preserve">                                      </w:t>
      </w:r>
      <w:r w:rsidRPr="00BF440E">
        <w:rPr>
          <w:noProof/>
          <w:lang w:eastAsia="fr-FR" w:bidi="ar-SA"/>
        </w:rPr>
        <w:drawing>
          <wp:inline distT="0" distB="0" distL="0" distR="0">
            <wp:extent cx="2543175" cy="1457325"/>
            <wp:effectExtent l="0" t="0" r="0" b="0"/>
            <wp:docPr id="11" name="Picture 2" descr="schema_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ema_ex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3175" cy="1457325"/>
                    </a:xfrm>
                    <a:prstGeom prst="rect">
                      <a:avLst/>
                    </a:prstGeom>
                    <a:noFill/>
                    <a:ln>
                      <a:noFill/>
                    </a:ln>
                  </pic:spPr>
                </pic:pic>
              </a:graphicData>
            </a:graphic>
          </wp:inline>
        </w:drawing>
      </w:r>
    </w:p>
    <w:p w:rsidR="005A0099" w:rsidRDefault="005A0099" w:rsidP="005A0099">
      <w:pPr>
        <w:jc w:val="both"/>
        <w:rPr>
          <w:rFonts w:hint="eastAsia"/>
        </w:rPr>
      </w:pPr>
    </w:p>
    <w:p w:rsidR="00B11C7B" w:rsidRDefault="00B11C7B" w:rsidP="005A0099">
      <w:pPr>
        <w:pStyle w:val="Titre1"/>
        <w:jc w:val="both"/>
        <w:rPr>
          <w:rFonts w:hint="eastAsia"/>
        </w:rPr>
      </w:pPr>
      <w:r>
        <w:t>Références</w:t>
      </w:r>
    </w:p>
    <w:p w:rsidR="005A0099" w:rsidRDefault="005A0099" w:rsidP="005A0099">
      <w:pPr>
        <w:pStyle w:val="Corpsdetexte"/>
        <w:numPr>
          <w:ilvl w:val="0"/>
          <w:numId w:val="1"/>
        </w:numPr>
        <w:rPr>
          <w:rFonts w:hint="eastAsia"/>
          <w:lang w:val="en-US"/>
        </w:rPr>
      </w:pPr>
      <w:r>
        <w:rPr>
          <w:lang w:val="en-US"/>
        </w:rPr>
        <w:t xml:space="preserve">[1] </w:t>
      </w:r>
      <w:r w:rsidRPr="005A0099">
        <w:rPr>
          <w:lang w:val="en-US"/>
        </w:rPr>
        <w:t xml:space="preserve">N. </w:t>
      </w:r>
      <w:r w:rsidRPr="005A0099">
        <w:rPr>
          <w:b/>
          <w:bCs/>
          <w:lang w:val="en-US"/>
        </w:rPr>
        <w:t>Hogan</w:t>
      </w:r>
      <w:r w:rsidRPr="005A0099">
        <w:rPr>
          <w:lang w:val="en-US"/>
        </w:rPr>
        <w:t xml:space="preserve">, “Adaptive control of mechanical impedance by </w:t>
      </w:r>
      <w:proofErr w:type="spellStart"/>
      <w:r w:rsidRPr="005A0099">
        <w:rPr>
          <w:lang w:val="en-US"/>
        </w:rPr>
        <w:t>coact</w:t>
      </w:r>
      <w:r>
        <w:rPr>
          <w:lang w:val="en-US"/>
        </w:rPr>
        <w:t>ivation</w:t>
      </w:r>
      <w:proofErr w:type="spellEnd"/>
      <w:r>
        <w:rPr>
          <w:lang w:val="en-US"/>
        </w:rPr>
        <w:t xml:space="preserve"> of antagonist muscles,” </w:t>
      </w:r>
      <w:r w:rsidRPr="005A0099">
        <w:rPr>
          <w:lang w:val="en-US"/>
        </w:rPr>
        <w:t xml:space="preserve">IEEE Trans. </w:t>
      </w:r>
      <w:proofErr w:type="spellStart"/>
      <w:r w:rsidRPr="005A0099">
        <w:rPr>
          <w:lang w:val="en-US"/>
        </w:rPr>
        <w:t>Autom</w:t>
      </w:r>
      <w:proofErr w:type="spellEnd"/>
      <w:r w:rsidRPr="005A0099">
        <w:rPr>
          <w:lang w:val="en-US"/>
        </w:rPr>
        <w:t xml:space="preserve">. Control, vol. 29, no. 8, pp. 681–690, Aug. </w:t>
      </w:r>
      <w:r w:rsidRPr="005A0099">
        <w:rPr>
          <w:b/>
          <w:bCs/>
          <w:lang w:val="en-US"/>
        </w:rPr>
        <w:t>1984</w:t>
      </w:r>
      <w:r w:rsidRPr="005A0099">
        <w:rPr>
          <w:lang w:val="en-US"/>
        </w:rPr>
        <w:t>.</w:t>
      </w:r>
    </w:p>
    <w:p w:rsidR="005A0099" w:rsidRPr="005A0099" w:rsidRDefault="005A0099" w:rsidP="005A0099">
      <w:pPr>
        <w:pStyle w:val="Corpsdetexte"/>
        <w:numPr>
          <w:ilvl w:val="0"/>
          <w:numId w:val="1"/>
        </w:numPr>
        <w:rPr>
          <w:rFonts w:hint="eastAsia"/>
          <w:lang w:val="en-US"/>
        </w:rPr>
      </w:pPr>
      <w:r>
        <w:rPr>
          <w:lang w:val="en-US"/>
        </w:rPr>
        <w:t xml:space="preserve">[2] </w:t>
      </w:r>
      <w:r w:rsidRPr="005A0099">
        <w:rPr>
          <w:lang w:val="en-US"/>
        </w:rPr>
        <w:t xml:space="preserve">G. </w:t>
      </w:r>
      <w:proofErr w:type="spellStart"/>
      <w:r w:rsidRPr="005A0099">
        <w:rPr>
          <w:b/>
          <w:bCs/>
          <w:lang w:val="en-US"/>
        </w:rPr>
        <w:t>Avrin</w:t>
      </w:r>
      <w:proofErr w:type="spellEnd"/>
      <w:r w:rsidRPr="005A0099">
        <w:rPr>
          <w:lang w:val="en-US"/>
        </w:rPr>
        <w:t xml:space="preserve">, I. A. </w:t>
      </w:r>
      <w:proofErr w:type="spellStart"/>
      <w:r w:rsidRPr="005A0099">
        <w:rPr>
          <w:lang w:val="en-US"/>
        </w:rPr>
        <w:t>Siegler</w:t>
      </w:r>
      <w:proofErr w:type="spellEnd"/>
      <w:r w:rsidRPr="005A0099">
        <w:rPr>
          <w:lang w:val="en-US"/>
        </w:rPr>
        <w:t>, M. Makarov, and P. Rodriguez-</w:t>
      </w:r>
      <w:proofErr w:type="spellStart"/>
      <w:r w:rsidRPr="005A0099">
        <w:rPr>
          <w:lang w:val="en-US"/>
        </w:rPr>
        <w:t>Ayerbe</w:t>
      </w:r>
      <w:proofErr w:type="spellEnd"/>
      <w:r w:rsidRPr="005A0099">
        <w:rPr>
          <w:lang w:val="en-US"/>
        </w:rPr>
        <w:t xml:space="preserve">, “The self-organization of ball bouncing,” </w:t>
      </w:r>
      <w:proofErr w:type="spellStart"/>
      <w:r w:rsidRPr="005A0099">
        <w:rPr>
          <w:i/>
          <w:iCs/>
          <w:lang w:val="en-US"/>
        </w:rPr>
        <w:t>Biol</w:t>
      </w:r>
      <w:proofErr w:type="spellEnd"/>
      <w:r w:rsidRPr="005A0099">
        <w:rPr>
          <w:i/>
          <w:iCs/>
          <w:lang w:val="en-US"/>
        </w:rPr>
        <w:t xml:space="preserve"> </w:t>
      </w:r>
      <w:proofErr w:type="spellStart"/>
      <w:r w:rsidRPr="005A0099">
        <w:rPr>
          <w:i/>
          <w:iCs/>
          <w:lang w:val="en-US"/>
        </w:rPr>
        <w:t>Cybern</w:t>
      </w:r>
      <w:proofErr w:type="spellEnd"/>
      <w:r w:rsidRPr="005A0099">
        <w:rPr>
          <w:lang w:val="en-US"/>
        </w:rPr>
        <w:t xml:space="preserve">, vol. 112, no. 6, pp. 509–522, Dec. </w:t>
      </w:r>
      <w:r w:rsidRPr="005A0099">
        <w:rPr>
          <w:b/>
          <w:bCs/>
          <w:lang w:val="en-US"/>
        </w:rPr>
        <w:t>2018</w:t>
      </w:r>
    </w:p>
    <w:p w:rsidR="00B11C7B" w:rsidRPr="00BF440E" w:rsidRDefault="005A0099" w:rsidP="00BF440E">
      <w:pPr>
        <w:pStyle w:val="Corpsdetexte"/>
        <w:numPr>
          <w:ilvl w:val="0"/>
          <w:numId w:val="1"/>
        </w:numPr>
        <w:rPr>
          <w:rFonts w:hint="eastAsia"/>
          <w:lang w:val="en-US"/>
        </w:rPr>
      </w:pPr>
      <w:r w:rsidRPr="005A0099">
        <w:rPr>
          <w:bCs/>
        </w:rPr>
        <w:t xml:space="preserve">[3] </w:t>
      </w:r>
      <w:r>
        <w:t xml:space="preserve">V. </w:t>
      </w:r>
      <w:proofErr w:type="spellStart"/>
      <w:r w:rsidRPr="005A0099">
        <w:rPr>
          <w:b/>
        </w:rPr>
        <w:t>Fortineau</w:t>
      </w:r>
      <w:proofErr w:type="spellEnd"/>
      <w:r>
        <w:t>, M. Makarov, P. Rodriguez-</w:t>
      </w:r>
      <w:proofErr w:type="spellStart"/>
      <w:r>
        <w:t>Ayerbe</w:t>
      </w:r>
      <w:proofErr w:type="spellEnd"/>
      <w:r>
        <w:t xml:space="preserve">, I. A. </w:t>
      </w:r>
      <w:proofErr w:type="spellStart"/>
      <w:r>
        <w:t>Siegler</w:t>
      </w:r>
      <w:proofErr w:type="spellEnd"/>
      <w:r>
        <w:t xml:space="preserve">. </w:t>
      </w:r>
      <w:r w:rsidRPr="005A0099">
        <w:rPr>
          <w:lang w:val="en-US"/>
        </w:rPr>
        <w:t>Interactive robotics for human impedance estimation in a r</w:t>
      </w:r>
      <w:r w:rsidR="00FD79D7">
        <w:rPr>
          <w:lang w:val="en-US"/>
        </w:rPr>
        <w:t>h</w:t>
      </w:r>
      <w:r w:rsidRPr="005A0099">
        <w:rPr>
          <w:lang w:val="en-US"/>
        </w:rPr>
        <w:t xml:space="preserve">ythmic task. </w:t>
      </w:r>
      <w:proofErr w:type="gramStart"/>
      <w:r w:rsidRPr="005A0099">
        <w:rPr>
          <w:i/>
          <w:iCs/>
          <w:lang w:val="en-US"/>
        </w:rPr>
        <w:t>2020</w:t>
      </w:r>
      <w:proofErr w:type="gramEnd"/>
      <w:r w:rsidRPr="005A0099">
        <w:rPr>
          <w:i/>
          <w:iCs/>
          <w:lang w:val="en-US"/>
        </w:rPr>
        <w:t xml:space="preserve"> IEEE 16th International Conference on Automation Science and Engineering (CASE)</w:t>
      </w:r>
      <w:r w:rsidRPr="005A0099">
        <w:rPr>
          <w:lang w:val="en-US"/>
        </w:rPr>
        <w:t xml:space="preserve">, Aug </w:t>
      </w:r>
      <w:r w:rsidRPr="005A0099">
        <w:rPr>
          <w:b/>
          <w:lang w:val="en-US"/>
        </w:rPr>
        <w:t>2020</w:t>
      </w:r>
      <w:r w:rsidRPr="005A0099">
        <w:rPr>
          <w:lang w:val="en-US"/>
        </w:rPr>
        <w:t>.</w:t>
      </w:r>
    </w:p>
    <w:sectPr w:rsidR="00B11C7B" w:rsidRPr="00BF440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Std"/>
    <w:panose1 w:val="00000400000000000000"/>
    <w:charset w:val="01"/>
    <w:family w:val="roman"/>
    <w:notTrueType/>
    <w:pitch w:val="variable"/>
    <w:sig w:usb0="00002000" w:usb1="00000000" w:usb2="00000000" w:usb3="00000000" w:csb0="00000000" w:csb1="00000000"/>
  </w:font>
  <w:font w:name="Liberation Sans">
    <w:altName w:val="Arial"/>
    <w:charset w:val="01"/>
    <w:family w:val="swiss"/>
    <w:pitch w:val="variable"/>
  </w:font>
  <w:font w:name="Microsoft YaHei">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itre1"/>
      <w:suff w:val="nothing"/>
      <w:lvlText w:val=""/>
      <w:lvlJc w:val="left"/>
      <w:pPr>
        <w:tabs>
          <w:tab w:val="num" w:pos="432"/>
        </w:tabs>
        <w:ind w:left="432" w:hanging="432"/>
      </w:pPr>
    </w:lvl>
    <w:lvl w:ilvl="1">
      <w:start w:val="1"/>
      <w:numFmt w:val="none"/>
      <w:pStyle w:val="Titre2"/>
      <w:suff w:val="nothing"/>
      <w:lvlText w:val=""/>
      <w:lvlJc w:val="left"/>
      <w:pPr>
        <w:tabs>
          <w:tab w:val="num" w:pos="576"/>
        </w:tabs>
        <w:ind w:left="576" w:hanging="576"/>
      </w:pPr>
    </w:lvl>
    <w:lvl w:ilvl="2">
      <w:start w:val="1"/>
      <w:numFmt w:val="none"/>
      <w:pStyle w:val="Titre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940"/>
    <w:rsid w:val="002A4940"/>
    <w:rsid w:val="00300A5E"/>
    <w:rsid w:val="005A0099"/>
    <w:rsid w:val="00923CD5"/>
    <w:rsid w:val="00B11C7B"/>
    <w:rsid w:val="00BF440E"/>
    <w:rsid w:val="00FD79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0A49F87"/>
  <w15:chartTrackingRefBased/>
  <w15:docId w15:val="{B69E8D55-8828-4FBA-BD9C-FA9C8BF9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SimSun" w:hAnsi="Liberation Serif" w:cs="Mangal"/>
      <w:kern w:val="1"/>
      <w:sz w:val="24"/>
      <w:szCs w:val="24"/>
      <w:lang w:eastAsia="zh-CN" w:bidi="hi-IN"/>
    </w:rPr>
  </w:style>
  <w:style w:type="paragraph" w:styleId="Titre1">
    <w:name w:val="heading 1"/>
    <w:basedOn w:val="Titre10"/>
    <w:next w:val="Corpsdetexte"/>
    <w:qFormat/>
    <w:pPr>
      <w:numPr>
        <w:numId w:val="1"/>
      </w:numPr>
      <w:outlineLvl w:val="0"/>
    </w:pPr>
    <w:rPr>
      <w:b/>
      <w:bCs/>
      <w:sz w:val="36"/>
      <w:szCs w:val="36"/>
    </w:rPr>
  </w:style>
  <w:style w:type="paragraph" w:styleId="Titre2">
    <w:name w:val="heading 2"/>
    <w:basedOn w:val="Titre10"/>
    <w:next w:val="Corpsdetexte"/>
    <w:qFormat/>
    <w:pPr>
      <w:numPr>
        <w:ilvl w:val="1"/>
        <w:numId w:val="1"/>
      </w:numPr>
      <w:spacing w:before="200"/>
      <w:outlineLvl w:val="1"/>
    </w:pPr>
    <w:rPr>
      <w:b/>
      <w:bCs/>
      <w:sz w:val="32"/>
      <w:szCs w:val="32"/>
    </w:rPr>
  </w:style>
  <w:style w:type="paragraph" w:styleId="Titre3">
    <w:name w:val="heading 3"/>
    <w:basedOn w:val="Titre10"/>
    <w:next w:val="Corpsdetexte"/>
    <w:qFormat/>
    <w:pPr>
      <w:numPr>
        <w:ilvl w:val="2"/>
        <w:numId w:val="1"/>
      </w:numPr>
      <w:spacing w:before="140"/>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0">
    <w:name w:val="Titre1"/>
    <w:basedOn w:val="Normal"/>
    <w:next w:val="Corpsdetexte"/>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re">
    <w:name w:val="Title"/>
    <w:basedOn w:val="Titre10"/>
    <w:next w:val="Corpsdetexte"/>
    <w:qFormat/>
    <w:pPr>
      <w:jc w:val="center"/>
    </w:pPr>
    <w:rPr>
      <w:b/>
      <w:bCs/>
      <w:sz w:val="56"/>
      <w:szCs w:val="56"/>
    </w:rPr>
  </w:style>
  <w:style w:type="paragraph" w:styleId="Sous-titre">
    <w:name w:val="Subtitle"/>
    <w:basedOn w:val="Titre10"/>
    <w:next w:val="Corpsdetexte"/>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69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337</Words>
  <Characters>1855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m</dc:creator>
  <cp:keywords/>
  <dc:description/>
  <cp:lastModifiedBy>Auto</cp:lastModifiedBy>
  <cp:revision>3</cp:revision>
  <cp:lastPrinted>1899-12-31T23:00:00Z</cp:lastPrinted>
  <dcterms:created xsi:type="dcterms:W3CDTF">2020-10-06T09:09:00Z</dcterms:created>
  <dcterms:modified xsi:type="dcterms:W3CDTF">2020-10-06T09:13:00Z</dcterms:modified>
</cp:coreProperties>
</file>