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C7B" w:rsidRDefault="00947255">
      <w:pPr>
        <w:pStyle w:val="Titre"/>
        <w:rPr>
          <w:rFonts w:hint="eastAsia"/>
        </w:rPr>
      </w:pPr>
      <w:bookmarkStart w:id="0" w:name="_GoBack"/>
      <w:bookmarkEnd w:id="0"/>
      <w:r>
        <w:t>Commande Bio-inspirée de robot, pour des tâches rythmiques en interaction avec l’environnement</w:t>
      </w:r>
    </w:p>
    <w:p w:rsidR="00B11C7B" w:rsidRPr="00F75F7B" w:rsidRDefault="00C55663">
      <w:pPr>
        <w:jc w:val="center"/>
        <w:rPr>
          <w:rFonts w:hint="eastAsia"/>
          <w:sz w:val="22"/>
        </w:rPr>
      </w:pPr>
      <w:r w:rsidRPr="00F75F7B">
        <w:rPr>
          <w:sz w:val="22"/>
        </w:rPr>
        <w:t>Vincent FORTINEAU, Maria MAKA</w:t>
      </w:r>
      <w:r w:rsidR="005F6459">
        <w:rPr>
          <w:sz w:val="22"/>
        </w:rPr>
        <w:t>ROV, Isabelle SIEGLER, Pedro ROD</w:t>
      </w:r>
      <w:r w:rsidRPr="00F75F7B">
        <w:rPr>
          <w:sz w:val="22"/>
        </w:rPr>
        <w:t>RIGUEZ</w:t>
      </w:r>
      <w:r w:rsidR="005F6459">
        <w:rPr>
          <w:sz w:val="22"/>
        </w:rPr>
        <w:t>-AYERBE</w:t>
      </w:r>
    </w:p>
    <w:p w:rsidR="00B11C7B" w:rsidRPr="00F75F7B" w:rsidRDefault="00C55663">
      <w:pPr>
        <w:jc w:val="center"/>
        <w:rPr>
          <w:rFonts w:hint="eastAsia"/>
          <w:sz w:val="22"/>
        </w:rPr>
      </w:pPr>
      <w:r w:rsidRPr="00F75F7B">
        <w:rPr>
          <w:sz w:val="22"/>
        </w:rPr>
        <w:t xml:space="preserve">Université Paris-Sud (CIAMS) et </w:t>
      </w:r>
      <w:proofErr w:type="spellStart"/>
      <w:r w:rsidRPr="00F75F7B">
        <w:rPr>
          <w:sz w:val="22"/>
        </w:rPr>
        <w:t>CentraleSupélec</w:t>
      </w:r>
      <w:proofErr w:type="spellEnd"/>
      <w:r w:rsidRPr="00F75F7B">
        <w:rPr>
          <w:sz w:val="22"/>
        </w:rPr>
        <w:t xml:space="preserve"> (L2S)</w:t>
      </w:r>
    </w:p>
    <w:p w:rsidR="00B11C7B" w:rsidRPr="00F75F7B" w:rsidRDefault="00C55663" w:rsidP="00F75F7B">
      <w:pPr>
        <w:jc w:val="center"/>
        <w:rPr>
          <w:rFonts w:hint="eastAsia"/>
          <w:sz w:val="22"/>
        </w:rPr>
      </w:pPr>
      <w:r w:rsidRPr="00F75F7B">
        <w:rPr>
          <w:rFonts w:hint="eastAsia"/>
          <w:sz w:val="22"/>
        </w:rPr>
        <w:t>vincent</w:t>
      </w:r>
      <w:r w:rsidRPr="00F75F7B">
        <w:rPr>
          <w:sz w:val="22"/>
        </w:rPr>
        <w:t>.fortineau@centralesupelec.fr</w:t>
      </w:r>
    </w:p>
    <w:p w:rsidR="00B11C7B" w:rsidRDefault="00B11C7B">
      <w:pPr>
        <w:pStyle w:val="Titre1"/>
        <w:rPr>
          <w:rFonts w:hint="eastAsia"/>
        </w:rPr>
      </w:pPr>
      <w:r>
        <w:t>Résumé</w:t>
      </w:r>
    </w:p>
    <w:p w:rsidR="00C55663" w:rsidRDefault="00C55663" w:rsidP="00560EF0">
      <w:pPr>
        <w:ind w:firstLine="432"/>
        <w:jc w:val="both"/>
        <w:rPr>
          <w:rFonts w:hint="eastAsia"/>
        </w:rPr>
      </w:pPr>
      <w:r>
        <w:t>Les êtres humains excellent lors d’</w:t>
      </w:r>
      <w:r w:rsidRPr="00470553">
        <w:rPr>
          <w:b/>
        </w:rPr>
        <w:t xml:space="preserve">interactions mécaniques </w:t>
      </w:r>
      <w:r>
        <w:t xml:space="preserve">avec des environnements inconnus. En effet, la robustesse et l’adaptabilité de leurs comportements dynamiques restent inégalées dans le monde de la robotique. En utilisant les propriétés dynamiques de leurs membres, les humains savent atteindre leurs objectifs en maintenant des comportements stables. C’est notamment en modifiant les propriétés </w:t>
      </w:r>
      <w:r w:rsidRPr="00470553">
        <w:rPr>
          <w:b/>
        </w:rPr>
        <w:t>viscoélastiques</w:t>
      </w:r>
      <w:r>
        <w:t xml:space="preserve"> du complexe musculo-squelettique qu’ils arrivent à ces performances. Ainsi, depuis plusieurs décennies, des chercheurs étudient l’</w:t>
      </w:r>
      <w:r w:rsidRPr="00470553">
        <w:rPr>
          <w:b/>
        </w:rPr>
        <w:t>impédance</w:t>
      </w:r>
      <w:r>
        <w:t xml:space="preserve"> mécanique des différents membres humains, soit pour expliquer, et comprendre les performances humaines lors de tâches variées, soit pour essayer de reproduire ces résultats en simulation ou avec des robots.</w:t>
      </w:r>
    </w:p>
    <w:p w:rsidR="00C55663" w:rsidRDefault="00C15F13" w:rsidP="00C55663">
      <w:pPr>
        <w:jc w:val="both"/>
        <w:rPr>
          <w:rFonts w:hint="eastAsia"/>
        </w:rPr>
      </w:pPr>
      <w:r>
        <w:rPr>
          <w:noProof/>
          <w:lang w:eastAsia="fr-FR" w:bidi="ar-SA"/>
        </w:rPr>
        <w:drawing>
          <wp:anchor distT="0" distB="0" distL="114300" distR="114300" simplePos="0" relativeHeight="251658240" behindDoc="0" locked="0" layoutInCell="1" allowOverlap="1">
            <wp:simplePos x="0" y="0"/>
            <wp:positionH relativeFrom="margin">
              <wp:align>left</wp:align>
            </wp:positionH>
            <wp:positionV relativeFrom="paragraph">
              <wp:posOffset>93345</wp:posOffset>
            </wp:positionV>
            <wp:extent cx="2657475" cy="1524000"/>
            <wp:effectExtent l="0" t="0" r="9525" b="0"/>
            <wp:wrapSquare wrapText="bothSides"/>
            <wp:docPr id="1" name="Image 1" descr="schema_e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ema_ex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57475" cy="1524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15F13" w:rsidRDefault="00C15F13" w:rsidP="008E4EEC">
      <w:pPr>
        <w:keepNext/>
        <w:rPr>
          <w:rFonts w:hint="eastAsia"/>
          <w:sz w:val="20"/>
        </w:rPr>
      </w:pPr>
    </w:p>
    <w:p w:rsidR="00C15F13" w:rsidRDefault="00990B7B" w:rsidP="008E4EEC">
      <w:pPr>
        <w:keepNext/>
        <w:jc w:val="both"/>
        <w:rPr>
          <w:rFonts w:hint="eastAsia"/>
        </w:rPr>
      </w:pPr>
      <w:r w:rsidRPr="00F75F7B">
        <w:rPr>
          <w:rFonts w:hint="eastAsia"/>
          <w:sz w:val="20"/>
        </w:rPr>
        <w:t xml:space="preserve">Figure </w:t>
      </w:r>
      <w:r w:rsidRPr="00F75F7B">
        <w:rPr>
          <w:rFonts w:hint="eastAsia"/>
          <w:sz w:val="20"/>
        </w:rPr>
        <w:fldChar w:fldCharType="begin"/>
      </w:r>
      <w:r w:rsidRPr="00F75F7B">
        <w:rPr>
          <w:rFonts w:hint="eastAsia"/>
          <w:sz w:val="20"/>
        </w:rPr>
        <w:instrText xml:space="preserve"> SEQ Figure \* ARABIC </w:instrText>
      </w:r>
      <w:r w:rsidRPr="00F75F7B">
        <w:rPr>
          <w:rFonts w:hint="eastAsia"/>
          <w:sz w:val="20"/>
        </w:rPr>
        <w:fldChar w:fldCharType="separate"/>
      </w:r>
      <w:r w:rsidR="00783AA3">
        <w:rPr>
          <w:rFonts w:hint="eastAsia"/>
          <w:noProof/>
          <w:sz w:val="20"/>
        </w:rPr>
        <w:t>1</w:t>
      </w:r>
      <w:r w:rsidRPr="00F75F7B">
        <w:rPr>
          <w:rFonts w:hint="eastAsia"/>
          <w:sz w:val="20"/>
        </w:rPr>
        <w:fldChar w:fldCharType="end"/>
      </w:r>
      <w:r w:rsidR="005F6459">
        <w:rPr>
          <w:sz w:val="20"/>
        </w:rPr>
        <w:t>: Schéma de l'expérience. A</w:t>
      </w:r>
      <w:r w:rsidRPr="00F75F7B">
        <w:rPr>
          <w:sz w:val="20"/>
        </w:rPr>
        <w:t xml:space="preserve">u centre le </w:t>
      </w:r>
      <w:proofErr w:type="spellStart"/>
      <w:r w:rsidRPr="00F75F7B">
        <w:rPr>
          <w:sz w:val="20"/>
        </w:rPr>
        <w:t>youbot</w:t>
      </w:r>
      <w:proofErr w:type="spellEnd"/>
      <w:r w:rsidRPr="00F75F7B">
        <w:rPr>
          <w:sz w:val="20"/>
        </w:rPr>
        <w:t xml:space="preserve"> (KUKA), à gauche l'unité de calcul connectée au robot par un routeur en liaison Ethernet, au-dessus, l'écran affichant l'environnement simulé et à droite, l’utilisateur manipulant le robot grâce à une poignée placée sur le capteur de forces 6 axes.</w:t>
      </w:r>
    </w:p>
    <w:p w:rsidR="008E4EEC" w:rsidRPr="008E4EEC" w:rsidRDefault="008E4EEC" w:rsidP="008E4EEC">
      <w:pPr>
        <w:keepNext/>
        <w:jc w:val="both"/>
        <w:rPr>
          <w:rFonts w:hint="eastAsia"/>
          <w:sz w:val="10"/>
        </w:rPr>
      </w:pPr>
    </w:p>
    <w:p w:rsidR="008E4EEC" w:rsidRPr="008E4EEC" w:rsidRDefault="00783AA3" w:rsidP="000B4312">
      <w:pPr>
        <w:jc w:val="both"/>
        <w:rPr>
          <w:rFonts w:hint="eastAsia"/>
        </w:rPr>
      </w:pPr>
      <m:oMathPara>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e</m:t>
              </m:r>
            </m:sub>
          </m:sSub>
          <m:r>
            <m:rPr>
              <m:sty m:val="bi"/>
            </m:rPr>
            <w:rPr>
              <w:rFonts w:ascii="Cambria Math" w:hAnsi="Cambria Math"/>
            </w:rPr>
            <m:t>=I</m:t>
          </m:r>
          <m:acc>
            <m:accPr>
              <m:chr m:val="̈"/>
              <m:ctrlPr>
                <w:rPr>
                  <w:rFonts w:ascii="Cambria Math" w:hAnsi="Cambria Math"/>
                  <w:b/>
                  <w:i/>
                </w:rPr>
              </m:ctrlPr>
            </m:accPr>
            <m:e>
              <m:r>
                <m:rPr>
                  <m:sty m:val="bi"/>
                </m:rPr>
                <w:rPr>
                  <w:rFonts w:ascii="Cambria Math" w:hAnsi="Cambria Math"/>
                </w:rPr>
                <m:t>X</m:t>
              </m:r>
            </m:e>
          </m:acc>
          <m:r>
            <m:rPr>
              <m:sty m:val="bi"/>
            </m:rPr>
            <w:rPr>
              <w:rFonts w:ascii="Cambria Math" w:hAnsi="Cambria Math"/>
            </w:rPr>
            <m:t>+B</m:t>
          </m:r>
          <m:acc>
            <m:accPr>
              <m:chr m:val="̇"/>
              <m:ctrlPr>
                <w:rPr>
                  <w:rFonts w:ascii="Cambria Math" w:hAnsi="Cambria Math"/>
                  <w:b/>
                  <w:i/>
                </w:rPr>
              </m:ctrlPr>
            </m:accPr>
            <m:e>
              <m:r>
                <m:rPr>
                  <m:sty m:val="bi"/>
                </m:rPr>
                <w:rPr>
                  <w:rFonts w:ascii="Cambria Math" w:hAnsi="Cambria Math"/>
                </w:rPr>
                <m:t>X</m:t>
              </m:r>
            </m:e>
          </m:acc>
          <m:r>
            <m:rPr>
              <m:sty m:val="bi"/>
            </m:rPr>
            <w:rPr>
              <w:rFonts w:ascii="Cambria Math" w:hAnsi="Cambria Math"/>
            </w:rPr>
            <m:t xml:space="preserve">+KX   </m:t>
          </m:r>
          <m:r>
            <w:rPr>
              <w:rFonts w:ascii="Cambria Math" w:hAnsi="Cambria Math"/>
            </w:rPr>
            <m:t>(1)</m:t>
          </m:r>
        </m:oMath>
      </m:oMathPara>
    </w:p>
    <w:p w:rsidR="008E4EEC" w:rsidRPr="008E4EEC" w:rsidRDefault="00783AA3" w:rsidP="000B4312">
      <w:pPr>
        <w:jc w:val="both"/>
        <w:rPr>
          <w:rFonts w:hint="eastAsia"/>
          <w:vertAlign w:val="subscript"/>
        </w:rPr>
      </w:pP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e</m:t>
            </m:r>
          </m:sub>
        </m:sSub>
      </m:oMath>
      <w:r w:rsidR="008E4EEC">
        <w:t xml:space="preserve"> force de la perturbation, </w:t>
      </w:r>
      <m:oMath>
        <m:r>
          <m:rPr>
            <m:sty m:val="bi"/>
          </m:rPr>
          <w:rPr>
            <w:rFonts w:ascii="Cambria Math" w:hAnsi="Cambria Math"/>
          </w:rPr>
          <m:t>X</m:t>
        </m:r>
      </m:oMath>
      <w:r w:rsidR="008E4EEC">
        <w:t xml:space="preserve"> déplacement induit par la perturbation, </w:t>
      </w:r>
      <m:oMath>
        <m:r>
          <m:rPr>
            <m:sty m:val="bi"/>
          </m:rPr>
          <w:rPr>
            <w:rFonts w:ascii="Cambria Math" w:hAnsi="Cambria Math"/>
          </w:rPr>
          <m:t>I</m:t>
        </m:r>
        <m:r>
          <w:rPr>
            <w:rFonts w:ascii="Cambria Math" w:hAnsi="Cambria Math"/>
          </w:rPr>
          <m:t xml:space="preserve">, </m:t>
        </m:r>
        <m:r>
          <m:rPr>
            <m:sty m:val="bi"/>
          </m:rPr>
          <w:rPr>
            <w:rFonts w:ascii="Cambria Math" w:hAnsi="Cambria Math"/>
          </w:rPr>
          <m:t>B</m:t>
        </m:r>
        <m:r>
          <w:rPr>
            <w:rFonts w:ascii="Cambria Math" w:hAnsi="Cambria Math"/>
          </w:rPr>
          <m:t xml:space="preserve">, </m:t>
        </m:r>
        <m:r>
          <m:rPr>
            <m:sty m:val="bi"/>
          </m:rPr>
          <w:rPr>
            <w:rFonts w:ascii="Cambria Math" w:hAnsi="Cambria Math"/>
          </w:rPr>
          <m:t>K</m:t>
        </m:r>
      </m:oMath>
      <w:r w:rsidR="008E4EEC">
        <w:t xml:space="preserve"> paramètres de l’impédance </w:t>
      </w:r>
    </w:p>
    <w:p w:rsidR="008E4EEC" w:rsidRPr="008E4EEC" w:rsidRDefault="008E4EEC" w:rsidP="000B4312">
      <w:pPr>
        <w:jc w:val="both"/>
        <w:rPr>
          <w:rFonts w:hint="eastAsia"/>
          <w:sz w:val="18"/>
        </w:rPr>
      </w:pPr>
    </w:p>
    <w:p w:rsidR="00560EF0" w:rsidRDefault="00C15F13" w:rsidP="00560EF0">
      <w:pPr>
        <w:ind w:firstLine="432"/>
        <w:jc w:val="both"/>
        <w:rPr>
          <w:rFonts w:hint="eastAsia"/>
        </w:rPr>
      </w:pPr>
      <w:r>
        <w:t xml:space="preserve">C’est dans cette perspective, qu’une expérience d’estimation des paramètres de l’impédance cartésienne est proposée, pour observer </w:t>
      </w:r>
      <w:r w:rsidR="00272494">
        <w:t>les</w:t>
      </w:r>
      <w:r>
        <w:t xml:space="preserve"> variations de la raideur au cours </w:t>
      </w:r>
      <w:r w:rsidR="00681A9D">
        <w:t>d’une</w:t>
      </w:r>
      <w:r>
        <w:t xml:space="preserve"> tâche rythmique. </w:t>
      </w:r>
      <w:r w:rsidR="00681A9D">
        <w:t xml:space="preserve">L’impédance mécanique qui se caractérise par la raideur, la viscosité et l’inertie, ne peut pas directement être mesurée. Pour l’estimation de ses paramètres, il faut injecter des </w:t>
      </w:r>
      <w:r w:rsidR="00681A9D" w:rsidRPr="0002517F">
        <w:rPr>
          <w:b/>
        </w:rPr>
        <w:t>perturbations</w:t>
      </w:r>
      <w:r w:rsidR="00681A9D">
        <w:t xml:space="preserve"> </w:t>
      </w:r>
      <w:r w:rsidR="00BC5C90">
        <w:t>courtes (</w:t>
      </w:r>
      <w:r w:rsidR="003601ED">
        <w:t>&gt;</w:t>
      </w:r>
      <w:r w:rsidR="00BC5C90">
        <w:t>100ms), de manière aléatoire,</w:t>
      </w:r>
      <w:r w:rsidR="00681A9D">
        <w:t xml:space="preserve"> lors </w:t>
      </w:r>
      <w:r w:rsidR="00BC5C90">
        <w:t>de la tâche concerné</w:t>
      </w:r>
      <w:r w:rsidR="00272494">
        <w:t xml:space="preserve">e. Connaissant l’amplitude </w:t>
      </w:r>
      <w:r w:rsidR="00BC5C90">
        <w:t>de la perturbation</w:t>
      </w:r>
      <w:r w:rsidR="00272494">
        <w:t xml:space="preserve"> (</w:t>
      </w:r>
      <w:r w:rsidR="00560EF0">
        <w:t>qui peut être introduite en couple ou en position</w:t>
      </w:r>
      <w:r w:rsidR="00272494">
        <w:t>)</w:t>
      </w:r>
      <w:r w:rsidR="00BC5C90">
        <w:t>, ainsi que le déplacement, ou le couple résultant de cette perturbation, il est possible d’identifier les paramètres en utilisant un algorithme des moindres carrés.</w:t>
      </w:r>
      <w:r w:rsidR="003601ED">
        <w:t xml:space="preserve"> L’équation de l’impédance</w:t>
      </w:r>
      <w:r w:rsidR="008E4EEC">
        <w:t xml:space="preserve"> (1)</w:t>
      </w:r>
      <w:r w:rsidR="003601ED">
        <w:t xml:space="preserve"> liant une force à un déplacement étant iss</w:t>
      </w:r>
      <w:r w:rsidR="005F6459">
        <w:t>ue d’une linéarisation autour d’un point d’équilibre</w:t>
      </w:r>
      <w:r w:rsidR="003601ED">
        <w:t>, les amplitudes des perturbations doivent être aussi faible que possible.</w:t>
      </w:r>
    </w:p>
    <w:p w:rsidR="00681A9D" w:rsidRDefault="00560EF0" w:rsidP="00560EF0">
      <w:pPr>
        <w:ind w:firstLine="432"/>
        <w:jc w:val="both"/>
        <w:rPr>
          <w:rFonts w:hint="eastAsia"/>
        </w:rPr>
      </w:pPr>
      <w:r>
        <w:t xml:space="preserve">Les résultats de l’expérience seront utilisés pour proposer une loi de commande en robotique, utilisant à la fois un contrôle rythmique en couple et un contrôle en impédance, la raideur variant aussi de manière cyclique. </w:t>
      </w:r>
    </w:p>
    <w:p w:rsidR="00B11C7B" w:rsidRDefault="00B11C7B">
      <w:pPr>
        <w:pStyle w:val="Titre1"/>
        <w:rPr>
          <w:rFonts w:hint="eastAsia"/>
        </w:rPr>
      </w:pPr>
      <w:r>
        <w:t>Références</w:t>
      </w:r>
    </w:p>
    <w:p w:rsidR="005F6459" w:rsidRPr="005F6459" w:rsidRDefault="005F6459" w:rsidP="005F6459">
      <w:pPr>
        <w:jc w:val="both"/>
        <w:rPr>
          <w:rFonts w:hint="eastAsia"/>
          <w:sz w:val="30"/>
          <w:lang w:val="en-US"/>
        </w:rPr>
      </w:pPr>
      <w:r w:rsidRPr="005F6459">
        <w:rPr>
          <w:sz w:val="22"/>
          <w:szCs w:val="16"/>
        </w:rPr>
        <w:t xml:space="preserve">Guillaume </w:t>
      </w:r>
      <w:proofErr w:type="spellStart"/>
      <w:r w:rsidRPr="005F6459">
        <w:rPr>
          <w:sz w:val="22"/>
          <w:szCs w:val="16"/>
        </w:rPr>
        <w:t>Avrin</w:t>
      </w:r>
      <w:proofErr w:type="spellEnd"/>
      <w:r w:rsidRPr="005F6459">
        <w:rPr>
          <w:sz w:val="22"/>
          <w:szCs w:val="16"/>
        </w:rPr>
        <w:t xml:space="preserve">, Isabelle </w:t>
      </w:r>
      <w:proofErr w:type="spellStart"/>
      <w:r w:rsidRPr="005F6459">
        <w:rPr>
          <w:sz w:val="22"/>
          <w:szCs w:val="16"/>
        </w:rPr>
        <w:t>Siegler</w:t>
      </w:r>
      <w:proofErr w:type="spellEnd"/>
      <w:r w:rsidRPr="005F6459">
        <w:rPr>
          <w:sz w:val="22"/>
          <w:szCs w:val="16"/>
        </w:rPr>
        <w:t>, Maria Makarov, Pedro Rodriguez-</w:t>
      </w:r>
      <w:proofErr w:type="spellStart"/>
      <w:r w:rsidRPr="005F6459">
        <w:rPr>
          <w:sz w:val="22"/>
          <w:szCs w:val="16"/>
        </w:rPr>
        <w:t>Ayerbe</w:t>
      </w:r>
      <w:proofErr w:type="spellEnd"/>
      <w:r w:rsidRPr="005F6459">
        <w:rPr>
          <w:sz w:val="22"/>
          <w:szCs w:val="16"/>
        </w:rPr>
        <w:t xml:space="preserve">. </w:t>
      </w:r>
      <w:r w:rsidRPr="005F6459">
        <w:rPr>
          <w:i/>
          <w:sz w:val="22"/>
          <w:szCs w:val="16"/>
          <w:lang w:val="en-US"/>
        </w:rPr>
        <w:t>The self-organization of ball bouncing</w:t>
      </w:r>
      <w:r w:rsidRPr="005F6459">
        <w:rPr>
          <w:sz w:val="22"/>
          <w:szCs w:val="16"/>
          <w:lang w:val="en-US"/>
        </w:rPr>
        <w:t xml:space="preserve">. Biological Cybernetics (Modeling), Springer </w:t>
      </w:r>
      <w:proofErr w:type="spellStart"/>
      <w:r w:rsidRPr="005F6459">
        <w:rPr>
          <w:sz w:val="22"/>
          <w:szCs w:val="16"/>
          <w:lang w:val="en-US"/>
        </w:rPr>
        <w:t>Verlag</w:t>
      </w:r>
      <w:proofErr w:type="spellEnd"/>
      <w:r w:rsidRPr="005F6459">
        <w:rPr>
          <w:sz w:val="22"/>
          <w:szCs w:val="16"/>
          <w:lang w:val="en-US"/>
        </w:rPr>
        <w:t>, 2018</w:t>
      </w:r>
    </w:p>
    <w:p w:rsidR="00B11C7B" w:rsidRPr="000B4312" w:rsidRDefault="00947255" w:rsidP="000B4312">
      <w:pPr>
        <w:pStyle w:val="Corpsdetexte"/>
        <w:jc w:val="both"/>
        <w:rPr>
          <w:rFonts w:hint="eastAsia"/>
          <w:sz w:val="22"/>
          <w:lang w:val="en-US"/>
        </w:rPr>
      </w:pPr>
      <w:r w:rsidRPr="00F75F7B">
        <w:rPr>
          <w:sz w:val="22"/>
          <w:lang w:val="en-US"/>
        </w:rPr>
        <w:t xml:space="preserve">M. S. </w:t>
      </w:r>
      <w:proofErr w:type="spellStart"/>
      <w:r w:rsidRPr="00F75F7B">
        <w:rPr>
          <w:sz w:val="22"/>
          <w:lang w:val="en-US"/>
        </w:rPr>
        <w:t>Erden</w:t>
      </w:r>
      <w:proofErr w:type="spellEnd"/>
      <w:r w:rsidRPr="00F75F7B">
        <w:rPr>
          <w:sz w:val="22"/>
          <w:lang w:val="en-US"/>
        </w:rPr>
        <w:t xml:space="preserve"> and A. </w:t>
      </w:r>
      <w:proofErr w:type="spellStart"/>
      <w:r w:rsidRPr="00F75F7B">
        <w:rPr>
          <w:sz w:val="22"/>
          <w:lang w:val="en-US"/>
        </w:rPr>
        <w:t>Billard</w:t>
      </w:r>
      <w:proofErr w:type="spellEnd"/>
      <w:r w:rsidRPr="00F75F7B">
        <w:rPr>
          <w:sz w:val="22"/>
          <w:lang w:val="en-US"/>
        </w:rPr>
        <w:t xml:space="preserve">, </w:t>
      </w:r>
      <w:r w:rsidRPr="00F75F7B">
        <w:rPr>
          <w:i/>
          <w:sz w:val="22"/>
          <w:lang w:val="en-US"/>
        </w:rPr>
        <w:t>Hand Impedance Measurements During Interactive Manual Welding With a Robot</w:t>
      </w:r>
      <w:r w:rsidRPr="00F75F7B">
        <w:rPr>
          <w:sz w:val="22"/>
          <w:lang w:val="en-US"/>
        </w:rPr>
        <w:t xml:space="preserve">, in </w:t>
      </w:r>
      <w:r w:rsidRPr="00F75F7B">
        <w:rPr>
          <w:rStyle w:val="Accentuation"/>
          <w:sz w:val="22"/>
          <w:lang w:val="en-US"/>
        </w:rPr>
        <w:t>IEEE Transactions on Robotics</w:t>
      </w:r>
      <w:r w:rsidRPr="00F75F7B">
        <w:rPr>
          <w:sz w:val="22"/>
          <w:lang w:val="en-US"/>
        </w:rPr>
        <w:t>, vol. 31, no. 1, pp. 168-179, Feb. 2015.</w:t>
      </w:r>
    </w:p>
    <w:sectPr w:rsidR="00B11C7B" w:rsidRPr="000B4312">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Liberation Sans">
    <w:altName w:val="Arial"/>
    <w:charset w:val="01"/>
    <w:family w:val="swiss"/>
    <w:pitch w:val="variable"/>
  </w:font>
  <w:font w:name="Microsoft YaHei">
    <w:panose1 w:val="020B0503020204020204"/>
    <w:charset w:val="86"/>
    <w:family w:val="swiss"/>
    <w:pitch w:val="variable"/>
    <w:sig w:usb0="80000287" w:usb1="28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Titre1"/>
      <w:suff w:val="nothing"/>
      <w:lvlText w:val=""/>
      <w:lvlJc w:val="left"/>
      <w:pPr>
        <w:tabs>
          <w:tab w:val="num" w:pos="432"/>
        </w:tabs>
        <w:ind w:left="432" w:hanging="432"/>
      </w:pPr>
    </w:lvl>
    <w:lvl w:ilvl="1">
      <w:start w:val="1"/>
      <w:numFmt w:val="none"/>
      <w:pStyle w:val="Titre2"/>
      <w:suff w:val="nothing"/>
      <w:lvlText w:val=""/>
      <w:lvlJc w:val="left"/>
      <w:pPr>
        <w:tabs>
          <w:tab w:val="num" w:pos="576"/>
        </w:tabs>
        <w:ind w:left="576" w:hanging="576"/>
      </w:pPr>
    </w:lvl>
    <w:lvl w:ilvl="2">
      <w:start w:val="1"/>
      <w:numFmt w:val="none"/>
      <w:pStyle w:val="Titre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940"/>
    <w:rsid w:val="0002517F"/>
    <w:rsid w:val="000B4312"/>
    <w:rsid w:val="001B7D6D"/>
    <w:rsid w:val="00272494"/>
    <w:rsid w:val="002A4940"/>
    <w:rsid w:val="002E6DF0"/>
    <w:rsid w:val="003601ED"/>
    <w:rsid w:val="00384C35"/>
    <w:rsid w:val="00391248"/>
    <w:rsid w:val="00470553"/>
    <w:rsid w:val="004F68CD"/>
    <w:rsid w:val="00560EF0"/>
    <w:rsid w:val="005F6459"/>
    <w:rsid w:val="00681A9D"/>
    <w:rsid w:val="00783AA3"/>
    <w:rsid w:val="008E4EEC"/>
    <w:rsid w:val="00947255"/>
    <w:rsid w:val="00990B7B"/>
    <w:rsid w:val="00A11DBF"/>
    <w:rsid w:val="00B11C7B"/>
    <w:rsid w:val="00B14D10"/>
    <w:rsid w:val="00BC5C90"/>
    <w:rsid w:val="00C15F13"/>
    <w:rsid w:val="00C55663"/>
    <w:rsid w:val="00F75F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747AAB66-ACDB-4C70-94C8-237A7352F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SimSun" w:hAnsi="Liberation Serif" w:cs="Mangal"/>
      <w:kern w:val="1"/>
      <w:sz w:val="24"/>
      <w:szCs w:val="24"/>
      <w:lang w:eastAsia="zh-CN" w:bidi="hi-IN"/>
    </w:rPr>
  </w:style>
  <w:style w:type="paragraph" w:styleId="Titre1">
    <w:name w:val="heading 1"/>
    <w:basedOn w:val="Titre10"/>
    <w:next w:val="Corpsdetexte"/>
    <w:qFormat/>
    <w:pPr>
      <w:numPr>
        <w:numId w:val="1"/>
      </w:numPr>
      <w:outlineLvl w:val="0"/>
    </w:pPr>
    <w:rPr>
      <w:b/>
      <w:bCs/>
      <w:sz w:val="36"/>
      <w:szCs w:val="36"/>
    </w:rPr>
  </w:style>
  <w:style w:type="paragraph" w:styleId="Titre2">
    <w:name w:val="heading 2"/>
    <w:basedOn w:val="Titre10"/>
    <w:next w:val="Corpsdetexte"/>
    <w:qFormat/>
    <w:pPr>
      <w:numPr>
        <w:ilvl w:val="1"/>
        <w:numId w:val="1"/>
      </w:numPr>
      <w:spacing w:before="200"/>
      <w:outlineLvl w:val="1"/>
    </w:pPr>
    <w:rPr>
      <w:b/>
      <w:bCs/>
      <w:sz w:val="32"/>
      <w:szCs w:val="32"/>
    </w:rPr>
  </w:style>
  <w:style w:type="paragraph" w:styleId="Titre3">
    <w:name w:val="heading 3"/>
    <w:basedOn w:val="Titre10"/>
    <w:next w:val="Corpsdetexte"/>
    <w:qFormat/>
    <w:pPr>
      <w:numPr>
        <w:ilvl w:val="2"/>
        <w:numId w:val="1"/>
      </w:numPr>
      <w:spacing w:before="140"/>
      <w:outlineLvl w:val="2"/>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0">
    <w:name w:val="Titre1"/>
    <w:basedOn w:val="Normal"/>
    <w:next w:val="Corpsdetexte"/>
    <w:pPr>
      <w:keepNext/>
      <w:spacing w:before="240" w:after="120"/>
    </w:pPr>
    <w:rPr>
      <w:rFonts w:ascii="Liberation Sans" w:eastAsia="Microsoft YaHei"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styleId="Lgende">
    <w:name w:val="caption"/>
    <w:basedOn w:val="Normal"/>
    <w:uiPriority w:val="35"/>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re">
    <w:name w:val="Title"/>
    <w:basedOn w:val="Titre10"/>
    <w:next w:val="Corpsdetexte"/>
    <w:qFormat/>
    <w:pPr>
      <w:jc w:val="center"/>
    </w:pPr>
    <w:rPr>
      <w:b/>
      <w:bCs/>
      <w:sz w:val="56"/>
      <w:szCs w:val="56"/>
    </w:rPr>
  </w:style>
  <w:style w:type="paragraph" w:styleId="Sous-titre">
    <w:name w:val="Subtitle"/>
    <w:basedOn w:val="Titre10"/>
    <w:next w:val="Corpsdetexte"/>
    <w:qFormat/>
    <w:pPr>
      <w:spacing w:before="60"/>
      <w:jc w:val="center"/>
    </w:pPr>
    <w:rPr>
      <w:sz w:val="36"/>
      <w:szCs w:val="36"/>
    </w:rPr>
  </w:style>
  <w:style w:type="character" w:styleId="Accentuation">
    <w:name w:val="Emphasis"/>
    <w:basedOn w:val="Policepardfaut"/>
    <w:uiPriority w:val="20"/>
    <w:qFormat/>
    <w:rsid w:val="00947255"/>
    <w:rPr>
      <w:i/>
      <w:iCs/>
    </w:rPr>
  </w:style>
  <w:style w:type="character" w:styleId="Textedelespacerserv">
    <w:name w:val="Placeholder Text"/>
    <w:basedOn w:val="Policepardfaut"/>
    <w:uiPriority w:val="99"/>
    <w:semiHidden/>
    <w:rsid w:val="008E4E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Pages>
  <Words>463</Words>
  <Characters>2549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 m</dc:creator>
  <cp:keywords/>
  <dc:description/>
  <cp:lastModifiedBy>Auto</cp:lastModifiedBy>
  <cp:revision>22</cp:revision>
  <cp:lastPrinted>2019-10-08T12:32:00Z</cp:lastPrinted>
  <dcterms:created xsi:type="dcterms:W3CDTF">2019-10-04T12:19:00Z</dcterms:created>
  <dcterms:modified xsi:type="dcterms:W3CDTF">2019-10-08T12:33:00Z</dcterms:modified>
</cp:coreProperties>
</file>