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jpeg" ContentType="image/jpe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footer20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header10.xml" ContentType="application/vnd.openxmlformats-officedocument.wordprocessingml.header+xml"/>
  <Override PartName="/word/footer2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</w:t>
            </w:r>
            <w:r>
              <w:rPr>
                <w:rFonts w:eastAsia="Calibri"/>
              </w:rPr>
              <w:t>_</w:t>
            </w:r>
            <w:r>
              <w:rPr>
                <w:rFonts w:eastAsia="Calibri"/>
              </w:rPr>
              <w:t>_______1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_февраля 202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</w:t>
            </w:r>
            <w:r>
              <w:rPr/>
              <w:t>5</w:t>
            </w:r>
            <w:r>
              <w:rPr/>
              <w:t>_февраля_202</w:t>
            </w:r>
            <w:r>
              <w:rPr/>
              <w:t>4</w:t>
            </w:r>
            <w:r>
              <w:rPr/>
              <w:t xml:space="preserve">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Техническое задание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ТЗ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</w:t>
            </w:r>
            <w:r>
              <w:rPr/>
              <w:t>5</w:t>
            </w:r>
            <w:r>
              <w:rPr/>
              <w:t>_февраля_202</w:t>
            </w:r>
            <w:r>
              <w:rPr/>
              <w:t>4</w:t>
            </w:r>
            <w:r>
              <w:rPr/>
              <w:t xml:space="preserve">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ТЗ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Техническое задание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ТЗ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 xml:space="preserve">Листов </w:t>
      </w:r>
      <w:r>
        <w:rPr>
          <w:b/>
        </w:rPr>
        <w:t>19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/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/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</w:r>
          </w:hyperlink>
          <w:r>
            <w:rPr/>
            <w:t>12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numPr>
              <w:ilvl w:val="0"/>
              <w:numId w:val="9"/>
            </w:numPr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7</w:t>
          </w:r>
          <w:r>
            <w:rPr/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программы – «Высокопроизводительный Настраиваемый </w:t>
      </w:r>
      <w:r>
        <w:rPr/>
        <w:t>HTTP Сервер</w:t>
      </w:r>
      <w:r>
        <w:rPr/>
        <w:t>» («</w:t>
      </w:r>
      <w:r>
        <w:rPr/>
        <w:t>High Perfomance Customizable HTTP Server»</w:t>
      </w:r>
      <w:r>
        <w:rPr/>
        <w:t>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Данный IT продукт представляет из себя высокоуровневую C++ библиотеку, которая дает возможность быстро проектировать и разворачивать REST API на языке С++, минуя такие низкоуровневые детали, как сокеты, потоки, контексты и т.д.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темы разработки – «Высокопроизводительный Настраиваемый </w:t>
      </w:r>
      <w:r>
        <w:rPr/>
        <w:t>HTTP Сервер</w:t>
      </w:r>
      <w:r>
        <w:rPr/>
        <w:t xml:space="preserve">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 xml:space="preserve">Высокопроизводительный Настраиваемый </w:t>
      </w:r>
      <w:r>
        <w:rPr>
          <w:color w:val="000000"/>
        </w:rPr>
        <w:t>HTTP Сервер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72106857"/>
      <w:bookmarkStart w:id="9" w:name="_Toc451368042"/>
      <w:bookmarkStart w:id="10" w:name="_Toc419906177"/>
      <w:bookmarkStart w:id="11" w:name="_Toc419906042"/>
      <w:bookmarkStart w:id="12" w:name="_Toc412051667"/>
      <w:bookmarkStart w:id="13" w:name="_Toc412048444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Функциональным назначением программы является предоставление программисту возможности быстро и удобно проектировать </w:t>
      </w:r>
      <w:r>
        <w:rPr/>
        <w:t>REST API на языке С++, не погружаясь в детали реализации REST API. Данный продукт является отличным решением для команд разработки, пишущих на С++, так как позволит им не менять стек разработки, в том числе и ЯП, при появлении требования в необходимости наличия REST API для каких бы то ни было целей.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bookmarkStart w:id="14" w:name="_Toc72106858"/>
      <w:bookmarkStart w:id="15" w:name="_Toc451368043"/>
      <w:bookmarkStart w:id="16" w:name="_Toc419906178"/>
      <w:bookmarkStart w:id="17" w:name="_Toc419906043"/>
      <w:bookmarkStart w:id="18" w:name="_Toc412051668"/>
      <w:bookmarkStart w:id="19" w:name="_Toc412048445"/>
      <w:r>
        <w:rPr>
          <w:rFonts w:cs="Times New Roman"/>
          <w:color w:val="000000"/>
          <w:sz w:val="24"/>
          <w:szCs w:val="24"/>
          <w:shd w:fill="auto" w:val="clear"/>
        </w:rPr>
        <w:t xml:space="preserve">3.2.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Многие существующие </w:t>
      </w:r>
      <w:r>
        <w:rPr/>
        <w:t xml:space="preserve">IT </w:t>
      </w:r>
      <w:r>
        <w:rPr/>
        <w:t>продукты написаны на С</w:t>
      </w:r>
      <w:r>
        <w:rPr/>
        <w:t>++. Этот ЯП славится своей производительностью и универсальностью, однако многие более новые языки (например, Джава, С#, Го) позволяют разрабатывать такие же продукты в разы быстрее.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Зачастую командам невозможно поменять стек разработки по разным причинам (например, слишком большое наследние, функционал которого нельзя перенести на современный технологический стек с точки зрения бизнес-value и затраченного на разработку времени). Чтобы не оказаться вне рынка с текущим «устаревшим» продуктом, его разработчикам приходится имплементировать современные features на старом технологическом стеке. Для одной из таких features, а именно REST API, которое присутствует во многих промышленных системах, и предназначена данная библиотека. Она призвана значительно сокращать время на разработку REST API и добиваться наибольшего значения соотношения «бизнес-value / затраченное на разработку время». 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Для подключения данной библиотеки достаточно импортировать один заголовочный файл, который, в свою очередь, будет подключать другие заголовочные файлы. Настраивать зависимости будет система автоматизации сборки проектов </w:t>
      </w:r>
      <w:r>
        <w:rPr/>
        <w:t xml:space="preserve">CMake. </w:t>
      </w:r>
      <w:r>
        <w:rPr/>
        <w:t>Такой способ подключения  является наиболее современным и простым, и именно поэтому многие разработчики придерживаются такого подхода при написании собственных библиотек, фреймворков и модулей.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FFFFFF" w:val="clear"/>
        </w:rPr>
      </w:pPr>
      <w:bookmarkStart w:id="21" w:name="_Toc72106860"/>
      <w:r>
        <w:rPr>
          <w:rFonts w:cs="Times New Roman"/>
          <w:color w:val="000000"/>
          <w:sz w:val="24"/>
          <w:szCs w:val="24"/>
          <w:shd w:fill="FFFFFF" w:val="clear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 на С</w:t>
      </w:r>
      <w:r>
        <w:rPr/>
        <w:t>++</w:t>
      </w:r>
      <w:r>
        <w:rPr/>
        <w:t xml:space="preserve">, в который портируется </w:t>
      </w:r>
      <w:r>
        <w:rPr/>
        <w:t>http сервер (исходный код может быть представлен в файлах с расширениями .cpp, .h, .hpp). В качестве системы автоматизации сборки проекта рекомендуется использовать CMake, так как в таком случае будет намного проще настроить зависимости, необходимые для подключаемого http сервера. Исходный код проекта до подключения данного фреймворка должен компилироваться успешно и проект должен собираться корректно.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свою очередь, после подключения фреймворка </w:t>
      </w:r>
      <w:r>
        <w:rPr/>
        <w:t xml:space="preserve">(после успешного подключения всех необходимых для его работы файлов и успешной настройки необходимых зависимостей) </w:t>
      </w:r>
      <w:r>
        <w:rPr/>
        <w:t xml:space="preserve">в исходном коде создается объект </w:t>
      </w:r>
      <w:r>
        <w:rPr/>
        <w:t>http сервера. При проектировании REST API для создания очередного эндпоинта необходимо воспользоваться соответствующим методом созданного http сервера.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Касательно требований к входным данным, программисту необходимо ознакомиться с внутренней справкой / документацией </w:t>
      </w:r>
      <w:r>
        <w:rPr/>
        <w:t>http сервера</w:t>
      </w:r>
      <w:r>
        <w:rPr/>
        <w:t xml:space="preserve">, которая исчерпывающе описывает, как с помощью него проектировать </w:t>
      </w:r>
      <w:r>
        <w:rPr/>
        <w:t>REST API.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72106863"/>
      <w:bookmarkStart w:id="25" w:name="_Toc451881022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Результат работы сервера должен представлять собой действующий </w:t>
      </w:r>
      <w:r>
        <w:rPr>
          <w:rFonts w:cs="Times New Roman"/>
          <w:color w:val="auto"/>
        </w:rPr>
        <w:t>REST API, а также файлы с логированием. Отследить корректность работы можно с помощью логов, настроенных на максимально возможный уровень — DEBUG 5, а также с помощью непосредственно функционального тестирования написанного REST API. Если в логах была обнаружена хоть одна ошибка, сервер имеет неопределенное поведение.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сервера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сервера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может быть использована как одним человеком, так и группой лиц.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сервера).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480447386"/>
      <w:bookmarkStart w:id="37" w:name="_Toc72106871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72106872"/>
      <w:bookmarkStart w:id="40" w:name="_Toc480447387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72106873"/>
      <w:bookmarkStart w:id="42" w:name="_Toc480447388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.cpp, .h и .</w:t>
      </w:r>
      <w:r>
        <w:rPr/>
        <w:t xml:space="preserve">hpp </w:t>
      </w:r>
      <w:r>
        <w:rPr/>
        <w:t>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3"/>
          <w:headerReference w:type="first" r:id="rId24"/>
          <w:footerReference w:type="default" r:id="rId25"/>
          <w:footerReference w:type="first" r:id="rId2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маркировке и упаковке не предъя</w:t>
      </w:r>
      <w:bookmarkEnd w:id="43"/>
      <w:r>
        <w:rPr/>
        <w:t>вляются.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72106880"/>
      <w:bookmarkStart w:id="51" w:name="_Toc480447391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>«</w:t>
      </w:r>
      <w:r>
        <w:rPr>
          <w:b w:val="false"/>
          <w:bCs w:val="false"/>
        </w:rPr>
        <w:t xml:space="preserve">Высокопроизводительный Настраиваемый </w:t>
      </w:r>
      <w:r>
        <w:rPr>
          <w:b w:val="false"/>
          <w:bCs w:val="false"/>
        </w:rPr>
        <w:t>HTTP Сервер</w:t>
      </w:r>
      <w:r>
        <w:rPr/>
        <w:t xml:space="preserve">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 xml:space="preserve">Высокопроизводительный Настраиваемый </w:t>
      </w:r>
      <w:r>
        <w:rPr>
          <w:b w:val="false"/>
          <w:bCs w:val="false"/>
          <w:color w:val="auto"/>
        </w:rPr>
        <w:t>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 xml:space="preserve">Высокопроизводительный Настраиваемый </w:t>
      </w:r>
      <w:r>
        <w:rPr>
          <w:b w:val="false"/>
          <w:bCs w:val="false"/>
          <w:color w:val="auto"/>
        </w:rPr>
        <w:t>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 xml:space="preserve">Высокопроизводительный Настраиваемый </w:t>
      </w:r>
      <w:r>
        <w:rPr>
          <w:b w:val="false"/>
          <w:bCs w:val="false"/>
          <w:color w:val="auto"/>
        </w:rPr>
        <w:t>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 xml:space="preserve">Высокопроизводительный Настраиваемый </w:t>
      </w:r>
      <w:r>
        <w:rPr>
          <w:b w:val="false"/>
          <w:bCs w:val="false"/>
          <w:color w:val="auto"/>
        </w:rPr>
        <w:t>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451904866"/>
      <w:bookmarkStart w:id="53" w:name="_Toc420181138"/>
      <w:bookmarkStart w:id="54" w:name="_Toc419906189"/>
      <w:bookmarkStart w:id="55" w:name="_Toc419906054"/>
      <w:bookmarkStart w:id="56" w:name="_Toc72106881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</w:t>
      </w:r>
      <w:r>
        <w:rPr/>
        <w:t>3</w:t>
      </w:r>
      <w:r>
        <w:rPr/>
        <w:t xml:space="preserve">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Данный сервер могут использовать все разработчики с компилятором gcc версии не ниже 14 или компилятором clang версии не ниже 3.4, которым нужно быстро добавить </w:t>
      </w:r>
      <w:r>
        <w:rPr/>
        <w:t>REST API в свою программу.</w:t>
      </w:r>
      <w:r>
        <w:rPr/>
        <w:t xml:space="preserve"> Данный сервер предлагает простое, быстрое, легковесное и одновременно высокопроизводительное решение данной проблемы, упрощая жизнь разработчикам.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72106885"/>
      <w:bookmarkStart w:id="61" w:name="_Toc480447396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На момент создания программы наиболее используемыми  аналогами в области </w:t>
      </w:r>
      <w:r>
        <w:rPr/>
        <w:t>http серверов-микрофреймворков</w:t>
      </w:r>
      <w:r>
        <w:rPr/>
        <w:t xml:space="preserve"> являются: </w:t>
      </w:r>
      <w:r>
        <w:rPr/>
        <w:t>Crow, Pistache, Beast.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Общий недостаток всех этих продуктов — недостаточный уровень абстракции для использования их возможностей в условиях ограниченных временных ресурсов. Данные фреймворки предоставляют более сложный интерфейс для создания </w:t>
      </w:r>
      <w:r>
        <w:rPr/>
        <w:t>REST API, нежели текущий http сервер. В итоге в большинстве случаев они требуют больше времени для имплементации той же функциональности, которую предлагает мой сервис.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Если рассматривать найденных «конкурентов» по отдельности, то можно выявить следующие особенности. 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Pistache: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. Сложность и документация: начальная настройка и использование Pistache может потребовать много времени из-за относительно сложной структуры и ограниченной документации.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/>
          <w:color w:val="000000"/>
          <w:sz w:val="24"/>
          <w:szCs w:val="24"/>
        </w:rPr>
        <w:t>Ограниченные возможности масштабирования: хотя Pistache предлагает хорошую производительность, в некоторых случаях могут возникать ограничения в масштабировании и обработке больших нагрузок, особенно в сравнении с другими более распространенными фреймворками.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Crow: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1. Ограничения масштабируемости: В некоторых случаях Crow может иметь ограничения по масштабируемости и производительности в сравнении с иными фреймворками.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2. Отсутствие полной стандартной поддержки: иногда Crow может не поддерживать все стандарты и спецификации, которые могут потребоваться для конкретных задач, требуя дополнительной настройки и расширений.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Beast: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color w:val="000000"/>
          <w:sz w:val="24"/>
          <w:szCs w:val="24"/>
        </w:rPr>
        <w:t xml:space="preserve">Сложность использования: Beast является частью библиотеки Boost, которая является довольно низкоуровневой абстракцией для работы с сетью. С помощью этого инструмента будет сложно разрабатывать </w:t>
      </w:r>
      <w:r>
        <w:rPr>
          <w:rFonts w:ascii="Times New Roman" w:hAnsi="Times New Roman"/>
          <w:color w:val="000000"/>
          <w:sz w:val="24"/>
          <w:szCs w:val="24"/>
        </w:rPr>
        <w:t>REST API «с нуля».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2. Обширная документация: из-за того, что Beast является низкоуровневой основой для построения REST API, то и документация его значительно больше других рассмотренных REST API решений.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Подытожив, можно сказать, что такие инструменты разработки, как данный фреймворк, являются передовыми средствами разработки на современном С++, так как имеют достаточный уровень абстракции, что позволяет разработчикам данного языка повысить свой perfomance, затрачивая существенно меньше времени на создание таких популярных решений, как REST API.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72106886"/>
      <w:bookmarkStart w:id="63" w:name="_Toc379572142"/>
      <w:bookmarkStart w:id="64" w:name="_Toc420452735"/>
      <w:bookmarkStart w:id="65" w:name="_Toc451694220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213"/>
      <w:bookmarkStart w:id="68" w:name="_Toc379718361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7"/>
          <w:headerReference w:type="first" r:id="rId28"/>
          <w:footerReference w:type="default" r:id="rId29"/>
          <w:footerReference w:type="first" r:id="rId3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ВШЭ, проект дисциплины «Курсовой проект, 2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мая 202</w:t>
      </w:r>
      <w:r>
        <w:rPr/>
        <w:t>4</w:t>
      </w:r>
      <w:r>
        <w:rPr/>
        <w:t xml:space="preserve"> года.</w:t>
      </w:r>
    </w:p>
    <w:p>
      <w:pPr>
        <w:sectPr>
          <w:headerReference w:type="default" r:id="rId31"/>
          <w:headerReference w:type="first" r:id="rId32"/>
          <w:footerReference w:type="default" r:id="rId33"/>
          <w:footerReference w:type="first" r:id="rId3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5"/>
          <w:headerReference w:type="first" r:id="rId36"/>
          <w:footerReference w:type="default" r:id="rId37"/>
          <w:footerReference w:type="first" r:id="rId3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>Pistache</w:t>
      </w:r>
      <w:r>
        <w:rPr/>
        <w:t xml:space="preserve"> — </w:t>
      </w:r>
      <w:r>
        <w:rPr/>
        <w:t>REST API framework</w:t>
      </w:r>
      <w:r>
        <w:rPr/>
        <w:t xml:space="preserve"> [Электронный ресурс] Режим доступа: </w:t>
      </w:r>
      <w:r>
        <w:rPr>
          <w:rStyle w:val="InternetLink"/>
        </w:rPr>
        <w:t>https://github.com/pistacheio/pistache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>Crow</w:t>
      </w:r>
      <w:r>
        <w:rPr/>
        <w:t xml:space="preserve"> – </w:t>
      </w:r>
      <w:r>
        <w:rPr/>
        <w:t xml:space="preserve">REST API framework </w:t>
      </w:r>
      <w:r>
        <w:rPr/>
        <w:t xml:space="preserve">[Электронный ресурс] Режим доступа: </w:t>
      </w:r>
      <w:r>
        <w:rPr>
          <w:rStyle w:val="InternetLink"/>
        </w:rPr>
        <w:t>https://github.com/CrowCpp/Crow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 xml:space="preserve">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>Beast - REST API framework</w:t>
      </w:r>
      <w:r>
        <w:rPr/>
        <w:t xml:space="preserve"> [Электронный ресурс] Режим доступа: </w:t>
      </w:r>
      <w:hyperlink r:id="rId39">
        <w:r>
          <w:rPr>
            <w:rStyle w:val="InternetLink"/>
          </w:rPr>
          <w:t>https://www.boost.org/doc/libs/master/libs/beast/doc/html/index.html</w:t>
        </w:r>
      </w:hyperlink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 xml:space="preserve">Статья про REST API в целом </w:t>
      </w:r>
      <w:r>
        <w:rPr>
          <w:lang w:val="en-US"/>
        </w:rPr>
        <w:t>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https://habr.com/ru/articles/483202/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 xml:space="preserve">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https://aws.amazon.com/ru/what-is/restful-api/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https://blog.skillfactory.ru/glossary/rest-api/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</w:t>
      </w:r>
      <w:r>
        <w:rPr/>
        <w:t xml:space="preserve"> [Электронный ресурс] / Wikipedia. Режим доступа:  </w:t>
      </w:r>
      <w:r>
        <w:rPr>
          <w:rStyle w:val="InternetLink"/>
        </w:rPr>
        <w:t>https://ru.wikipedia.org/wiki/REST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 xml:space="preserve">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</w:t>
      </w:r>
      <w:r>
        <w:rPr/>
        <w:t xml:space="preserve">RESTful APIs </w:t>
      </w:r>
      <w:r>
        <w:rPr/>
        <w:t xml:space="preserve">[Электронный ресурс]. Режим доступа: </w:t>
      </w:r>
      <w:hyperlink r:id="rId40">
        <w:r>
          <w:rPr>
            <w:rStyle w:val="InternetLink"/>
          </w:rPr>
          <w:t>https://www.astera.com/type/blog/rest-api-definition/</w:t>
        </w:r>
      </w:hyperlink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</w:t>
      </w:r>
      <w:r>
        <w:rPr/>
        <w:t>REST API</w:t>
      </w:r>
      <w:r>
        <w:rPr/>
        <w:t xml:space="preserve"> [Электронный ресурс]. Режим доступа: </w:t>
      </w:r>
      <w:r>
        <w:rPr>
          <w:rStyle w:val="InternetLink"/>
        </w:rPr>
        <w:t>https://www.youtube.com/watch?v=-mN3VyJuCjM</w:t>
      </w:r>
      <w:r>
        <w:rPr/>
        <w:t xml:space="preserve">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</w:t>
      </w:r>
      <w:r>
        <w:rPr/>
        <w:t>IBM про REST API</w:t>
      </w:r>
      <w:r>
        <w:rPr/>
        <w:t xml:space="preserve"> [Электронный ресурс] / </w:t>
      </w:r>
      <w:r>
        <w:rPr/>
        <w:t>IBM</w:t>
      </w:r>
      <w:r>
        <w:rPr/>
        <w:t xml:space="preserve">; Режим доступа: </w:t>
      </w:r>
      <w:r>
        <w:rPr>
          <w:rStyle w:val="InternetLink"/>
        </w:rPr>
        <w:t>https://www.ibm.com/topics/rest-apis</w:t>
      </w:r>
      <w:r>
        <w:rPr/>
        <w:t xml:space="preserve">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2" w:name="_Toc72106891"/>
      <w:r>
        <w:rPr>
          <w:color w:val="auto"/>
        </w:rPr>
        <w:t>ЛИСТ РЕГИСТРАЦИИ ИЗМЕНЕНИЙ</w:t>
      </w:r>
      <w:bookmarkEnd w:id="72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6"/>
      <w:headerReference w:type="first" r:id="rId47"/>
      <w:footerReference w:type="default" r:id="rId48"/>
      <w:footerReference w:type="first" r:id="rId49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yandex-san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</w:t>
    </w:r>
    <w:r>
      <w:rPr>
        <w:b/>
      </w:rPr>
      <w:t>4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5"/>
      <w:gridCol w:w="1676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58948398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184647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8790135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8043720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5512060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9404131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5048650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ТЗ 01-1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4301062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9641555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2087867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6979464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header" Target="head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header" Target="head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yperlink" Target="https://www.boost.org/doc/libs/master/libs/beast/doc/html/index.html" TargetMode="External"/><Relationship Id="rId40" Type="http://schemas.openxmlformats.org/officeDocument/2006/relationships/hyperlink" Target="https://en.wikibooks.org/wiki/Introduction_to_Software_Engineering/Testing/Profiling" TargetMode="Externa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image" Target="media/image3.jpeg"/><Relationship Id="rId46" Type="http://schemas.openxmlformats.org/officeDocument/2006/relationships/header" Target="header20.xml"/><Relationship Id="rId47" Type="http://schemas.openxmlformats.org/officeDocument/2006/relationships/header" Target="header21.xml"/><Relationship Id="rId48" Type="http://schemas.openxmlformats.org/officeDocument/2006/relationships/footer" Target="footer21.xml"/><Relationship Id="rId49" Type="http://schemas.openxmlformats.org/officeDocument/2006/relationships/footer" Target="footer22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<Relationship Id="rId5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34924</TotalTime>
  <Application>LibreOffice/7.5.0.3$MacOSX_AARCH64 LibreOffice_project/c21113d003cd3efa8c53188764377a8272d9d6de</Application>
  <AppVersion>15.0000</AppVersion>
  <Pages>21</Pages>
  <Words>3015</Words>
  <Characters>20976</Characters>
  <CharactersWithSpaces>23633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2024-02-07T20:37:43Z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