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jpeg" ContentType="image/jpe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7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footer23.xml" ContentType="application/vnd.openxmlformats-officedocument.wordprocessingml.footer+xml"/>
  <Override PartName="/word/header15.xml" ContentType="application/vnd.openxmlformats-officedocument.wordprocessingml.head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header12.xml" ContentType="application/vnd.openxmlformats-officedocument.wordprocessingml.header+xml"/>
  <Override PartName="/word/footer20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___________10_марта 2024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____________10_марта_2024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Пояснительная записка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_____________10_марта_2024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Пояснительная записка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33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rStyle w:val="IndexLink"/>
              </w:rPr>
              <w:tab/>
            </w:r>
          </w:hyperlink>
          <w:r>
            <w:rPr/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</w:r>
          </w:hyperlink>
          <w:r>
            <w:rPr/>
            <w:t>13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numPr>
              <w:ilvl w:val="0"/>
              <w:numId w:val="9"/>
            </w:numPr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18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0">
            <w:r>
              <w:rPr>
                <w:webHidden/>
                <w:rStyle w:val="IndexLink"/>
                <w:rFonts w:cs="Times New Roman"/>
                <w:b w:val="false"/>
                <w:bCs w:val="false"/>
                <w:vanish w:val="false"/>
              </w:rPr>
              <w:t>ПРИЛОЖЕНИЕ 1……………………………………………………………………………….</w:t>
            </w:r>
          </w:hyperlink>
          <w:r>
            <w:rPr>
              <w:rFonts w:cs="Times New Roman"/>
              <w:b w:val="false"/>
              <w:bCs w:val="false"/>
              <w:vanish w:val="false"/>
            </w:rPr>
            <w:t>20</w:t>
          </w:r>
        </w:p>
        <w:p>
          <w:pPr>
            <w:pStyle w:val="Contents1"/>
            <w:widowControl/>
            <w:suppressAutoHyphens w:val="true"/>
            <w:bidi w:val="0"/>
            <w:spacing w:before="120" w:after="0"/>
            <w:jc w:val="left"/>
            <w:rPr>
              <w:rFonts w:ascii="Times New Roman" w:hAnsi="Times New Roman"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</w:pPr>
          <w:r>
            <w:rPr>
              <w:rFonts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  <w:t>ПРИЛОЖЕНИЕ 2……………………………………………………………………………….2</w:t>
          </w:r>
          <w:r>
            <w:rPr>
              <w:rFonts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  <w:t>7</w:t>
          </w:r>
          <w:r>
            <w:rPr>
              <w:b w:val="false"/>
              <w:kern w:val="0"/>
              <w:bCs w:val="false"/>
              <w:vanish w:val="false"/>
              <w:rFonts w:eastAsia="" w:cs="Times New Roman"/>
              <w:color w:val="auto"/>
              <w:lang w:val="ru-RU" w:eastAsia="ru-RU" w:bidi="ar-SA"/>
            </w:rPr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«Высокопроизводительный Настраиваемый HTTP Сервер» («High Perfomance Customizable HTTP Server»).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Данный IT продукт представляет из себя высокоуровневую C++ библиотеку, которая дает возможность быстро проектировать и разворачивать REST API на языке С++, минуя такие низкоуровневые детали, как сокеты, потоки, контексты и т.д.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темы разработки – «Высокопроизводительный Настраиваемый HTTP Сервер».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>Высокопроизводительный Настраиваемый HTTP Сервер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72106857"/>
      <w:bookmarkStart w:id="9" w:name="_Toc451368042"/>
      <w:bookmarkStart w:id="10" w:name="_Toc419906177"/>
      <w:bookmarkStart w:id="11" w:name="_Toc419906042"/>
      <w:bookmarkStart w:id="12" w:name="_Toc412051667"/>
      <w:bookmarkStart w:id="13" w:name="_Toc412048444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проектировать REST API на языке С++, не погружаясь в детали реализации REST API. Данный продукт является отличным решением для команд разработки, пишущих на С++, так как позволит им не менять стек разработки, в том числе и ЯП, при появлении требования в необходимости наличия REST API для каких бы то ни было целей.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bookmarkStart w:id="14" w:name="_Toc72106858"/>
      <w:bookmarkStart w:id="15" w:name="_Toc451368043"/>
      <w:bookmarkStart w:id="16" w:name="_Toc419906178"/>
      <w:bookmarkStart w:id="17" w:name="_Toc419906043"/>
      <w:bookmarkStart w:id="18" w:name="_Toc412051668"/>
      <w:bookmarkStart w:id="19" w:name="_Toc412048445"/>
      <w:r>
        <w:rPr>
          <w:rFonts w:cs="Times New Roman"/>
          <w:color w:val="000000"/>
          <w:sz w:val="24"/>
          <w:szCs w:val="24"/>
          <w:shd w:fill="auto" w:val="clear"/>
        </w:rPr>
        <w:t xml:space="preserve">3.2.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Многие существующие IT продукты написаны на С++. Этот ЯП славится своей производительностью и универсальностью, однако многие более новые языки (например, Джава, С#, Го) позволяют разрабатывать такие же продукты в разы быстрее.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Зачастую командам невозможно поменять стек разработки по разным причинам (например, слишком большое наследние, функционал которого нельзя перенести на современный технологический стек с точки зрения бизнес-value и затраченного на разработку времени). Чтобы не оказаться вне рынка с текущим «устаревшим» продуктом, его разработчикам приходится имплементировать современные features на старом технологическом стеке. Для одной из таких features, а именно REST API, которое присутствует во многих промышленных системах, и предназначена данная библиотека. Она призвана значительно сокращать время на разработку REST API и добиваться наибольшего значения соотношения «бизнес-value / затраченное на разработку время». 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Для подключения данной библиотеки достаточно импортировать один заголовочный файл, который, в свою очередь, будет подключать другие заголовочные файлы. Настраивать зависимости будет система автоматизации сборки проектов CMake. Такой способ подключения  является наиболее современным и простым, и именно поэтому многие разработчики придерживаются такого подхода при написании собственных библиотек, фреймворков и модулей.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FFFFFF" w:val="clear"/>
        </w:rPr>
      </w:pPr>
      <w:bookmarkStart w:id="21" w:name="_Toc72106860"/>
      <w:r>
        <w:rPr>
          <w:rFonts w:cs="Times New Roman"/>
          <w:color w:val="000000"/>
          <w:sz w:val="24"/>
          <w:szCs w:val="24"/>
          <w:shd w:fill="FFFFFF" w:val="clear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 на С++, в который портируется http сервер (исходный код может быть представлен в файлах с расширениями .cpp, .h, .hpp). В качестве системы автоматизации сборки проекта рекомендуется использовать CMake, так как в таком случае будет намного проще настроить зависимости, необходимые для подключаемого http сервера. Исходный код проекта до подключения данного фреймворка должен компилироваться успешно и проект должен собираться корректно.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свою очередь, после подключения фреймворка (после успешного подключения всех необходимых для его работы файлов и успешной настройки необходимых зависимостей) в исходном коде создается объект http сервера. При проектировании REST API для создания очередного эндпоинта необходимо воспользоваться соответствующим методом созданного http сервера.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Касательно требований к входным данным, программисту необходимо ознакомиться с внутренней справкой / документацией http сервера, которая исчерпывающе описывает, как с помощью него проектировать REST API.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72106863"/>
      <w:bookmarkStart w:id="25" w:name="_Toc451881022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Результат работы сервера должен представлять собой действующий REST API, а также файлы с логированием. Отследить корректность работы можно с помощью логов, настроенных на максимально возможный уровень — DEBUG 5, а также с помощью непосредственно функционального тестирования написанного REST API. Если в логах была обнаружена хоть одна ошибка, сервер имеет неопределенное поведение.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сервера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сервера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может быть использована как одним человеком, так и группой лиц.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сервера).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480447386"/>
      <w:bookmarkStart w:id="37" w:name="_Toc72106871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72106872"/>
      <w:bookmarkStart w:id="40" w:name="_Toc480447387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72106873"/>
      <w:bookmarkStart w:id="42" w:name="_Toc480447388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.cpp, .h и .hpp 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3"/>
          <w:headerReference w:type="first" r:id="rId24"/>
          <w:footerReference w:type="default" r:id="rId25"/>
          <w:footerReference w:type="first" r:id="rId2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 xml:space="preserve">Требования к маркировке и упаковке не </w:t>
      </w:r>
      <w:bookmarkEnd w:id="43"/>
      <w:r>
        <w:rPr/>
        <w:t>предъявляются.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72106880"/>
      <w:bookmarkStart w:id="51" w:name="_Toc480447391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>«</w:t>
      </w:r>
      <w:r>
        <w:rPr>
          <w:b w:val="false"/>
          <w:bCs w:val="false"/>
        </w:rPr>
        <w:t>Высокопроизводительный Настраиваемый HTTP Сервер</w:t>
      </w:r>
      <w:r>
        <w:rPr/>
        <w:t xml:space="preserve">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451904866"/>
      <w:bookmarkStart w:id="53" w:name="_Toc420181138"/>
      <w:bookmarkStart w:id="54" w:name="_Toc419906189"/>
      <w:bookmarkStart w:id="55" w:name="_Toc419906054"/>
      <w:bookmarkStart w:id="56" w:name="_Toc72106881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3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сервер могут использовать все разработчики с компилятором gcc версии не ниже 14 или компилятором clang версии не ниже 3.4, которым нужно быстро добавить REST API в свою программу. Данный сервер предлагает простое, быстрое, легковесное и одновременно высокопроизводительное решение данной проблемы, упрощая жизнь разработчикам.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72106885"/>
      <w:bookmarkStart w:id="61" w:name="_Toc480447396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http серверов-микрофреймворков являются: Crow, Pistache, Beast.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недостаточный уровень абстракции для использования их возможностей в условиях ограниченных временных ресурсов. Данные фреймворки предоставляют более сложный интерфейс для создания REST API, нежели текущий http сервер. В итоге в большинстве случаев они требуют больше времени для имплементации той же функциональности, которую предлагает мой сервис.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Если рассматривать найденных «конкурентов» по отдельности, то можно выявить следующие особенности. 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Pistache: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1. Сложность и документация: начальная настройка и использование Pistache может потребовать много времени из-за относительно сложной структуры и ограниченной документации.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Ограниченные возможности масштабирования: хотя Pistache предлагает хорошую производительность, в некоторых случаях могут возникать ограничения в масштабировании и обработке больших нагрузок, особенно в сравнении с другими более распространенными фреймворками.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Crow: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Ограничения масштабируемости: В некоторых случаях Crow может иметь ограничения по масштабируемости и производительности в сравнении с иными фреймворками.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Отсутствие полной стандартной поддержки: иногда Crow может не поддерживать все стандарты и спецификации, которые могут потребоваться для конкретных задач, требуя дополнительной настройки и расширений.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Beast: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Сложность использования: Beast является частью библиотеки Boost, которая является довольно низкоуровневой абстракцией для работы с сетью. С помощью этого инструмента будет сложно разрабатывать REST API «с нуля».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Обширная документация: из-за того, что Beast является низкоуровневой основой для построения REST API, то и документация его значительно больше других рассмотренных REST API решений.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Подытожив, можно сказать, что такие инструменты разработки, как данный фреймворк, являются передовыми средствами разработки на современном С++, так как имеют достаточный уровень абстракции, что позволяет разработчикам данного языка повысить свой perfomance, затрачивая существенно меньше времени на создание таких популярных решений, как REST API.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72106886"/>
      <w:bookmarkStart w:id="63" w:name="_Toc379572142"/>
      <w:bookmarkStart w:id="64" w:name="_Toc420452735"/>
      <w:bookmarkStart w:id="65" w:name="_Toc451694220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213"/>
      <w:bookmarkStart w:id="68" w:name="_Toc379718361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7"/>
          <w:headerReference w:type="first" r:id="rId28"/>
          <w:footerReference w:type="default" r:id="rId29"/>
          <w:footerReference w:type="first" r:id="rId3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 xml:space="preserve">ystem) НИУ ВШЭ, проект дисциплины «Курсовой проект, </w:t>
            </w:r>
            <w:r>
              <w:rPr>
                <w:kern w:val="0"/>
                <w:sz w:val="24"/>
                <w:lang w:val="ru-RU" w:bidi="ar-SA"/>
              </w:rPr>
              <w:t>3</w:t>
            </w:r>
            <w:r>
              <w:rPr>
                <w:kern w:val="0"/>
                <w:sz w:val="24"/>
                <w:lang w:val="ru-RU" w:bidi="ar-SA"/>
              </w:rPr>
              <w:t xml:space="preserve">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мая 2024 года.</w:t>
      </w:r>
    </w:p>
    <w:p>
      <w:pPr>
        <w:sectPr>
          <w:headerReference w:type="default" r:id="rId31"/>
          <w:headerReference w:type="first" r:id="rId32"/>
          <w:footerReference w:type="default" r:id="rId33"/>
          <w:footerReference w:type="first" r:id="rId3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5"/>
          <w:headerReference w:type="first" r:id="rId36"/>
          <w:footerReference w:type="default" r:id="rId37"/>
          <w:footerReference w:type="first" r:id="rId3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Pistache — REST API framework [Электронный ресурс] Режим доступа: </w:t>
      </w:r>
      <w:r>
        <w:rPr>
          <w:rStyle w:val="InternetLink"/>
        </w:rPr>
        <w:t>https://github.com/pistacheio/pistache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Crow – REST API framework [Электронный ресурс] Режим доступа: </w:t>
      </w:r>
      <w:r>
        <w:rPr>
          <w:rStyle w:val="InternetLink"/>
        </w:rPr>
        <w:t>https://github.com/CrowCpp/Crow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Beast - REST API framework [Электронный ресурс] Режим доступа: </w:t>
      </w:r>
      <w:hyperlink r:id="rId39">
        <w:r>
          <w:rPr>
            <w:rStyle w:val="InternetLink"/>
          </w:rPr>
          <w:t>https://www.boost.org/doc/libs/master/libs/beast/doc/html/index.html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https://habr.com/ru/articles/483202/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https://aws.amazon.com/ru/what-is/restful-api/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https://blog.skillfactory.ru/glossary/rest-api/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</w:t>
      </w:r>
      <w:r>
        <w:rPr/>
        <w:t xml:space="preserve"> [Электронный ресурс] / Wikipedia. Режим доступа:  </w:t>
      </w:r>
      <w:r>
        <w:rPr>
          <w:rStyle w:val="InternetLink"/>
        </w:rPr>
        <w:t>https://ru.wikipedia.org/wiki/REST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RESTful APIs [Электронный ресурс]. Режим доступа: </w:t>
      </w:r>
      <w:hyperlink r:id="rId40">
        <w:r>
          <w:rPr>
            <w:rStyle w:val="InternetLink"/>
          </w:rPr>
          <w:t>https://www.astera.com/type/blog/rest-api-definition/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REST API [Электронный ресурс]. Режим доступа: </w:t>
      </w:r>
      <w:r>
        <w:rPr>
          <w:rStyle w:val="InternetLink"/>
        </w:rPr>
        <w:t>https://www.youtube.com/watch?v=-mN3VyJuCjM</w:t>
      </w:r>
      <w:r>
        <w:rPr/>
        <w:t xml:space="preserve">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IBM про REST API [Электронный ресурс] / IBM; Режим доступа: </w:t>
      </w:r>
      <w:r>
        <w:rPr>
          <w:rStyle w:val="InternetLink"/>
        </w:rPr>
        <w:t>https://www.ibm.com/topics/rest-apis</w:t>
      </w:r>
      <w:r>
        <w:rPr/>
        <w:t xml:space="preserve"> свободный. (дата обращения: 15.02.2024)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0" w:hanging="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Heading1"/>
        <w:spacing w:lineRule="auto" w:line="360" w:before="0" w:after="0"/>
        <w:contextualSpacing/>
        <w:jc w:val="center"/>
        <w:rPr>
          <w:rFonts w:cs="Times New Roman"/>
          <w:color w:val="auto"/>
          <w:sz w:val="24"/>
          <w:szCs w:val="24"/>
        </w:rPr>
      </w:pPr>
      <w:bookmarkStart w:id="72" w:name="_Toc72106770"/>
      <w:r>
        <w:rPr>
          <w:rFonts w:cs="Times New Roman"/>
          <w:color w:val="auto"/>
          <w:sz w:val="24"/>
          <w:szCs w:val="24"/>
        </w:rPr>
        <w:t>ПРИЛОЖЕНИЕ 1</w:t>
      </w:r>
      <w:bookmarkEnd w:id="72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КЛАССОВ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1.1 – Описание и функциональное назначение классов/структур в файле ServeMe.hpp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200"/>
              <w:ind w:left="0" w:hanging="0"/>
              <w:contextualSpacing/>
              <w:mirrorIndents/>
              <w:jc w:val="left"/>
              <w:rPr>
                <w:b/>
                <w:lang w:val="en-US"/>
              </w:rPr>
            </w:pPr>
            <w:r>
              <w:rPr>
                <w:rFonts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200"/>
              <w:ind w:left="0" w:hanging="0"/>
              <w:contextualSpacing/>
              <w:mirrorIndents/>
              <w:jc w:val="left"/>
              <w:rPr>
                <w:b/>
              </w:rPr>
            </w:pPr>
            <w:r>
              <w:rPr>
                <w:rFonts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Level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еобходим для категоризации уровней логирования. Доступные уровни: Debug, Info, Warning, Error, Critical.</w:t>
            </w:r>
          </w:p>
        </w:tc>
      </w:tr>
      <w:tr>
        <w:trPr/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Method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еобходим для категоризации методов HTTP-запросов. Доступные методы: GET, POST.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HttpServer-а.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LoggerInterface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Logger-а.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HttpSessionInterface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HttpSession.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представляет собой интерфейс для любого объекта, который претендует на роль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 – входной точки фреймворка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Logger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предоставляет возможность логирования в файл и внутренний лог ОС с учетом текущего времени и установленного уровня логирования. Класс реализует интерфейс LoggerInterface.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HttpSession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нужен для реализации http сервера. Отвечает за принятие http-запросов и отправку на них ответов. Класс реализует интейрфейс HttpSessionInterface.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является главным в данном фреймворке. Отвечает за создание сокета, открытия его, добавления новых эндпоинтов и прослушивания соединений по протоколу TCP. Класс реализует интерфейс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является входной точкой подприложения. Предоставляет возможность создать сам HTTP сервер, запустить его, добавить в него обработку новых эндпоинтов и завершить его. Класс реализует интерфейс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RESTAPIAPPInterface.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pacing w:lineRule="auto" w:line="360" w:before="0" w:after="200"/>
        <w:contextualSpacing/>
        <w:jc w:val="left"/>
        <w:rPr>
          <w:b w:val="false"/>
          <w:bCs w:val="false"/>
        </w:rPr>
      </w:pPr>
      <w:r>
        <w:rPr>
          <w:rFonts w:cs="Times New Roman"/>
          <w:b w:val="false"/>
          <w:bCs w:val="false"/>
          <w:color w:val="auto"/>
          <w:sz w:val="24"/>
          <w:szCs w:val="24"/>
        </w:rPr>
        <w:t xml:space="preserve">Также в добавок к краткому описанию функционального назначения классов приведу ответы на </w:t>
      </w:r>
      <w:r>
        <w:rPr>
          <w:rFonts w:cs="Times New Roman"/>
          <w:b w:val="false"/>
          <w:bCs w:val="false"/>
          <w:color w:val="auto"/>
          <w:sz w:val="24"/>
          <w:szCs w:val="24"/>
        </w:rPr>
        <w:t>FAQ:</w:t>
      </w:r>
    </w:p>
    <w:p>
      <w:pPr>
        <w:pStyle w:val="Normal"/>
        <w:spacing w:lineRule="auto" w:line="360" w:before="0" w:after="200"/>
        <w:contextualSpacing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Вопрос: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Зачем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нужны разные уровни логирования?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(класс Level)</w:t>
      </w:r>
    </w:p>
    <w:p>
      <w:pPr>
        <w:pStyle w:val="Normal"/>
        <w:spacing w:lineRule="auto" w:line="360" w:before="0" w:after="200"/>
        <w:contextualSpacing/>
        <w:jc w:val="left"/>
        <w:rPr>
          <w:b w:val="false"/>
          <w:bCs w:val="false"/>
        </w:rPr>
      </w:pPr>
      <w:r>
        <w:rPr>
          <w:rFonts w:cs="Times New Roman"/>
          <w:b w:val="false"/>
          <w:bCs w:val="false"/>
          <w:color w:val="auto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Различные</w:t>
      </w:r>
      <w:r>
        <w:rPr>
          <w:rFonts w:ascii="Times New Roman" w:hAnsi="Times New Roman"/>
          <w:color w:val="000000"/>
          <w:sz w:val="24"/>
          <w:szCs w:val="24"/>
        </w:rPr>
        <w:t xml:space="preserve"> уровни логирования важны для того, чтобы обеспечить гибкость и контроль над сообщениями, которые записываются в логи. Каждый уровень логирования представляет собой определенный уровень важности сообщений, их значимость и контекст использования, что позволяет программистам и системным администраторам выбирать, какие сообщения нужно сохранять в логах в зависимости от ситуации.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Преимущества разных уровней логирования: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Отладочный (Debug): Используется для вывода детальной отладочной информации о процессе работы программы. Этот уровень полезен для выявления ошибок и анализа процессов.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Информационный (Info): Логирование основной информации о работе программы, такой как старт, остановка, ключевые события. Эти сообщения полезны для мониторинга работы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Предупреждения (Warning): Для сообщений о потенциальных проблемах или исключительных ситуациях, которые не критичны, но требуют внимания.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Ошибки (Error): Логирование ошибок и исключений, которые не позволяют программе работать правильно.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Фатальные ошибки (Fatal): Для критических ошибок, которые приводят к аварийному завершению работы программы.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Использование разных уровней логирования позволяет эффективно управлять объемом информации в логах, обеспечить быструю диагностику проблем, анализировать работу программы и обеспечивать необходимую информацию для поддержки и отладки.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нужен отдельный класс для типов http запросов?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Ответ: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отдельного класса для типов HTTP запросов может иметь несколько преимуществ: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Чистый и понятный код: Отдельный класс для типов HTTP запросов помогает упростить код и сделать его более читаемым и понятным. Это улучшает поддерживаемость кода и облегчает работу с HTTP запросами.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Увеличение переиспользуемости: Класс для типов HTTP запросов может содержать члены данных и методы, специфичные для запросов, что упрощает их использование и повторное использование в различных частях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Times New Roman" w:hAnsi="Times New Roman"/>
          <w:color w:val="000000"/>
          <w:sz w:val="24"/>
          <w:szCs w:val="24"/>
        </w:rPr>
        <w:t>3. Улучшенная безопасность: Использование класса может способствовать контролю за данными, передаваемыми в запросах, и</w:t>
      </w:r>
      <w:r>
        <w:rPr>
          <w:rFonts w:ascii="HelveticaNeue" w:hAnsi="HelveticaNeue"/>
          <w:color w:val="000000"/>
          <w:sz w:val="26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обеспечивать определенный уровень проверки корректности данных, что способствует улучшению безопасности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Поддержка модели объектно-ориентированного программирования: Отдельный класс для типов HTTP запросов соответствует принципам ООП, таким как инкапсуляция, наследование и полиморфизм, что упрощает разработку, тестирование и поддержку кода.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Расширяемость: Класс для типов HTTP запросов может быть легко расширен и дополнен дополнительными функциями и свойствами, что упрощает добавление нового функционала в рамках работы с HTTP запросами.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Таким образом, использование отдельного класса для типов HTTP запросов может улучшить структуру и организацию кода, обеспечить повышенную переиспользуемость, безопасность и поддерживаемость приложения.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нужны отдельные интерфейсы для каждого класса?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отдельных интерфейсов для каждого класса позволяет создавать абстрактные контракты, определяющие набор методов, которые класс должен реализовать. Это способствует разделению интерфейса и реализации, облегчает взаимодействие между компонентами программы и обеспечивает гибкость при добавлении новых классов.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Основные преимущества: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Разделение интерфейса и реализации: Интерфейсы определяют только методы, не затрагивая их внутреннюю реализацию. Это упрощает изменения в реализации классов, не затрагивая их внешний интерфейс, что является важным аспектом при разработке масштабируемых приложений.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Улучшенная читаемость и понимание кода: Использование интерфейсов делает код более читаемым и легким для понимания. Разработчики могут предварительно оценить, какие методы предоставляют классы, без необходимости изучения их реализации.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Поддержка множественного наследования: Интерфейсы позволяют классу реализовать несколько контрактов одновременно, обеспечивая гибкость и возможность работать с разными типами объектов через общие интерфейсы.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Поддержка полиморфизма: Использование интерфейсов упрощает использование полиморфизма, что позволяет передавать и хранить различные типы объектов, реализующих общий интерфейс, в общих коллекциях.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Таким образом, создание отдельных интерфейсов для каждого класса способствует улучшению гибкости, читаемости и архитектуры программы, что способствует разработке качественного и легко поддерживаемого кода.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Вопрос: Зачем нужен отдельный логгер? 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Отдельный логгер - это специальный компонент программы, предназначенный для записи информации о работе приложения в журнал событий. Использование отдельного логгера позволяет разделить процессы ведения журнала и бизнес-логики приложения, что обеспечивает ряд преимуществ: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Четкая раздельность обязанностей: Логгер отвечает исключительно за регистрацию событий и ошибок, позволяя другим компонентам приложения сконцентрироваться на своей основной функциональности. Это способствует улучшению модульности и структурированности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Гибкая настройка: Отдельный логгер позволяет поддерживать разные уровни важности событий, фильтрацию по категориям, выбор метода вывода информации (например, в консоль, файл, базу данных), что обеспечивает гибкую настройку журнала под нужды разработчиков и системных администраторов.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Улучшенная отладка: Наличие отдельного логгера упрощает процесс отладки кода, поскольку он позволяет выводить разнообразную информацию о ходе выполнения программы, включая сообщения об ошибках, предупреждения и детали выполнения различных операций.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Удобство мониторинга и анализа: Благодаря логгеру можно вести подробный мониторинг работы приложения, создавать отчёты о произошедших событиях, анализировать поведение программы в различных сценариях и улучшать качество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Таким образом, использование отдельного логгера является важной частью современного программного обеспечения, способствуя улучшению разделения обязанностей, отладки и мониторинга, а также обеспечивая гибкую настройку и анализ работы приложения.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нужен отдельный класс httpSession?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Класс HttpSession используется для управления сеансом связи между HTTP-сервером и клиентом. Он обычно содержит логику для обработки входящих HTTP-запросов, отправки HTTP-ответов, управления состоянием сеанса и взаимодействия с клиентскими запросами.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Отдельный класс HttpSession является разумным выбором, так как он позволяет отделить логику работы с конкретным сеансом связи от других частей серверной системы. Это способствует модульности и улучшает читаемость и поддерживаемость кода. Кроме того, класс HttpSession можно настроить для управления сеансами, аутентификации, авторизации и другими аспектами безопасности, что обеспечивает безопасность и надежность всей системы.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разделять rest api на классы server и session?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Разделение REST API на классы Server и Session позволяет улучшить модульность, читаемость и поддерживаемость кода, а также облегчает расширение и тестирование функциональности.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Класс Server обычно отвечает за обработку входящих HTTP-запросов, маршрутизацию запросов к соответствующим методам и управление жизненным циклом сервера в целом. Он предоставляет интерфейс для настройки сервера, добавления маршрутов, управления подключениями и других аспектов общей логики сервера.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Класс Session, с другой стороны, фокусируется на управлении индивидуальными сеансами связи между сервером и клиентом. Он обрабатывает входящие запросы, управляет состоянием сеанса, включает в себя механизмы аутентификации и авторизации, а также работает с конкретными данными и контекстом, связанным с текущим запросом.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Разделяя ответственности между классами Server и Session, мы получаем возможность более ясного определения обязанностей различных частей нашего REST API. Это снижает связность, упрощает распределение задач и позволяет каждому классу фокусироваться на своей конкретной роли, делая код более ясным, удобным для поддержки и развития.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 выделяется отдельный класс для запуска приложения?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Выделение отдельного класса для запуска приложения может иметь несколько преимуществ, включая: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Ясность и модульность: Разделяя логику инициализации и запуска приложения в отдельный класс, вы повышаете ясность и модульность кода. Это обеспечивает лучшее разделение ответственности и упрощает понимание и поддержку программы.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Гибкость конфигурации: Отдельный класс для запуска приложения облегчает различные виды конфигурации и настройки, такие как загрузка настроек, инициализация ресурсов и запуск различных компонентов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Тестирование: Изоляция логики запуска приложения делает тестирование кода более простым. Это позволяет проводить модульное тестирование и мокирование без необходимости запуска всего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Расширение и поддержка: Выделение запуска в отдельный класс облегчает добавление новых функциональностей в процесс запуска приложения, а также обеспечивает легкость сопровождения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Таким образом, выделение отдельного класса для запуска приложения способствует улучшению архитектуры, гибкости, тестируемости и поддерживаемости приложения.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какие ключевые сущности есть у любого http сервера?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 любого HTTP сервера есть несколько ключевых сущностей, которые обеспечивают его функционирование: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Прослушиватель (Listener) - прослушивает указанный сетевой порт и ожидает входящие HTTP запросы от клиентов.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Маршруты (Routes) - определяют, какие запросы отправляются на какие обработчики (handler) в зависимости от URL и метода запроса (GET, POST, PUT, DELETE и т. д.).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Обработчики (Handlers) - логика для обработки конкретного HTTP запроса, и генерации соответствующего HTTP ответа. Обработчики могут также взаимодействовать с хранилищем данных или другими сервисами для выполнения бизнес-логики.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Контекст (Context) - содержит информацию о текущем HTTP запросе, такую как параметры запроса, заголовки, тело запроса и другие атрибуты, которые могут быть использованы обработчиками для принятия решений.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. Логгеры (Loggers) - обеспечивают журналирование различных событий и действий, проводимых сервером, для отслеживания и мониторинга работы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Эти ключевые сущности помогают организовать работу HTTP-сервера, обеспечивая прием запросов от клиентов, их обработку и отправку соответствующих ответов, управление состоянием и данных запросов, а также обеспечивают безопасность и журналирование работы сервера.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какая стандартная архитектура фреймворка rest api?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Стандартная архитектура фреймворка REST API состоит из нескольких ключевых компонентов. В общем, архитектура RESTful API является базовым каркасом для создания веб-сервисов, который следует принципам REST, используя HTTP протокол в качестве основы для обработки запросов и отправки ответов. Основные компоненты включают: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Маршрутизация: Фреймворк обычно предоставляет механизм маршрутизации, который определяет, какие запросы отправляются на какие обработчики в зависимости от URL и метода HTTP запроса.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Обработчики (Controller/Handler): Обработчики представляют логику для обработки входящих HTTP запросов и формирования соответствующих ответов. Они обычно взаимодействуют с бизнес-логикой и доступом к данным для выполнения задач, определенных в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Модели данных (Data Models): Фреймворк может предоставлять средства для определения общих моделей данных, которые облегчают обработку входящих запросов и формирование ответов в нужном формате.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Middleware: Middleware представляет собой цепочку промежуточных обработчиков, которые выполняются перед обработкой основного запроса и позволяют выполнять такие задачи, как аутентификация, логгирование, обработка ошибок и другие операции.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Сервисы и Бизнес-логика: Фреймворк может предоставлять средства для организации и управления бизнес-логикой и сервисами, которые обрабатывают функциональные запросы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6. Контекст запроса (Request Context): Предоставляет доступ к информации о текущем HTTP запросе, такой как заголовки, параметры, аутентификационные данные, что позволяет обработчикам легко получить доступ к этой информации.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Эти компоненты обеспечивают базовую структуру и функциональность для построения RESTful API, чтобы упростить разработку, тестирование, поддержку и масштабируемость веб-сервисов.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почему методы get и post самые популярные?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Методы GET и POST являются самыми популярными методами HTTP из-за своего распространенного использования и специфических свойств, обусловленных их назначением: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GET: Метод GET используется для запроса данных ресурса с веб-сервера. Он широко используется для получения информации с сервера, включая HTML страницы, изображения, видео, данные в формате JSON и другие ресурсы. Метод GET прост в использовании и позволяет передавать ограниченное количество данных через URL-параметры, что делает его удобным для использования в адресной строке браузера и для создания гиперссылок.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POST: Метод POST используется для отправки данных на сервер для обработки. Он часто применяется при отправке форм и передаче сложных данных, таких как данные из формы авторизации, файлы, или большие объемы информации, не помещающиеся в URL. Метод POST также широко используется в AJAX-запросах и при создании, обновлении или удалении ресурсов.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Популярность методов GET и POST обусловлена их широким спектром применения, простотой использования и понимания, а также широкой поддержкой со стороны различных клиентов и серверов. Эти методы обеспечивают базовый набор функций для обеспечения взаимодействия между клиентами и серверами, что делает их неотъемлемой частью протокола HTTP.</w:t>
      </w:r>
    </w:p>
    <w:p>
      <w:pPr>
        <w:pStyle w:val="Normal"/>
        <w:spacing w:lineRule="auto" w:line="360" w:before="0" w:after="200"/>
        <w:contextualSpacing/>
        <w:jc w:val="center"/>
        <w:rPr>
          <w:rFonts w:cs="Times New Roman"/>
          <w:color w:val="auto"/>
          <w:sz w:val="24"/>
          <w:szCs w:val="24"/>
        </w:rPr>
      </w:pPr>
      <w:r>
        <w:rPr/>
      </w:r>
    </w:p>
    <w:p>
      <w:pPr>
        <w:pStyle w:val="Heading1"/>
        <w:spacing w:lineRule="auto" w:line="360" w:before="0" w:after="200"/>
        <w:contextualSpacing/>
        <w:jc w:val="center"/>
        <w:rPr>
          <w:rFonts w:cs="Times New Roman"/>
          <w:color w:val="auto"/>
          <w:sz w:val="24"/>
          <w:szCs w:val="24"/>
        </w:rPr>
      </w:pPr>
      <w:bookmarkStart w:id="73" w:name="_Toc72106771"/>
      <w:r>
        <w:rPr>
          <w:rFonts w:cs="Times New Roman"/>
          <w:color w:val="auto"/>
          <w:sz w:val="24"/>
          <w:szCs w:val="24"/>
        </w:rPr>
        <w:t>ПРИЛОЖЕНИЕ 2</w:t>
      </w:r>
      <w:bookmarkEnd w:id="73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ПОЛЕЙ, МЕТОДОВ, СВОЙСТВ КЛАССОВ, А ТАКЖЕ ПЕРЕМЕННЫХ И ФУНКЦИЙ В ФАЙЛАХ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2.1.1 – Описание полей и свойств класса </w:t>
      </w:r>
      <w:r>
        <w:rPr>
          <w:kern w:val="0"/>
          <w:lang w:val="en-US" w:bidi="ar-SA"/>
        </w:rPr>
        <w:t>Level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Debug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Данный уровень предназначен для максимального уровня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Данный уровень предназначен для вывода какой-либо информации, которая носит не критический, но довольно важный характер.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Warning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предупреждений (по аналогии с предупреждениями компилятора).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ошибок, из-за которых отдельная компонента HTTP-сервера не может корректно завершить свою работу.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Critical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ошибок, при которых работа HTTP-сервера невозможна.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2.2.1 – Описание полей и свойств класса Method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GET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ответа на GET-запросы.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POST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ответа на POST-запросы.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 – Описание методов абстрактного класса </w:t>
      </w:r>
      <w:r>
        <w:rPr>
          <w:lang w:val="en-US"/>
        </w:rPr>
        <w:t>HttpServerInterface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640"/>
        <w:gridCol w:w="1869"/>
        <w:gridCol w:w="1369"/>
        <w:gridCol w:w="2141"/>
        <w:gridCol w:w="2326"/>
      </w:tblGrid>
      <w:tr>
        <w:trPr/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в HTTP-сервер новый эндпоинт.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2.4.1 – Описание методов абстрактного класса </w:t>
      </w:r>
      <w:r>
        <w:rPr>
          <w:lang w:val="en-US"/>
        </w:rPr>
        <w:t>LoggerInterface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переданное ей сообщение в файл и syslog с переданным уровнем логирования.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2.5.1 – Описание методов абстрактного класса </w:t>
      </w:r>
      <w:r>
        <w:rPr>
          <w:lang w:val="en-US"/>
        </w:rPr>
        <w:t>HttpSessionInterface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Считывать HTTP-запрос и отвечать на него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2.6.1 – Описание методов абстрактного класса </w:t>
      </w:r>
      <w:r>
        <w:rPr>
          <w:lang w:val="en-US"/>
        </w:rPr>
        <w:t>RESTAPIAPPInterface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const std::string &amp;method)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 в сервис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virtual 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Дает команду серверу начинать прослушивать входящие соединения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virtual 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Останавливает сервер, закрывая сокет.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Таблица 2.7.1 – Описание полей и свойств класса Logger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logFile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std::ofstream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записи в файл.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syslogEnabled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Нужна ли выгрузка в syslog помимо файла.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2.7.2 – Описание методов класса </w:t>
      </w:r>
      <w:r>
        <w:rPr>
          <w:lang w:val="en-US"/>
        </w:rPr>
        <w:t>Logger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&amp;program_name = "HTTPServer", const std::string &amp;log_file_name = "log.txt", bool syslog_enabled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открывает файл логов и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~Logger()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объект, закрывает файл логов и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файл и системный лог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writeToSyslog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writeToFile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файл.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2.8.1 – Описание полей и свойств класса </w:t>
      </w:r>
      <w:r>
        <w:rPr>
          <w:lang w:val="en-US"/>
        </w:rPr>
        <w:t>HttpSession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socket_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boost::asio::ip::tc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::socket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открытия сокета.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boost::asio::streambuf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чтения http-запроса.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endpoints_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onst std::unordered_map&lt;std::string, std::pair&lt;std::string, Method&gt;&gt;&amp;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ответов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а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соответствующие 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enable_cache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Флаг, который включает кеширование ответов.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2.8.2 – Описание методов класса </w:t>
      </w:r>
      <w:r>
        <w:rPr>
          <w:lang w:val="en-US"/>
        </w:rPr>
        <w:t>HttpSession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>
          <w:trHeight w:val="1539" w:hRule="atLeast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HttpSession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boost::asio::ip::tcp::socket socket, const endpoint &amp;endpoints,        Logger::Ptr logger,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CACHE&amp; cache, bool enable_cache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начинает читать входящий запрос.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~HttpSession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do_read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Читает входящий запрос и вызывает функцию для ответа на него.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do_write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&amp;response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Отвечает на входящий запрос.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2.9.1 – Описание полей и свойств класса </w:t>
      </w:r>
      <w:r>
        <w:rPr>
          <w:lang w:val="en-US"/>
        </w:rPr>
        <w:t>HttpServer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socket_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boost::asio::ip::tcp::socket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открытия сокета.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boost::asio::streambuf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чтения http-запроса.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endpoints_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std::unordered_map&lt;std::string, std::pair&lt;std::string, Method&gt;&gt;&amp;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ответов на соответствующие 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enable_cache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Флаг, который включает кеширование ответов.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2.9.2 – Описание методов класса </w:t>
      </w:r>
      <w:r>
        <w:rPr>
          <w:lang w:val="en-US"/>
        </w:rPr>
        <w:t>HttpServer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boost::asio::io_context &amp;io_context,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Logger::Ptr logger, CACHE&amp; cache, short port = 8080, bool enable_cache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вызывает функцию, которая случает соответствующий порт.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~HttpServer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do_accept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Открывает сокет и начинает слушать соответствующий порт.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2.10.1 – Описание полей и свойств класса </w:t>
      </w:r>
      <w:r>
        <w:rPr>
          <w:lang w:val="en-US"/>
        </w:rPr>
        <w:t>RESTAPIAPP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io_context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boost::asio::io_context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Нужна для запуска HTTP-сервера (внутренняя вещь либы boost).</w:t>
            </w:r>
          </w:p>
        </w:tc>
      </w:tr>
      <w:tr>
        <w:trPr>
          <w:trHeight w:val="264" w:hRule="atLeast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std::shared_ptr&lt;HttpServer&gt;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Сам HTTP-сервер.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Инструмент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Инструмент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2.10.2 – Описание методов класса </w:t>
      </w:r>
      <w:r>
        <w:rPr>
          <w:lang w:val="en-US"/>
        </w:rPr>
        <w:t>RESTAPIAPP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uint32_t port = 8080, const std::string&amp; logfileName="log.txt"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инициализирует его поля.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methodconst std::string &amp;path, const std::string &amp;response, const std::string &amp;method="GET"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эндпоинт.</w:t>
            </w:r>
          </w:p>
        </w:tc>
      </w:tr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RunServer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Запускает HTTP-сервер.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Останавливает HTTP-сервер.</w:t>
            </w:r>
          </w:p>
        </w:tc>
      </w:tr>
    </w:tbl>
    <w:p>
      <w:pPr>
        <w:sectPr>
          <w:headerReference w:type="default" r:id="rId45"/>
          <w:headerReference w:type="first" r:id="rId46"/>
          <w:footerReference w:type="default" r:id="rId47"/>
          <w:footerReference w:type="first" r:id="rId4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4" w:name="_Toc72106891"/>
      <w:r>
        <w:rPr>
          <w:color w:val="auto"/>
        </w:rPr>
        <w:t>ЛИСТ РЕГИСТРАЦИИ ИЗМЕНЕНИЙ</w:t>
      </w:r>
      <w:bookmarkEnd w:id="74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/>
      </w:r>
    </w:p>
    <w:sectPr>
      <w:headerReference w:type="default" r:id="rId50"/>
      <w:headerReference w:type="first" r:id="rId51"/>
      <w:footerReference w:type="default" r:id="rId52"/>
      <w:footerReference w:type="first" r:id="rId53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yandex-sans">
    <w:charset w:val="01"/>
    <w:family w:val="roman"/>
    <w:pitch w:val="variable"/>
  </w:font>
  <w:font w:name="HelveticaNeu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2024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2"/>
      <w:gridCol w:w="1679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-01 01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8227693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8111382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7609298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1369613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2498025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1260145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535347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01-1-ЛУ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5281945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32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3405642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33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</w:t>
        </w:r>
        <w:r>
          <w:rPr>
            <w:rFonts w:eastAsia="Calibri"/>
            <w:bCs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9316844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1812016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3659798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ascii="Times New Roman" w:hAnsi="Times New Roman" w:cs="Calibri" w:cstheme="minorHAnsi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header" Target="head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header" Target="head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yperlink" Target="https://www.boost.org/doc/libs/master/libs/beast/doc/html/index.html" TargetMode="External"/><Relationship Id="rId40" Type="http://schemas.openxmlformats.org/officeDocument/2006/relationships/hyperlink" Target="https://en.wikibooks.org/wiki/Introduction_to_Software_Engineering/Testing/Profiling" TargetMode="Externa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header" Target="header20.xml"/><Relationship Id="rId46" Type="http://schemas.openxmlformats.org/officeDocument/2006/relationships/header" Target="header21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image" Target="media/image3.jpeg"/><Relationship Id="rId50" Type="http://schemas.openxmlformats.org/officeDocument/2006/relationships/header" Target="header22.xml"/><Relationship Id="rId51" Type="http://schemas.openxmlformats.org/officeDocument/2006/relationships/header" Target="header23.xml"/><Relationship Id="rId52" Type="http://schemas.openxmlformats.org/officeDocument/2006/relationships/footer" Target="footer23.xml"/><Relationship Id="rId53" Type="http://schemas.openxmlformats.org/officeDocument/2006/relationships/footer" Target="footer24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35234</TotalTime>
  <Application>LibreOffice/7.5.0.3$MacOSX_AARCH64 LibreOffice_project/c21113d003cd3efa8c53188764377a8272d9d6de</Application>
  <AppVersion>15.0000</AppVersion>
  <Pages>35</Pages>
  <Words>5655</Words>
  <Characters>40124</Characters>
  <CharactersWithSpaces>45032</CharactersWithSpaces>
  <Paragraphs>815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2024-03-11T00:20:07Z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