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6"/>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622E30">
      <w:pPr>
        <w:adjustRightInd w:val="0"/>
        <w:snapToGrid w:val="0"/>
        <w:spacing w:line="240" w:lineRule="auto"/>
        <w:ind w:firstLineChars="400" w:firstLine="1305"/>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23">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Quantitative Trading System Based on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leftChars="0" w:rightChars="0" w:firstLineChars="0" w:hangingChars="0"/>
        <w:jc w:val="left"/>
      </w:pPr>
      <w:r>
        <w:bookmarkStart w:id="26" w:name="heading_1_u2e4_u20_u8bba_u6587_u7ed3_u6784_u5b89_u6392"/>
      </w:r>
      <w:r>
        <w:t xml:space="preserve">1.4 论文结构安排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的状态机实现。第四章说明量化交易系统的架构、模块设计与关键实现。第五章说明回测方法，并结合运行结果进行事件研究、交易回测和适用性分层分析。第六章总结全文工作，并讨论后续优化方向。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1600"/>
        <w:gridCol w:w="5870"/>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规则、交易参数与日志参数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线，并过滤停牌与成交量异常数据</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与 Setup 起止日期</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Countdown、暂记加号与 13 完成信号</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 与反向 Setup 三类 Countdown 取消</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 TD 事件元数据并保留计数日期、关键价格及前 20 日上下文字段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完成到取消、未买入或卖出终态形成完整可追溯记录</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事件窗口结果输出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在事件窗口成熟后输出方向收益、最大有利波动与最大不利波动</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FR9</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信号与交易解耦</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通用交易执行层与策略适配层通过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与回调接口通信，便于替换信号体系</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FR10</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真实回报对账</w:t>
            </w:r>
          </w:p>
        </w:tc>
        <w:tc>
          <w:tcPr>
            <w:tcW w:type="dxa" w:w="5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成交价、成交量、成交时间与手续费以 PTrade 真实回报为唯一信源，与交易流水逐笔可对账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9"/>
        <w:gridCol w:w="1759"/>
        <w:gridCol w:w="5552"/>
      </w:tblGrid>
      <w:tr>
        <w:trPr>
          <w:cantSplit/>
          <w:tblHeader/>
        </w:trPr>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每个信号、订单与交易事件均可回溯到 Setup、Countdown 与取消或拒单原因</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规则、完美信号要求、仓位比例、风控参数与超时阈值均通过配置控制</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配置缺失、数据不足、停牌、接口异常等情况应记录日志并不中断主循环</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数据层、信号层、适配层、交易层与输出层职责清晰，便于独立测试与替换</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与多频率联动扩展位置</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NFR6</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异步成交保护</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跨周期未成交订单通过软超时与硬超时双阶段保护，避免阻塞后续止损</w:t>
            </w:r>
          </w:p>
        </w:tc>
      </w:tr>
      <w:tr>
        <w:trPr>
          <w:cantSplit/>
          <w:tblHeader w:val="false"/>
        </w:trPr>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NFR7</w:t>
            </w:r>
          </w:p>
        </w:tc>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双环境一致性</w:t>
            </w:r>
          </w:p>
        </w:tc>
        <w:tc>
          <w:tcPr>
            <w:tcW w:type="dxa" w:w="55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同一份代码在 PTrade 与 SimTradeLab 上输出的关键字段应可逐笔对账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股环境又要求对复权、停牌与可交易性进行处理。在此基础上，第三章将给出 TD 信号识别的状态机模型，第四章将以“信号与执行解耦、PTrade 真实回报对账”为核心说明系统的整体设计与实现。</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的主要状态转换关系如图3-1所示。</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状态需要同时考虑空闲、同向累计、反向切换和相等中断等情形。图3-2进一步给出了不同输入下的状态转移表，便于将图3-1中的状态转换关系落实到代码分支。</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TD_u4e8b_u4ef6_u5143_u6570_u636e_u5b57_u6bb5_u8bbe_u8ba1"/>
      </w:r>
      <w:r>
        <w:t xml:space="preserve">3.5 TD事件元数据字段设计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状态机输出，也便于第五章在不同窗口和不同分组下进行统计分析。</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市场状态分层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46" w:name="cite_24_1"/>
      </w:r>
      <w:r>
        <w:rPr>
          <w:rFonts w:ascii="Times New Roman" w:eastAsia="宋体" w:hAnsi="Times New Roman"/>
          <w:b w:val="false"/>
          <w:bCs w:val="false"/>
          <w:i w:val="false"/>
          <w:iCs w:val="false"/>
          <w:sz w:val="24"/>
          <w:szCs w:val="24"/>
        </w:rPr>
        <w:t xml:space="preserve"/>
      </w:r>
      <w:r>
        <w:bookmarkEnd w:id="46"/>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47" w:name="cite_25_1"/>
      </w:r>
      <w:r>
        <w:rPr>
          <w:rFonts w:ascii="Times New Roman" w:eastAsia="宋体" w:hAnsi="Times New Roman"/>
          <w:b w:val="false"/>
          <w:bCs w:val="false"/>
          <w:i w:val="false"/>
          <w:iCs w:val="false"/>
          <w:sz w:val="24"/>
          <w:szCs w:val="24"/>
        </w:rPr>
        <w:t xml:space="preserve"/>
      </w:r>
      <w:r>
        <w:bookmarkEnd w:id="47"/>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leftChars="0" w:rightChars="0" w:firstLineChars="0" w:hangingChars="0"/>
        <w:jc w:val="left"/>
      </w:pPr>
      <w:r>
        <w:bookmarkStart w:id="48" w:name="heading_4_u2e1_u20_u7cfb_u7edf_u8bbe_u8ba1_u76ee_u6807_u4e0e_u7ea6_u675f"/>
      </w:r>
      <w:r>
        <w:t xml:space="preserve">4.1 系统设计目标与约束</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提供的策略加载接口直接调用同一文件。功能与非功能需求已在第二章 2.4 节给出，本章在每节实现说明中以 FR/NFR 编号形式回链需求，体现需求向设计的可追溯。</w:t>
      </w:r>
    </w:p>
    <w:p>
      <w:pPr>
        <w:pStyle w:val="BUPTHeading2"/>
        <w:spacing w:after="120" w:before="120" w:line="360" w:lineRule="auto"/>
        <w:ind w:left="0" w:right="0" w:hanging="0" w:firstLine="0" w:leftChars="0" w:rightChars="0" w:firstLineChars="0" w:hangingChars="0"/>
        <w:jc w:val="left"/>
      </w:pPr>
      <w:r>
        <w:bookmarkStart w:id="49" w:name="heading_4_u2e2_u20_u7cfb_u7edf_u603b_u4f53_u67b6_u6784"/>
      </w:r>
      <w:r>
        <w:t xml:space="preserve">4.2 系统总体架构</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生命周期中。系统分层架构与跨层调用关系如图4-1所示。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图4-1  系统分层架构图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CONFIG_REL_PATH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调用 </w:t>
            </w:r>
            <w:r>
              <w:rPr>
                <w:rFonts w:ascii="Times New Roman" w:eastAsia="宋体" w:hAnsi="Times New Roman"/>
                <w:b w:val="false"/>
                <w:bCs w:val="false"/>
                <w:i w:val="false"/>
                <w:iCs w:val="false"/>
                <w:sz w:val="24"/>
                <w:szCs w:val="24"/>
              </w:rPr>
              <w:t xml:space="preserve">get_history(include=False)</w:t>
            </w:r>
            <w:r>
              <w:rPr>
                <w:rFonts w:ascii="Times New Roman" w:eastAsia="宋体" w:hAnsi="Times New Roman"/>
                <w:b w:val="false"/>
                <w:bCs w:val="false"/>
                <w:i w:val="false"/>
                <w:iCs w:val="false"/>
                <w:sz w:val="24"/>
                <w:szCs w:val="24"/>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纯函数式状态机；输入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把 TD 事件翻译为通用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允许的钩子内编排上述各层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leftChars="0" w:rightChars="0" w:firstLineChars="0" w:hangingChars="0"/>
        <w:jc w:val="left"/>
      </w:pPr>
      <w:r>
        <w:bookmarkStart w:id="50" w:name="heading_4_u2e3_u20_u5173_u952e_u529f_u80fd_u6a21_u5757_u8bbe_u8ba1"/>
      </w:r>
      <w:r>
        <w:t xml:space="preserve">4.3 关键功能模块设计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4.4 节专门讨论，数据层与信号层分别在 4.5 节与第三章讨论，本节集中说明输出层、策略适配层与通用交易执行层。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1" w:name="cite_25_2"/>
      </w:r>
      <w:r>
        <w:rPr>
          <w:rFonts w:ascii="Times New Roman" w:eastAsia="宋体" w:hAnsi="Times New Roman"/>
          <w:b w:val="false"/>
          <w:bCs w:val="false"/>
          <w:i w:val="false"/>
          <w:iCs w:val="false"/>
          <w:sz w:val="24"/>
          <w:szCs w:val="24"/>
        </w:rPr>
        <w:t xml:space="preserve"/>
      </w:r>
      <w:r>
        <w:bookmarkEnd w:id="51"/>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52" w:name="heading_4_u2e4_u20_u914d_u7f6e_u7ba1_u7406_u4e0e_u8fd0_u884c_u76ee_u5f55_u8bbe_u"/>
      </w:r>
      <w:r>
        <w:t xml:space="preserve">4.4 配置管理与运行目录设计</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4-2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securities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fq</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与 PTrade </w:t>
            </w:r>
            <w:r>
              <w:rPr>
                <w:rFonts w:ascii="Times New Roman" w:eastAsia="宋体" w:hAnsi="Times New Roman"/>
                <w:b w:val="false"/>
                <w:bCs w:val="false"/>
                <w:i w:val="false"/>
                <w:iCs w:val="false"/>
                <w:sz w:val="24"/>
                <w:szCs w:val="24"/>
              </w:rPr>
              <w:t xml:space="preserve">set_slippage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set_commission</w:t>
            </w:r>
            <w:r>
              <w:rPr>
                <w:rFonts w:ascii="Times New Roman" w:eastAsia="宋体" w:hAnsi="Times New Roman"/>
                <w:b w:val="false"/>
                <w:bCs w:val="false"/>
                <w:i w:val="false"/>
                <w:iCs w:val="false"/>
                <w:sz w:val="24"/>
                <w:szCs w:val="24"/>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tdst_cancel_rule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cancel_on_opposite_setup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cancel_on_same_setup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buy_fraction_of_portfolio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level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csv_output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verbose_state_transition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控制日志级别与 CSV 输出开关</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leftChars="0" w:rightChars="0" w:firstLineChars="0" w:hangingChars="0"/>
        <w:jc w:val="left"/>
      </w:pPr>
      <w:r>
        <w:bookmarkStart w:id="53" w:name="heading_4_u2e5_u20_u6570_u636e_u83b7_u53d6_u4e0e_u6e05_u6d17_u8bbe_u8ba1"/>
      </w:r>
      <w:r>
        <w:t xml:space="preserve">4.5 数据获取与清洗设计</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leftChars="0" w:rightChars="0" w:firstLineChars="0" w:hangingChars="0"/>
        <w:jc w:val="left"/>
      </w:pPr>
      <w:r>
        <w:bookmarkStart w:id="54" w:name="heading_4_u2e6_u20_u5355_u5468_u671f_u4e3b_u6d41_u7a0b_u8bbe_u8ba1"/>
      </w:r>
      <w:r>
        <w:t xml:space="preserve">4.6 单周期主流程设计</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同步撮合下本周期内即可结算的订单。完整流程如图4-2所示。</w:t>
      </w:r>
    </w:p>
    <w:p>
      <w:pPr>
        <w:pStyle w:val="ImageBlock"/>
        <w:spacing w:after="60" w:before="60" w:line="360" w:lineRule="auto"/>
        <w:ind w:left="0" w:right="0" w:hanging="0" w:firstLine="0" w:leftChars="0" w:rightChars="0" w:firstLineChars="0" w:hangingChars="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信号产生与下单执行之间的时序关系如图4-3所示。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leftChars="0" w:rightChars="0" w:firstLineChars="0" w:hangingChars="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图4-3  信号下单成交时序图</w:t>
      </w:r>
    </w:p>
    <w:p>
      <w:pPr>
        <w:pStyle w:val="BUPTHeading2"/>
        <w:spacing w:after="120" w:before="120" w:line="360" w:lineRule="auto"/>
        <w:ind w:left="0" w:right="0" w:hanging="0" w:firstLine="0" w:leftChars="0" w:rightChars="0" w:firstLineChars="0" w:hangingChars="0"/>
        <w:jc w:val="left"/>
      </w:pPr>
      <w:r>
        <w:bookmarkStart w:id="55" w:name="heading_4_u2e7_u20_u4fe1_u53f7_u3001_u8ba2_u5355_u4e0e_u4ed3_u4f4d_u7684_u751f_u"/>
      </w:r>
      <w:r>
        <w:t xml:space="preserve">4.7 信号、订单与仓位的生命周期建模</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终态。综合的信号生命周期状态如图4-4所示。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的稳定性要求。订单生命周期如图4-5所示。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leftChars="0" w:rightChars="0" w:firstLineChars="0" w:hangingChars="0"/>
        <w:jc w:val="left"/>
      </w:pPr>
      <w:r>
        <w:bookmarkStart w:id="56" w:name="heading_4_u2e8_u20_u4ea4_u6613_u6267_u884c_u5c42_u4e0e_u7b56_u7565_u9002_u914d_u"/>
      </w:r>
      <w:r>
        <w:t xml:space="preserve">4.8 交易执行层与策略适配层的解耦设计</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字段映射等）相互独立演化，是系统可扩展性的核心。契约字段与回调方法如表4-3所示。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target_value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decision_dt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order_id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由适配层实现，处理拒单、成交与除权除息事件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字段中表达，便于后续按原因聚合分析。完整的拒单原因枚举如表4-4所示。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 </w:t>
            </w:r>
            <w:r>
              <w:rPr>
                <w:rFonts w:ascii="Times New Roman" w:eastAsia="宋体" w:hAnsi="Times New Roman"/>
                <w:b w:val="false"/>
                <w:bCs w:val="false"/>
                <w:i w:val="false"/>
                <w:iCs w:val="false"/>
                <w:sz w:val="24"/>
                <w:szCs w:val="24"/>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可用现金低于 </w:t>
            </w:r>
            <w:r>
              <w:rPr>
                <w:rFonts w:ascii="Times New Roman" w:eastAsia="宋体" w:hAnsi="Times New Roman"/>
                <w:b w:val="false"/>
                <w:bCs w:val="false"/>
                <w:i w:val="false"/>
                <w:iCs w:val="false"/>
                <w:sz w:val="24"/>
                <w:szCs w:val="24"/>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目标买入金额低于 </w:t>
            </w:r>
            <w:r>
              <w:rPr>
                <w:rFonts w:ascii="Times New Roman" w:eastAsia="宋体" w:hAnsi="Times New Roman"/>
                <w:b w:val="false"/>
                <w:bCs w:val="false"/>
                <w:i w:val="false"/>
                <w:iCs w:val="false"/>
                <w:sz w:val="24"/>
                <w:szCs w:val="24"/>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require_perfect_setup_for_buy=true</w:t>
            </w:r>
            <w:r>
              <w:rPr>
                <w:rFonts w:ascii="Times New Roman" w:eastAsia="宋体" w:hAnsi="Times New Roman"/>
                <w:b w:val="false"/>
                <w:bCs w:val="false"/>
                <w:i w:val="false"/>
                <w:iCs w:val="false"/>
                <w:sz w:val="24"/>
                <w:szCs w:val="24"/>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7" w:name="heading_4_u2e9_u20_u8f93_u51fa_u6587_u4ef6_u4e0e_u53ef_u8ffd_u6eaf_u8bbe_u8ba1"/>
      </w:r>
      <w:r>
        <w:t xml:space="preserve">4.9 输出文件与可追溯设计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在文件之间建立连接。文件用途与终态写入触发条件如表4-5所示。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CLOSE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与根目录 </w:t>
            </w:r>
            <w:r>
              <w:rPr>
                <w:rFonts w:ascii="Times New Roman" w:eastAsia="宋体" w:hAnsi="Times New Roman"/>
                <w:b w:val="false"/>
                <w:bCs w:val="false"/>
                <w:i w:val="false"/>
                <w:iCs w:val="false"/>
                <w:sz w:val="24"/>
                <w:szCs w:val="24"/>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完整交易生命周期对账与适用性分析</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4.11 节一致性验证可以成立的基础。</w:t>
      </w:r>
    </w:p>
    <w:p>
      <w:pPr>
        <w:pStyle w:val="BUPTHeading2"/>
        <w:spacing w:after="120" w:before="120" w:line="360" w:lineRule="auto"/>
        <w:ind w:left="0" w:right="0" w:hanging="0" w:firstLine="0" w:leftChars="0" w:rightChars="0" w:firstLineChars="0" w:hangingChars="0"/>
        <w:jc w:val="left"/>
      </w:pPr>
      <w:r>
        <w:bookmarkStart w:id="58" w:name="heading_4_u2e10_u20_u5f02_u5e38_u5904_u7406_u4e0e_u53ef_u6269_u5c55_u6027"/>
      </w:r>
      <w:r>
        <w:t xml:space="preserve">4.10 异常处理与可扩展性</w:t>
      </w:r>
      <w:r>
        <w:bookmarkEnd w:id="5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的稳定性要求。主要处理策略汇总如表4-6所示。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get_history</w:t>
            </w:r>
            <w:r>
              <w:rPr>
                <w:rFonts w:ascii="Times New Roman" w:eastAsia="宋体" w:hAnsi="Times New Roman"/>
                <w:b w:val="false"/>
                <w:bCs w:val="false"/>
                <w:i w:val="false"/>
                <w:iCs w:val="false"/>
                <w:sz w:val="24"/>
                <w:szCs w:val="24"/>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 K 线少于 </w:t>
            </w:r>
            <w:r>
              <w:rPr>
                <w:rFonts w:ascii="Times New Roman" w:eastAsia="宋体" w:hAnsi="Times New Roman"/>
                <w:b w:val="false"/>
                <w:bCs w:val="false"/>
                <w:i w:val="false"/>
                <w:iCs w:val="false"/>
                <w:sz w:val="24"/>
                <w:szCs w:val="24"/>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跳过当根处理，不写 </w:t>
            </w:r>
            <w:r>
              <w:rPr>
                <w:rFonts w:ascii="Times New Roman" w:eastAsia="宋体" w:hAnsi="Times New Roman"/>
                <w:b w:val="false"/>
                <w:bCs w:val="false"/>
                <w:i w:val="false"/>
                <w:iCs w:val="false"/>
                <w:sz w:val="24"/>
                <w:szCs w:val="24"/>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filter_stock_by_status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ORDER_ERROR</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get_order</w:t>
            </w:r>
            <w:r>
              <w:rPr>
                <w:rFonts w:ascii="Times New Roman" w:eastAsia="宋体" w:hAnsi="Times New Roman"/>
                <w:b w:val="false"/>
                <w:bCs w:val="false"/>
                <w:i w:val="false"/>
                <w:iCs w:val="false"/>
                <w:sz w:val="24"/>
                <w:szCs w:val="24"/>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每周期把“新增成交”写入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get_stock_exrights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走账户持仓差额兜底校验，差额超阈值时写 </w:t>
            </w:r>
            <w:r>
              <w:rPr>
                <w:rFonts w:ascii="Times New Roman" w:eastAsia="宋体" w:hAnsi="Times New Roman"/>
                <w:b w:val="false"/>
                <w:bCs w:val="false"/>
                <w:i w:val="false"/>
                <w:iCs w:val="false"/>
                <w:sz w:val="24"/>
                <w:szCs w:val="24"/>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_safe_callback</w:t>
            </w:r>
            <w:r>
              <w:rPr>
                <w:rFonts w:ascii="Times New Roman" w:eastAsia="宋体" w:hAnsi="Times New Roman"/>
                <w:b w:val="false"/>
                <w:bCs w:val="false"/>
                <w:i w:val="false"/>
                <w:iCs w:val="false"/>
                <w:sz w:val="24"/>
                <w:szCs w:val="24"/>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沙盒禁用 </w:t>
            </w:r>
            <w:r>
              <w:rPr>
                <w:rFonts w:ascii="Times New Roman" w:eastAsia="宋体" w:hAnsi="Times New Roman"/>
                <w:b w:val="false"/>
                <w:bCs w:val="false"/>
                <w:i w:val="false"/>
                <w:iCs w:val="false"/>
                <w:sz w:val="24"/>
                <w:szCs w:val="24"/>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改用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.initialized</w:t>
            </w:r>
            <w:r>
              <w:rPr>
                <w:rFonts w:ascii="Times New Roman" w:eastAsia="宋体" w:hAnsi="Times New Roman"/>
                <w:b w:val="false"/>
                <w:bCs w:val="false"/>
                <w:i w:val="false"/>
                <w:iCs w:val="false"/>
                <w:sz w:val="24"/>
                <w:szCs w:val="24"/>
              </w:rPr>
              <w:t xml:space="preserve"> 标记文件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等位置，对应第三章中提到的尚未实现的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leftChars="0" w:rightChars="0" w:firstLineChars="0" w:hangingChars="0"/>
        <w:jc w:val="left"/>
      </w:pPr>
      <w:r>
        <w:bookmarkStart w:id="59" w:name="heading_4_u2e11_u20_u672c_u5730_u6a21_u62df_u73af_u5883_u4e00_u81f4_u6027_u9a8c_"/>
      </w:r>
      <w:r>
        <w:t xml:space="preserve">4.11 本地模拟环境一致性验证</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4.6 节明确了 SimTradeLab 是大规模回测的主要执行环境，4.10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4.9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完成日期、买入与卖出交易日、退出原因、止损价与止盈价主体以及分红收益——也完全一致。对账结果如表4-7所示。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均为 92 条；终态分布为 39 条 </w:t>
            </w:r>
            <w:r>
              <w:rPr>
                <w:rFonts w:ascii="Times New Roman" w:eastAsia="宋体" w:hAnsi="Times New Roman"/>
                <w:b w:val="false"/>
                <w:bCs w:val="false"/>
                <w:i w:val="false"/>
                <w:iCs w:val="false"/>
                <w:sz w:val="24"/>
                <w:szCs w:val="24"/>
              </w:rPr>
              <w:t xml:space="preserve">NORMAL</w:t>
            </w:r>
            <w:r>
              <w:rPr>
                <w:rFonts w:ascii="Times New Roman" w:eastAsia="宋体" w:hAnsi="Times New Roman"/>
                <w:b w:val="false"/>
                <w:bCs w:val="false"/>
                <w:i w:val="false"/>
                <w:iCs w:val="false"/>
                <w:sz w:val="24"/>
                <w:szCs w:val="24"/>
              </w:rPr>
              <w:t xml:space="preserve">、20 条 </w:t>
            </w:r>
            <w:r>
              <w:rPr>
                <w:rFonts w:ascii="Times New Roman" w:eastAsia="宋体" w:hAnsi="Times New Roman"/>
                <w:b w:val="false"/>
                <w:bCs w:val="false"/>
                <w:i w:val="false"/>
                <w:iCs w:val="false"/>
                <w:sz w:val="24"/>
                <w:szCs w:val="24"/>
              </w:rPr>
              <w:t xml:space="preserve">CANCEL_BY_TDST_RULE_4</w:t>
            </w:r>
            <w:r>
              <w:rPr>
                <w:rFonts w:ascii="Times New Roman" w:eastAsia="宋体" w:hAnsi="Times New Roman"/>
                <w:b w:val="false"/>
                <w:bCs w:val="false"/>
                <w:i w:val="false"/>
                <w:iCs w:val="false"/>
                <w:sz w:val="24"/>
                <w:szCs w:val="24"/>
              </w:rPr>
              <w:t xml:space="preserve">、18 条 </w:t>
            </w:r>
            <w:r>
              <w:rPr>
                <w:rFonts w:ascii="Times New Roman" w:eastAsia="宋体" w:hAnsi="Times New Roman"/>
                <w:b w:val="false"/>
                <w:bCs w:val="false"/>
                <w:i w:val="false"/>
                <w:iCs w:val="false"/>
                <w:sz w:val="24"/>
                <w:szCs w:val="24"/>
              </w:rPr>
              <w:t xml:space="preserve">CANCEL_BY_SAME_SETUP</w:t>
            </w:r>
            <w:r>
              <w:rPr>
                <w:rFonts w:ascii="Times New Roman" w:eastAsia="宋体" w:hAnsi="Times New Roman"/>
                <w:b w:val="false"/>
                <w:bCs w:val="false"/>
                <w:i w:val="false"/>
                <w:iCs w:val="false"/>
                <w:sz w:val="24"/>
                <w:szCs w:val="24"/>
              </w:rPr>
              <w:t xml:space="preserve">、15 条 </w:t>
            </w:r>
            <w:r>
              <w:rPr>
                <w:rFonts w:ascii="Times New Roman" w:eastAsia="宋体" w:hAnsi="Times New Roman"/>
                <w:b w:val="false"/>
                <w:bCs w:val="false"/>
                <w:i w:val="false"/>
                <w:iCs w:val="false"/>
                <w:sz w:val="24"/>
                <w:szCs w:val="24"/>
              </w:rPr>
              <w:t xml:space="preserve">CANCEL_BY_OPPOSITE_SETUP</w:t>
            </w:r>
            <w:r>
              <w:rPr>
                <w:rFonts w:ascii="Times New Roman" w:eastAsia="宋体" w:hAnsi="Times New Roman"/>
                <w:b w:val="false"/>
                <w:bCs w:val="false"/>
                <w:i w:val="false"/>
                <w:iCs w:val="false"/>
                <w:sz w:val="24"/>
                <w:szCs w:val="24"/>
              </w:rPr>
              <w:t xml:space="preserve">；其中 22 笔买入成交、70 笔未买入（含 17 笔 </w:t>
            </w:r>
            <w:r>
              <w:rPr>
                <w:rFonts w:ascii="Times New Roman" w:eastAsia="宋体" w:hAnsi="Times New Roman"/>
                <w:b w:val="false"/>
                <w:bCs w:val="false"/>
                <w:i w:val="false"/>
                <w:iCs w:val="false"/>
                <w:sz w:val="24"/>
                <w:szCs w:val="24"/>
              </w:rPr>
              <w:t xml:space="preserve">ORDER_REJECTED</w:t>
            </w:r>
            <w:r>
              <w:rPr>
                <w:rFonts w:ascii="Times New Roman" w:eastAsia="宋体" w:hAnsi="Times New Roman"/>
                <w:b w:val="false"/>
                <w:bCs w:val="false"/>
                <w:i w:val="false"/>
                <w:iCs w:val="false"/>
                <w:sz w:val="24"/>
                <w:szCs w:val="24"/>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已闭环卖出的 19 笔交易的 </w:t>
            </w:r>
            <w:r>
              <w:rPr>
                <w:rFonts w:ascii="Times New Roman" w:eastAsia="宋体" w:hAnsi="Times New Roman"/>
                <w:b w:val="false"/>
                <w:bCs w:val="false"/>
                <w:i w:val="false"/>
                <w:iCs w:val="false"/>
                <w:sz w:val="24"/>
                <w:szCs w:val="24"/>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 笔 </w:t>
            </w:r>
            <w:r>
              <w:rPr>
                <w:rFonts w:ascii="Times New Roman" w:eastAsia="宋体" w:hAnsi="Times New Roman"/>
                <w:b w:val="false"/>
                <w:bCs w:val="false"/>
                <w:i w:val="false"/>
                <w:iCs w:val="false"/>
                <w:sz w:val="24"/>
                <w:szCs w:val="24"/>
              </w:rPr>
              <w:t xml:space="preserve">STOP_LOSS</w:t>
            </w:r>
            <w:r>
              <w:rPr>
                <w:rFonts w:ascii="Times New Roman" w:eastAsia="宋体" w:hAnsi="Times New Roman"/>
                <w:b w:val="false"/>
                <w:bCs w:val="false"/>
                <w:i w:val="false"/>
                <w:iCs w:val="false"/>
                <w:sz w:val="24"/>
                <w:szCs w:val="24"/>
              </w:rPr>
              <w:t xml:space="preserve">、3 笔 </w:t>
            </w:r>
            <w:r>
              <w:rPr>
                <w:rFonts w:ascii="Times New Roman" w:eastAsia="宋体" w:hAnsi="Times New Roman"/>
                <w:b w:val="false"/>
                <w:bCs w:val="false"/>
                <w:i w:val="false"/>
                <w:iCs w:val="false"/>
                <w:sz w:val="24"/>
                <w:szCs w:val="24"/>
              </w:rPr>
              <w:t xml:space="preserve">TREND_REVERSAL</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PROFIT_TARGET</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 等价格类字段最大差异约 0.01 元，未改变任何事件识别结果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除上述完全一致项外，两环境之间仍存在三类可解释差异，分类与原因如表4-8所示。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 记录为 </w:t>
            </w:r>
            <w:r>
              <w:rPr>
                <w:rFonts w:ascii="Times New Roman" w:eastAsia="宋体" w:hAnsi="Times New Roman"/>
                <w:b w:val="false"/>
                <w:bCs w:val="false"/>
                <w:i w:val="false"/>
                <w:iCs w:val="false"/>
                <w:sz w:val="24"/>
                <w:szCs w:val="24"/>
              </w:rPr>
              <w:t xml:space="preserve">00:00:00</w:t>
            </w:r>
            <w:r>
              <w:rPr>
                <w:rFonts w:ascii="Times New Roman" w:eastAsia="宋体" w:hAnsi="Times New Roman"/>
                <w:b w:val="false"/>
                <w:bCs w:val="false"/>
                <w:i w:val="false"/>
                <w:iCs w:val="false"/>
                <w:sz w:val="24"/>
                <w:szCs w:val="24"/>
              </w:rPr>
              <w:t xml:space="preserve">，PTrade 记录为 </w:t>
            </w:r>
            <w:r>
              <w:rPr>
                <w:rFonts w:ascii="Times New Roman" w:eastAsia="宋体" w:hAnsi="Times New Roman"/>
                <w:b w:val="false"/>
                <w:bCs w:val="false"/>
                <w:i w:val="false"/>
                <w:iCs w:val="false"/>
                <w:sz w:val="24"/>
                <w:szCs w:val="24"/>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r>
              <w:rPr>
                <w:rFonts w:ascii="Times New Roman" w:eastAsia="宋体" w:hAnsi="Times New Roman"/>
                <w:b w:val="false"/>
                <w:bCs w:val="false"/>
                <w:i w:val="false"/>
                <w:iCs w:val="false"/>
                <w:sz w:val="24"/>
                <w:szCs w:val="24"/>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由价格末位差异传导至 </w:t>
            </w:r>
            <w:r>
              <w:rPr>
                <w:rFonts w:ascii="Times New Roman" w:eastAsia="宋体" w:hAnsi="Times New Roman"/>
                <w:b w:val="false"/>
                <w:bCs w:val="false"/>
                <w:i w:val="false"/>
                <w:iCs w:val="false"/>
                <w:sz w:val="24"/>
                <w:szCs w:val="24"/>
              </w:rPr>
              <w:t xml:space="preserve">price_pnl</w:t>
            </w:r>
            <w:r>
              <w:rPr>
                <w:rFonts w:ascii="Times New Roman" w:eastAsia="宋体" w:hAnsi="Times New Roman"/>
                <w:b w:val="false"/>
                <w:bCs w:val="false"/>
                <w:i w:val="false"/>
                <w:iCs w:val="false"/>
                <w:sz w:val="24"/>
                <w:szCs w:val="24"/>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可接受，未改变交易方向、退出原因与适用性结论</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综合表4-7 与表4-8，可以认为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作为全市场长周期回测的主要执行环境，第五章统计以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leftChars="0" w:rightChars="0" w:firstLineChars="0" w:hangingChars="0"/>
        <w:jc w:val="left"/>
      </w:pPr>
      <w:r>
        <w:bookmarkStart w:id="60" w:name="heading_4_u2e12_u20_u672c_u7ae0_u5c0f_u7ed3"/>
      </w:r>
      <w:r>
        <w:t xml:space="preserve">4.12 本章小结</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的小样本一致性验证保证本地回测结果的可信度。第五章将在该系统输出基础上开展事件研究、事件驱动交易回测与适用性分层分析。</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61" w:name="heading__u7b2c_u4e94_u7ae0_u20_u56de_u6d4b_u65b9_u6cd5_u4e0e_u9002_u7528_u6027_u"/>
      </w:r>
      <w:r>
        <w:t xml:space="preserve">第五章 回测方法与适用性分析</w:t>
      </w:r>
      <w:r>
        <w:bookmarkEnd w:id="61"/>
      </w:r>
    </w:p>
    <w:p>
      <w:pPr>
        <w:pStyle w:val="BUPTHeading2"/>
        <w:spacing w:after="120" w:before="120" w:line="360" w:lineRule="auto"/>
        <w:ind w:left="0" w:right="0" w:hanging="0" w:firstLine="0" w:leftChars="0" w:rightChars="0" w:firstLineChars="0" w:hangingChars="0"/>
        <w:jc w:val="left"/>
      </w:pPr>
      <w:r>
        <w:bookmarkStart w:id="62" w:name="heading_5_u2e1_u20_u56de_u6d4b_u7814_u7a76_u76ee_u6807"/>
      </w:r>
      <w:r>
        <w:t xml:space="preserve">5.1 回测研究目标</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3" w:name="cite_26_1"/>
      </w:r>
      <w:r>
        <w:rPr>
          <w:rFonts w:ascii="Times New Roman" w:eastAsia="宋体" w:hAnsi="Times New Roman"/>
          <w:b w:val="false"/>
          <w:bCs w:val="false"/>
          <w:i w:val="false"/>
          <w:iCs w:val="false"/>
          <w:sz w:val="24"/>
          <w:szCs w:val="24"/>
        </w:rPr>
        <w:t xml:space="preserve"/>
      </w:r>
      <w:r>
        <w:bookmarkEnd w:id="63"/>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4" w:name="cite_27_1"/>
      </w:r>
      <w:r>
        <w:rPr>
          <w:rFonts w:ascii="Times New Roman" w:eastAsia="宋体" w:hAnsi="Times New Roman"/>
          <w:b w:val="false"/>
          <w:bCs w:val="false"/>
          <w:i w:val="false"/>
          <w:iCs w:val="false"/>
          <w:sz w:val="24"/>
          <w:szCs w:val="24"/>
        </w:rPr>
        <w:t xml:space="preserve"/>
      </w:r>
      <w:r>
        <w:bookmarkEnd w:id="64"/>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5" w:name="cite_28_1"/>
      </w:r>
      <w:r>
        <w:rPr>
          <w:rFonts w:ascii="Times New Roman" w:eastAsia="宋体" w:hAnsi="Times New Roman"/>
          <w:b w:val="false"/>
          <w:bCs w:val="false"/>
          <w:i w:val="false"/>
          <w:iCs w:val="false"/>
          <w:sz w:val="24"/>
          <w:szCs w:val="24"/>
        </w:rPr>
        <w:t xml:space="preserve"/>
      </w:r>
      <w:r>
        <w:bookmarkEnd w:id="65"/>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6" w:name="heading_5_u2e2_u20_u6570_u636e_u6837_u672c_u4e0e_u9884_u5904_u7406_u65b9_u6cd5"/>
      </w:r>
      <w:r>
        <w:t xml:space="preserve">5.2 数据样本与预处理方法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在本地完成回测。正式统计前先按照第四章的一致性验证方法对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7" w:name="cite_20_2"/>
      </w:r>
      <w:r>
        <w:rPr>
          <w:rFonts w:ascii="Times New Roman" w:eastAsia="宋体" w:hAnsi="Times New Roman"/>
          <w:b w:val="false"/>
          <w:bCs w:val="false"/>
          <w:i w:val="false"/>
          <w:iCs w:val="false"/>
          <w:sz w:val="24"/>
          <w:szCs w:val="24"/>
        </w:rPr>
        <w:t xml:space="preserve"/>
      </w:r>
      <w:r>
        <w:bookmarkEnd w:id="67"/>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68" w:name="cite_23_2"/>
      </w:r>
      <w:r>
        <w:rPr>
          <w:rFonts w:ascii="Times New Roman" w:eastAsia="宋体" w:hAnsi="Times New Roman"/>
          <w:b w:val="false"/>
          <w:bCs w:val="false"/>
          <w:i w:val="false"/>
          <w:iCs w:val="false"/>
          <w:sz w:val="24"/>
          <w:szCs w:val="24"/>
        </w:rPr>
        <w:t xml:space="preserve"/>
      </w:r>
      <w:r>
        <w:bookmarkEnd w:id="68"/>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4333"/>
        <w:gridCol w:w="4737"/>
      </w:tblGrid>
      <w:tr>
        <w:trPr>
          <w:cantSplit/>
          <w:tblHeader/>
        </w:trPr>
        <w:tc>
          <w:tcPr>
            <w:tcW w:type="dxa" w:w="43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7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A 股股票，经退市、退市整理和 ST 状态过滤</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配置股票池</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5014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实际产生 Buy Countdown 完成事件的股票数</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4839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 天</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事件输出数量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2,013,247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事件窗口成熟样本数量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1,664,187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交易生命周期记录数量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113,806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实际成交完整交易数量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 笔</w:t>
            </w:r>
          </w:p>
        </w:tc>
      </w:tr>
      <w:tr>
        <w:trPr>
          <w:cantSplit/>
          <w:tblHeader w:val="false"/>
        </w:trPr>
        <w:tc>
          <w:tcPr>
            <w:tcW w:type="dxa" w:w="43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平均同时持仓股票数量</w:t>
            </w:r>
          </w:p>
        </w:tc>
        <w:tc>
          <w:tcPr>
            <w:tcW w:type="dxa" w:w="47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706.2 支（最大 1066 支）</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年以前的预热事件，占总体样本比例极低。为保持输出文件的完整性，本文在统计中保留这些预热记录，不影响主要结论。配置股票池共 5014 支，其中 4839 支在样本期内至少产生 1 次 Buy Countdown 完成事件，差额主要来自 2016 年以后陆续上市的次新股在前 120 交易日不纳入信号统计、以及部分股票在样本期内长期处于停牌或退市整理状态。</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9" w:name="heading_5_u2e3_u20TD_u20_u4fe1_u53f7_u4e8b_u4ef6_u7814_u7a76_u65b9_u6cd5"/>
      </w:r>
      <w:r>
        <w:t xml:space="preserve">5.3 TD 信号事件研究方法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0" w:name="cite_27_2"/>
      </w:r>
      <w:r>
        <w:rPr>
          <w:rFonts w:ascii="Times New Roman" w:eastAsia="宋体" w:hAnsi="Times New Roman"/>
          <w:b w:val="false"/>
          <w:bCs w:val="false"/>
          <w:i w:val="false"/>
          <w:iCs w:val="false"/>
          <w:sz w:val="24"/>
          <w:szCs w:val="24"/>
        </w:rPr>
        <w:t xml:space="preserve"/>
      </w:r>
      <w:r>
        <w:bookmarkEnd w:id="70"/>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71" w:name="cite_28_2"/>
      </w:r>
      <w:r>
        <w:rPr>
          <w:rFonts w:ascii="Times New Roman" w:eastAsia="宋体" w:hAnsi="Times New Roman"/>
          <w:b w:val="false"/>
          <w:bCs w:val="false"/>
          <w:i w:val="false"/>
          <w:iCs w:val="false"/>
          <w:sz w:val="24"/>
          <w:szCs w:val="24"/>
        </w:rPr>
        <w:t xml:space="preserve"/>
      </w:r>
      <w:r>
        <w:bookmarkEnd w:id="71"/>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502"/>
        <w:gridCol w:w="3649"/>
        <w:gridCol w:w="2919"/>
      </w:tblGrid>
      <w:tr>
        <w:trPr>
          <w:cantSplit/>
          <w:tblHeader/>
        </w:trPr>
        <w:tc>
          <w:tcPr>
            <w:tcW w:type="dxa" w:w="25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3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91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方向收益均值 95% 置信区间</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mean ± 1.96 × 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 = sd / √n</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大样本下基于中心极限定理近似</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方向胜率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方向收益率为正的事件占比</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衡量信号判断方向的概率</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25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3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将样本以 2021-01-01 为界划分前后两段</w:t>
            </w:r>
          </w:p>
        </w:tc>
        <w:tc>
          <w:tcPr>
            <w:tcW w:type="dxa" w:w="291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检验方向特征是否依赖单一时段</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本文对事件收益分布计算样本量、均值、95% 置信区间、中位数、25% 与 75% 分位数、方向胜率以及最大有利波动与最大不利波动的中位数。为避免只依赖单一均值结论，本文优先使用中位数与分位数描述 TD 信号的典型表现，并结合最大不利波动判断信号风险。当方向收益均值在 95% 置信区间下显著偏离 0 且方向中位数与之同号、子期间结论一致时，则认为该类 TD 信号在事件层具有稳定方向性；若仅出现在均值或仅依赖单一时段，则只作为有限的现象记录。</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913"/>
        <w:gridCol w:w="948"/>
        <w:gridCol w:w="870"/>
        <w:gridCol w:w="952"/>
        <w:gridCol w:w="986"/>
        <w:gridCol w:w="720"/>
        <w:gridCol w:w="1117"/>
        <w:gridCol w:w="1124"/>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9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94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20日方向收益均值</w:t>
            </w:r>
          </w:p>
        </w:tc>
        <w:tc>
          <w:tcPr>
            <w:tcW w:type="dxa" w:w="9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60日方向收益中位数</w:t>
            </w:r>
          </w:p>
        </w:tc>
        <w:tc>
          <w:tcPr>
            <w:tcW w:type="dxa" w:w="9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120日方向收益中位数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20日方向胜率</w:t>
            </w:r>
          </w:p>
        </w:tc>
        <w:tc>
          <w:tcPr>
            <w:tcW w:type="dxa" w:w="11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1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114,960</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+0.19%</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50.5%</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+7.47%</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-6.73%</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36,318</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+7.34%</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-6.79%</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99,383</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+0.44%</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+0.26%</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-1.57%</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-9.07%</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25,775</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+0.60%</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+0.65%</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+3.90%</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+9.06%</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-8.38%</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152,449</w:t>
            </w:r>
          </w:p>
        </w:tc>
        <w:tc>
          <w:tcPr>
            <w:tcW w:type="dxa" w:w="9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4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+0.51%</w:t>
            </w:r>
          </w:p>
        </w:tc>
        <w:tc>
          <w:tcPr>
            <w:tcW w:type="dxa" w:w="9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+0.07%</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50.8%</w:t>
            </w:r>
          </w:p>
        </w:tc>
        <w:tc>
          <w:tcPr>
            <w:tcW w:type="dxa" w:w="11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+8.21%</w:t>
            </w:r>
          </w:p>
        </w:tc>
        <w:tc>
          <w:tcPr>
            <w:tcW w:type="dxa" w:w="11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-7.52%</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5-4，TD 序列在事件层面能够稳定产生大规模样本，但不同事件类型的方向特征差异显著。以 20 日窗口为例，五类事件方向收益均值的 95% 置信区间分别为：Buy Setup 完成 [+1.70%, +1.93%]、Buy Countdown 完成 [+1.17%, +1.46%]、Sell Setup 完成 [-1.81%, -1.33%]、Sell Countdown 完成 [+0.37%, +0.93%]、Countdown 取消 [-0.11%, +0.00%]；前四类置信区间均不覆盖 0，方向均值在 5% 显著性水平下显著，Countdown 取消的置信区间紧贴 0，可视作均值不显著。Buy Countdown 完成是本文交易回测的核心入场信号，其 5 日与 20 日方向收益中位数分别为 +0.18% 与 0.00%、20 日方向胜率为 49.7%，短期内并未体现出稳定的反弹优势；但 60 日与 120 日方向收益均值分别为 +5.41% 与 +7.57%，95% 置信区间分别为 [+4.79%, +6.02%] 与 [+6.88%, +8.26%]，均显著大于 0，说明在中长期窗口内事件平均存在显著的多头方向收益，其典型形态为“短期震荡—中期回升”。Buy Setup 完成的 5 日方向收益中位数为 +0.28%，20、60、120 日方向收益均值均为正且 95% 置信区间始终位于 0 以上，方向特征比 Buy Countdown 更早出现，但中位数幅度较小，更接近“早期提示”性质。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Sell 方向事件出现了与文献中常见的“卖出信号反向”现象一致的结构。Sell Setup 完成事件的 20 日方向收益均值为 -1.57%（即在卖出方向上反向 1.57%），95% 置信区间显著为负，说明 Sell Setup 在 A 股样本中并非稳定的看跌预测信号，更多体现为“超买后的进一步惯性”。Sell Countdown 完成事件则呈现典型的“短中期看跌、长期反转”特征：5 日、20 日和 60 日方向收益中位数依次为 +0.60%、+2.43% 与 +3.90%，20 日方向胜率达到 58.0%（同期 Buy 方向事件均不到 51%）；但 60 日与 120 日方向收益均值反转为 -0.85% 与 -2.60%，95% 置信区间均显著为负，说明该信号能够在 1～3 个月内反映多头力量衰竭，6 个月以上的看空判断往往被超卖反弹否定。Countdown 取消事件共 152,449 条，明显多于 Countdown 完成事件，且其方向收益分布在不同窗口下基本以 0 为中心，胜率均接近 50.8%，与上述置信区间紧贴 0 的结论相互印证，表明 TD 序列在 A 股日线环境中因 TDST 突破或反向 Setup 频繁失效是普遍现象，进一步说明只把“完成事件”作为入场基础、把“取消事件”作为信号失效记录的处理是合理的。</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由于本文交易回测仅以 Buy Countdown 完成作为入场信号，事件研究层面的结论可以归纳为：Buy Countdown 完成在 A 股样本中对应“波动空间约 ±7%、短期震荡、中期均值显著为正”的价格行为，因此能否将其转化为可交易策略，关键取决于后续章节中风控规则对最大有利波动与最大不利波动的截断方式。</w:t>
      </w:r>
    </w:p>
    <w:p>
      <w:pPr>
        <w:pStyle w:val="BUPTHeading2"/>
        <w:spacing w:after="120" w:before="120" w:line="360" w:lineRule="auto"/>
        <w:ind w:left="0" w:right="0" w:hanging="0" w:firstLine="0" w:leftChars="0" w:rightChars="0" w:firstLineChars="0" w:hangingChars="0"/>
        <w:jc w:val="left"/>
      </w:pPr>
      <w:r>
        <w:bookmarkStart w:id="72" w:name="heading_5_u2e4_u20_u4e8b_u4ef6_u9a71_u52a8_u4ea4_u6613_u56de_u6d4b_u65b9_u6cd5"/>
      </w:r>
      <w:r>
        <w:t xml:space="preserve">5.4 事件驱动交易回测方法</w:t>
      </w:r>
      <w:r>
        <w:bookmarkEnd w:id="7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与可选的趋势反转退出信号。事件驱动回测按照“信号出现、下一可交易日执行、持仓期间按规则退出”的顺序推进，避免在信号日收盘后又假设以同日收盘价成交的未来函数问题。入场日为信号事件日后的下一可交易日，入场以 PTrade 真实撮合回报中的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为成交价；若下一交易日停牌或挂单未在 5 个自然日内全部成交，则由通用交易执行层按软超时主动撤单退出该次入场尝试，30 个自然日仍无法消化的挂单触发硬超时强制摘除。</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10,000,000 元，每次买入目标金额为组合当日总资产的 0.1%，单只股票同一时间可以持有多笔未平仓交易，组合不设硬性持仓数量上限，仅以可用现金作为隐式约束；样本期内组合平均同时持仓 706.2 支股票，最大达到 1066 支。若可用现金低于 </w:t>
      </w:r>
      <w:r>
        <w:rPr>
          <w:rFonts w:ascii="Times New Roman" w:eastAsia="宋体" w:hAnsi="Times New Roman"/>
          <w:b w:val="false"/>
          <w:bCs w:val="false"/>
          <w:i w:val="false"/>
          <w:iCs w:val="false"/>
          <w:sz w:val="24"/>
          <w:szCs w:val="24"/>
        </w:rPr>
        <w:t xml:space="preserve">min_cash_for_buy</w:t>
      </w:r>
      <w:r>
        <w:rPr>
          <w:rFonts w:ascii="Times New Roman" w:eastAsia="宋体" w:hAnsi="Times New Roman"/>
          <w:b w:val="false"/>
          <w:bCs w:val="false"/>
          <w:i w:val="false"/>
          <w:iCs w:val="false"/>
          <w:sz w:val="24"/>
          <w:szCs w:val="24"/>
        </w:rPr>
        <w:t xml:space="preserve">（1000 元）或买入目标金额低于 </w:t>
      </w:r>
      <w:r>
        <w:rPr>
          <w:rFonts w:ascii="Times New Roman" w:eastAsia="宋体" w:hAnsi="Times New Roman"/>
          <w:b w:val="false"/>
          <w:bCs w:val="false"/>
          <w:i w:val="false"/>
          <w:iCs w:val="false"/>
          <w:sz w:val="24"/>
          <w:szCs w:val="24"/>
        </w:rPr>
        <w:t xml:space="preserve">min_trade_value</w:t>
      </w:r>
      <w:r>
        <w:rPr>
          <w:rFonts w:ascii="Times New Roman" w:eastAsia="宋体" w:hAnsi="Times New Roman"/>
          <w:b w:val="false"/>
          <w:bCs w:val="false"/>
          <w:i w:val="false"/>
          <w:iCs w:val="false"/>
          <w:sz w:val="24"/>
          <w:szCs w:val="24"/>
        </w:rPr>
        <w:t xml:space="preserve">（1000 元），则该信号记为 </w:t>
      </w:r>
      <w:r>
        <w:rPr>
          <w:rFonts w:ascii="Times New Roman" w:eastAsia="宋体" w:hAnsi="Times New Roman"/>
          <w:b w:val="false"/>
          <w:bCs w:val="false"/>
          <w:i w:val="false"/>
          <w:iCs w:val="false"/>
          <w:sz w:val="24"/>
          <w:szCs w:val="24"/>
        </w:rPr>
        <w:t xml:space="preserve">INSUFFICIENT_CASH</w:t>
      </w:r>
      <w:r>
        <w:rPr>
          <w:rFonts w:ascii="Times New Roman" w:eastAsia="宋体" w:hAnsi="Times New Roman"/>
          <w:b w:val="false"/>
          <w:bCs w:val="false"/>
          <w:i w:val="false"/>
          <w:iCs w:val="false"/>
          <w:sz w:val="24"/>
          <w:szCs w:val="24"/>
        </w:rPr>
        <w:t xml:space="preserve"> 拒单。交易成本设置为买卖双边佣金万分之三（最低 5 元）、卖出印花税千分之一、单边滑点千分之一，并按 PTrade 默认规则补加经手费。交易成本是回测与实盘差异的重要来源，相关研究将交易成本划分为显性成本与隐性成本，并强调最优执行和成本估计对策略评价的影响</w:t>
      </w:r>
      <w:r>
        <w:bookmarkStart w:id="73" w:name="cite_29_1"/>
      </w:r>
      <w:r>
        <w:rPr>
          <w:rFonts w:ascii="Times New Roman" w:eastAsia="宋体" w:hAnsi="Times New Roman"/>
          <w:b w:val="false"/>
          <w:bCs w:val="false"/>
          <w:i w:val="false"/>
          <w:iCs w:val="false"/>
          <w:sz w:val="24"/>
          <w:szCs w:val="24"/>
        </w:rPr>
        <w:t xml:space="preserve"/>
      </w:r>
      <w:r>
        <w:bookmarkEnd w:id="73"/>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4" w:name="cite_15_2"/>
      </w:r>
      <w:r>
        <w:rPr>
          <w:rFonts w:ascii="Times New Roman" w:eastAsia="宋体" w:hAnsi="Times New Roman"/>
          <w:b w:val="false"/>
          <w:bCs w:val="false"/>
          <w:i w:val="false"/>
          <w:iCs w:val="false"/>
          <w:sz w:val="24"/>
          <w:szCs w:val="24"/>
        </w:rPr>
        <w:t xml:space="preserve"/>
      </w:r>
      <w:r>
        <w:bookmarkEnd w:id="74"/>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5" w:name="cite_16_2"/>
      </w:r>
      <w:r>
        <w:rPr>
          <w:rFonts w:ascii="Times New Roman" w:eastAsia="宋体" w:hAnsi="Times New Roman"/>
          <w:b w:val="false"/>
          <w:bCs w:val="false"/>
          <w:i w:val="false"/>
          <w:iCs w:val="false"/>
          <w:sz w:val="24"/>
          <w:szCs w:val="24"/>
        </w:rPr>
        <w:t xml:space="preserve"/>
      </w:r>
      <w:r>
        <w:bookmarkEnd w:id="75"/>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风险价位（1R 止损），则以止损价退出；第二，若价格触及 1.5R 止盈目标，则以止盈价退出；第三，若出现 Sell Countdown 完成且该笔持仓处于盈利状态，则以该日收盘价退出；第四，若持仓达到最大持仓 400 个交易日仍未触发上述任一条件，则强制按收盘价平仓。同一根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Setup、Countdown、取消事件、事件收益、最大有利波动与最大不利波动等信号层指标。该差异仅可能影响事件驱动交易回测中的退出时点、成交价格与资金曲线。鉴于本文研究重点在于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40"/>
        <w:gridCol w:w="7230"/>
      </w:tblGrid>
      <w:tr>
        <w:trPr>
          <w:cantSplit/>
          <w:tblHeader/>
        </w:trPr>
        <w:tc>
          <w:tcPr>
            <w:tcW w:type="dxa" w:w="184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7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真实撮合 </w:t>
            </w:r>
            <w:r>
              <w:rPr>
                <w:rFonts w:ascii="Times New Roman" w:eastAsia="宋体" w:hAnsi="Times New Roman"/>
                <w:b w:val="false"/>
                <w:bCs w:val="false"/>
                <w:i w:val="false"/>
                <w:iCs w:val="false"/>
                <w:sz w:val="24"/>
                <w:szCs w:val="24"/>
              </w:rPr>
              <w:t xml:space="preserve">business_price</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软超时与硬超时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 5 个自然日撤单，硬超时 30 个自然日强制摘除</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10,000,000 元</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0.1%</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持仓数量限制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不设硬性上限，受可用现金隐式约束</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风险价位（1R）</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最大持仓天数</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 个交易日，达到则强制平仓</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权益事件处理</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送股与转增调整持仓数量与成本，现金分红计入完整 trade 收益</w:t>
            </w:r>
          </w:p>
        </w:tc>
      </w:tr>
      <w:tr>
        <w:trPr>
          <w:cantSplit/>
          <w:tblHeader w:val="false"/>
        </w:trPr>
        <w:tc>
          <w:tcPr>
            <w:tcW w:type="dxa" w:w="184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7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佣金万分之三（最低 5 元）、印花税千分之一、单边滑点千分之一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86"/>
        <w:gridCol w:w="721"/>
        <w:gridCol w:w="720"/>
        <w:gridCol w:w="871"/>
        <w:gridCol w:w="1800"/>
        <w:gridCol w:w="1341"/>
        <w:gridCol w:w="1343"/>
        <w:gridCol w:w="1488"/>
      </w:tblGrid>
      <w:tr>
        <w:trPr>
          <w:cantSplit/>
          <w:tblHeader/>
        </w:trPr>
        <w:tc>
          <w:tcPr>
            <w:tcW w:type="dxa" w:w="7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7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8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8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累计盈亏（折合初始资金）</w:t>
            </w:r>
          </w:p>
        </w:tc>
        <w:tc>
          <w:tcPr>
            <w:tcW w:type="dxa" w:w="134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交易序列最大回撤</w:t>
            </w:r>
          </w:p>
        </w:tc>
        <w:tc>
          <w:tcPr>
            <w:tcW w:type="dxa" w:w="13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交易序列夏普比率</w:t>
            </w:r>
          </w:p>
        </w:tc>
        <w:tc>
          <w:tcPr>
            <w:tcW w:type="dxa" w:w="14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+86.90%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33.99%</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1.755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加入风控后形成显著正收益，单笔胜率仍低于 50%</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26,092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36.77%</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+71.80%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24.95%</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1.805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交易数减少 20%，回撤同步下降，夏普略升</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22,691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2.48</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+47.09%</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21.46%</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1.559</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收益密度下降，最大回撤进一步收敛</w:t>
            </w:r>
          </w:p>
        </w:tc>
      </w:tr>
      <w:tr>
        <w:trPr>
          <w:cantSplit/>
          <w:tblHeader w:val="false"/>
        </w:trPr>
        <w:tc>
          <w:tcPr>
            <w:tcW w:type="dxa" w:w="7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双完美 Setup + Countdown</w:t>
            </w:r>
          </w:p>
        </w:tc>
        <w:tc>
          <w:tcPr>
            <w:tcW w:type="dxa" w:w="7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8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8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w:t>
            </w:r>
          </w:p>
        </w:tc>
        <w:tc>
          <w:tcPr>
            <w:tcW w:type="dxa" w:w="134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15.63%</w:t>
            </w:r>
          </w:p>
        </w:tc>
        <w:tc>
          <w:tcPr>
            <w:tcW w:type="dxa" w:w="13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w:t>
            </w:r>
          </w:p>
        </w:tc>
        <w:tc>
          <w:tcPr>
            <w:tcW w:type="dxa" w:w="14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5-6，本次基于 SimTradeLab 全市场长周期回测显示，TD 序列在加入下一可交易日入场、TD 风险价位 1R 止损、1.5R 止盈、最大持仓 400 日与 Sell Countdown 趋势反转退出等风控规则后，全部 Buy Countdown 口径下共形成 32,780 笔完整交易，胜率为 36.55%，平均盈亏比 2.42，累计交易盈亏 8,690,421 元，按初始资金 10,000,000 元口径折合 +86.90%，交易序列最大回撤 33.99%，交易序列夏普比率为 1.755。该结果与“胜率低于 50%、但盈亏比显著大于 1”的非对称回报结构一致，验证了 1R 止损 1.5R 止盈的风控配比对 TD 信号有较强的适配性。此处“交易序列夏普比率”基于单笔交易收益率序列计算，不等同于资金曲线层面的组合夏普比率，仅用于跨过滤口径的相对比较；组合层面的资金曲线统计将在 5.5 节给出。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进一步对四种信号质量过滤口径进行比较可以发现：仅以“完美 Setup”作为过滤条件时，交易数下降至 26,092 笔（减少约 20%），胜率与盈亏比与全样本基本一致，但最大回撤从 33.99% 收敛到 24.95%，交易序列夏普比率从 1.755 提升到 1.805，是四种口径中风险调整后表现最优的方案；继续叠加“完美 Countdown”过滤后，交易数与累计收益按比例下降，夏普反而回落到 1.664，说明完美 Countdown 在排除部分非完美信号的同时也排除了一部分对回报贡献较高的中段信号，过滤价值有限。这意味着完美 Setup 是性价比最高的可选过滤层，而完美 Countdown 更适合用于事件研究层面的状态精细化，而不是直接作为交易过滤条件。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退出原因分布同样可以对上述结果给出经济上的解释。32,780 笔完整交易中，21,456 笔（65.5%）以止损 1R 退出，平均单笔盈亏 -966.9 元；7,487 笔（22.8%）以 1.5R 止盈退出，平均单笔盈亏 +2,799.9 元；1,790 笔（5.5%）以 Sell Countdown 趋势反转盈利退出，平均单笔盈亏 +3,114.8 元；2,047 笔（6.2%）触发最大持仓天数后强制平仓，平均单笔盈亏 +1,415.3 元。可以看到，止损与止盈/趋势反转的笔数比约为 2.7:1，但盈亏金额比近似 1:1.2，说明 TD 信号配合 1R 止损 1.5R 止盈的“小亏多次、大胜偶发”结构在 A 股长周期样本中是可持续的。这一结论也与 5.3 节事件层“短期方向性弱、中期均值显著为正、波动空间约 ±7%”的结论自洽：事件层显示信号本身只打开了一定的波动空间，能否将其转化为盈利由风控对最大有利波动与最大不利波动的截断方式决定。</w:t>
      </w:r>
    </w:p>
    <w:p>
      <w:pPr>
        <w:pStyle w:val="BUPTHeading2"/>
        <w:spacing w:after="120" w:before="120" w:line="360" w:lineRule="auto"/>
        <w:ind w:left="0" w:right="0" w:hanging="0" w:firstLine="0" w:leftChars="0" w:rightChars="0" w:firstLineChars="0" w:hangingChars="0"/>
        <w:jc w:val="left"/>
      </w:pPr>
      <w:r>
        <w:bookmarkStart w:id="76" w:name="heading_5_u2e5_u20_u9002_u7528_u6027_u5206_u5c42_u5206_u6790_u65b9_u6cd5"/>
      </w:r>
      <w:r>
        <w:t xml:space="preserve">5.5 适用性分层分析方法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序列规则与交易规则，只按照事件发生时的市场状态、股票特征与信号质量对完整交易样本重新分组，并比较各组交易笔数、胜率、平均盈亏比、累计盈亏与平均单笔交易收益率。Kothari 和 Warner 指出事件研究方法的性质可能受样本公司特征和波动水平影响</w:t>
      </w:r>
      <w:r>
        <w:bookmarkStart w:id="77" w:name="cite_28_3"/>
      </w:r>
      <w:r>
        <w:rPr>
          <w:rFonts w:ascii="Times New Roman" w:eastAsia="宋体" w:hAnsi="Times New Roman"/>
          <w:b w:val="false"/>
          <w:bCs w:val="false"/>
          <w:i w:val="false"/>
          <w:iCs w:val="false"/>
          <w:sz w:val="24"/>
          <w:szCs w:val="24"/>
        </w:rPr>
        <w:t xml:space="preserve"/>
      </w:r>
      <w:r>
        <w:bookmarkEnd w:id="77"/>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序列在不同市场环境与股票特征下是否存在适用边界。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分层口径采用 Buy Countdown 完成事件日前 20 个交易日的个股状态作为分组依据：若事件标的前 20 日收益率大于 5%，定义为上涨阶段；小于 -5% 定义为下跌阶段；其余为震荡阶段。流动性分组使用事件日前 20 个交易日的平均成交额，其中高成交额为不低于 3 亿元，低成交额为不高于 5000 万元，其余为中成交额。波动率分组使用事件日前 20 个交易日日收益率标准差，其中高波动组为不低于 3.5%，低波动组为不高于 1.5%，其余为中波动组。信号质量分组按照是否完美 Setup 与是否完美 Countdown 进一步交叉划分。每笔完整交易仅按其入场对应的 Buy Countdown 事件特征归入唯一桶内，避免同一交易在不同事件下被重复计入造成口径不一致。</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15"/>
        <w:gridCol w:w="985"/>
        <w:gridCol w:w="987"/>
        <w:gridCol w:w="720"/>
        <w:gridCol w:w="988"/>
        <w:gridCol w:w="1155"/>
        <w:gridCol w:w="1686"/>
        <w:gridCol w:w="1734"/>
      </w:tblGrid>
      <w:tr>
        <w:trPr>
          <w:cantSplit/>
          <w:tblHeader/>
        </w:trPr>
        <w:tc>
          <w:tcPr>
            <w:tcW w:type="dxa" w:w="8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9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9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5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累计盈亏（元）</w:t>
            </w:r>
          </w:p>
        </w:tc>
        <w:tc>
          <w:tcPr>
            <w:tcW w:type="dxa" w:w="16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平均单笔交易收益率</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44.43%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1.96</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+1,334,497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顺势补充入场机会，胜率最高但密度低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17,154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36.69%</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+4,551,573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+2.86%</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信号最密集，反弹机会与回撤压力并存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13,356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34.97%</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+2,682,463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+1.87%</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胜率最低，靠盈亏比维持正贡献</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34.31%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2.17</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+352,947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可交易性最好，但收益密度最低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16,023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36.54%</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+3,966,138</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样本最多，表现接近全样本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13,481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2.62</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+4,371,336</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收益密度高，但需警惕成交约束与容量问题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4,268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49.60%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+4,374,194</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+10.62%</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信号方向性最强、回撤最低，是适用边界的核心区间</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21,821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+4,536,730</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主要信号区间，表现接近全样本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6,667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-342,391</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唯一负贡献组，TD 在低波动结构下失效</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+4,061,033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39.25%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+3,119,079</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是性价比最高的过滤项</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33.70%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+648,305</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单独的完美 Countdown 提升有限</w:t>
            </w:r>
          </w:p>
        </w:tc>
      </w:tr>
      <w:tr>
        <w:trPr>
          <w:cantSplit/>
          <w:tblHeader w:val="false"/>
        </w:trPr>
        <w:tc>
          <w:tcPr>
            <w:tcW w:type="dxa" w:w="8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w:t>
            </w:r>
          </w:p>
        </w:tc>
        <w:tc>
          <w:tcPr>
            <w:tcW w:type="dxa" w:w="9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1,976</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40.49%</w:t>
            </w:r>
          </w:p>
        </w:tc>
        <w:tc>
          <w:tcPr>
            <w:tcW w:type="dxa" w:w="9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2.25</w:t>
            </w:r>
          </w:p>
        </w:tc>
        <w:tc>
          <w:tcPr>
            <w:tcW w:type="dxa" w:w="115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+862,004</w:t>
            </w:r>
          </w:p>
        </w:tc>
        <w:tc>
          <w:tcPr>
            <w:tcW w:type="dxa" w:w="16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+4.31%</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样本最少，仅作参考</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5-7，TD 序列的适用性在三个维度上呈现差异。第一，</w:t>
      </w:r>
      <w:r>
        <w:rPr>
          <w:rFonts w:ascii="Times New Roman" w:eastAsia="宋体" w:hAnsi="Times New Roman"/>
          <w:b/>
          <w:bCs/>
          <w:i w:val="false"/>
          <w:iCs w:val="false"/>
          <w:sz w:val="24"/>
          <w:szCs w:val="24"/>
        </w:rPr>
        <w:t xml:space="preserve">波动率是最核心的适用边界</w:t>
      </w:r>
      <w:r>
        <w:rPr>
          <w:rFonts w:ascii="Times New Roman" w:eastAsia="宋体" w:hAnsi="Times New Roman"/>
          <w:b w:val="false"/>
          <w:bCs w:val="false"/>
          <w:i w:val="false"/>
          <w:iCs w:val="false"/>
          <w:sz w:val="24"/>
          <w:szCs w:val="24"/>
        </w:rPr>
        <w:t xml:space="preserve">。高波动组（前 20 日日收益率标准差不低于 3.5%）的 4,268 笔交易胜率达到 49.60%、平均单笔交易收益率达到 +10.62%，是唯一胜率接近 50% 的分组；低波动组（标准差不高于 1.5%）则是唯一累计盈亏为负的分组，平均单笔交易收益率 -0.61%。这一结果与 5.3 节事件层“信号打开 ±7% 波动空间”的结论一致：当个股自身波动尚不足以打开止盈空间时，TD 信号的“波动空间假设”无法兑现，1.5R 止盈极难命中而 1R 止损频繁触发。第二，</w:t>
      </w:r>
      <w:r>
        <w:rPr>
          <w:rFonts w:ascii="Times New Roman" w:eastAsia="宋体" w:hAnsi="Times New Roman"/>
          <w:b/>
          <w:bCs/>
          <w:i w:val="false"/>
          <w:iCs w:val="false"/>
          <w:sz w:val="24"/>
          <w:szCs w:val="24"/>
        </w:rPr>
        <w:t xml:space="preserve">市场状态层面，下跌阶段提供最大信号密度，上涨阶段提供最高单笔回报</w:t>
      </w:r>
      <w:r>
        <w:rPr>
          <w:rFonts w:ascii="Times New Roman" w:eastAsia="宋体" w:hAnsi="Times New Roman"/>
          <w:b w:val="false"/>
          <w:bCs w:val="false"/>
          <w:i w:val="false"/>
          <w:iCs w:val="false"/>
          <w:sz w:val="24"/>
          <w:szCs w:val="24"/>
        </w:rPr>
        <w:t xml:space="preserve">。下跌阶段 17,154 笔交易（占总数 52.3%）累计盈亏 +455 万、单笔平均收益 +2.86%，验证了 TD 是“下跌耗竭后买入”信号；上涨阶段交易仅 2,246 笔但胜率 44.43%、平均单笔回报 +6.08%，体现了顺势补充入场的特征。第三，</w:t>
      </w:r>
      <w:r>
        <w:rPr>
          <w:rFonts w:ascii="Times New Roman" w:eastAsia="宋体" w:hAnsi="Times New Roman"/>
          <w:b/>
          <w:bCs/>
          <w:i w:val="false"/>
          <w:iCs w:val="false"/>
          <w:sz w:val="24"/>
          <w:szCs w:val="24"/>
        </w:rPr>
        <w:t xml:space="preserve">信号质量上完美 Setup 是最有效的可选过滤</w:t>
      </w:r>
      <w:r>
        <w:rPr>
          <w:rFonts w:ascii="Times New Roman" w:eastAsia="宋体" w:hAnsi="Times New Roman"/>
          <w:b w:val="false"/>
          <w:bCs w:val="false"/>
          <w:i w:val="false"/>
          <w:iCs w:val="false"/>
          <w:sz w:val="24"/>
          <w:szCs w:val="24"/>
        </w:rPr>
        <w:t xml:space="preserve">。仅完美 Setup 组胜率 39.25%、平均单笔回报 +3.71%，均高于全样本（36.55% / +2.72%）；而仅完美 Countdown 组胜率 33.70%、反而低于全样本，意味着完美 Countdown 不能单独作为充分过滤器。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需要指出的是，低成交额组累计盈亏 +437 万、单笔回报 +3.30%，相对高成交额组（+0.35 万 / +1.30%）确实存在收益密度优势，但该现象与冲击成本、最低交易金额约束、大资金容量上限和样本聚集等问题相关。本文的回测以单笔仓位 0.1% 与最低 1000 元交易门槛为约束，原则上能在小样本上落地；但若放大到机构资金量级，低成交额组的结论需要在加入更严格的可交易性约束（如成交额占比、价格冲击模型）后重新评估。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考虑到 TD 序列在 A 股日线下事件密度有限——单股 Buy Countdown 完成事件中位数为 8 次、最高 19 次，单股完整交易中位数为 7 次、最高 19 次——本文不再尝试通过设置单股事件阈值将“适用股票集合”固化为明确名单，因为这种做法在小样本下容易产生选择性偏差且统计意义不足。本文改为以探索性视角呈现单股表现：在完整交易数不少于 10 笔的 1175 支股票候选池中，分别按 20 日方向收益中位数与交易胜率给出前 20 名作为代表性参考；其中表 5-8 直接按 20 日方向收益中位数从大到小排序取前 20，表 5-9 在表 5-8 基础上进一步限定 20 日方向收益中位数为正以排除路径异常样本后再按交易胜率从大到小排序取前 20。两个排名共出现 36 支不重复股票（部分股票在两个维度同时入榜），说明在小样本下“事件方向收益最高”与“交易胜率最高”并不指向同一组股票，单股结果存在较大随机性。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单股 20 日方向收益中位数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770"/>
        <w:gridCol w:w="799"/>
        <w:gridCol w:w="1388"/>
        <w:gridCol w:w="1106"/>
        <w:gridCol w:w="1109"/>
        <w:gridCol w:w="720"/>
        <w:gridCol w:w="801"/>
        <w:gridCol w:w="937"/>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7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79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13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MFE 中位数</w:t>
            </w:r>
          </w:p>
        </w:tc>
        <w:tc>
          <w:tcPr>
            <w:tcW w:type="dxa" w:w="110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MAE 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8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9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601001.SS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23.68%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5.13</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600348.SS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20.97%</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36.4%</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603068.SS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15.56%</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15.32%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600546.SS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46.62%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10.39%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14.33%</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002141.SZ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10.13%</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-9.35%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002016.SZ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21.21%</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000586.SZ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27.3%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002664.SZ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12.65%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000030.SZ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8.88%</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000807.SZ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5.21</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000576.SZ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8.42%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15.49%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8.36%</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-6.29%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0.87</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8.30%</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-3.88%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600522.SS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11.82%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7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12.20%</w:t>
            </w:r>
          </w:p>
        </w:tc>
        <w:tc>
          <w:tcPr>
            <w:tcW w:type="dxa" w:w="110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8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单股交易胜率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917"/>
        <w:gridCol w:w="1063"/>
        <w:gridCol w:w="1105"/>
        <w:gridCol w:w="918"/>
        <w:gridCol w:w="1942"/>
        <w:gridCol w:w="1107"/>
        <w:gridCol w:w="1298"/>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106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11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91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9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29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000720.SZ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002162.SZ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600114.SS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4.60</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002439.SZ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2.91%</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002241.SZ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600601.SS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600593.SS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0.76%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002510.SZ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71.4%</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2.63%</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300143.SZ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300170.SZ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69.2%</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300222.SZ</w:t>
            </w:r>
          </w:p>
        </w:tc>
        <w:tc>
          <w:tcPr>
            <w:tcW w:type="dxa" w:w="106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3.20%</w:t>
            </w:r>
          </w:p>
        </w:tc>
        <w:tc>
          <w:tcPr>
            <w:tcW w:type="dxa" w:w="11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129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需要再次强调，表 5-8 与表 5-9 列出的股票均为单股完整交易数 10 至 14 次量级，统计意义有限，不能视为“TD 序列在这些股票上具有稳定适用性”的结论。从两张表可以观察到：第一，前 20 名股票分布在不同的板块代码段（沪市主板、深市主板、创业板、中小板均有出现），并未集中于某一类板块或行业；第二，子期间一致性（即将该股票样本以 2021-01-01 为界划分前后两段后两段方向均为正）在前 20 名中只有约一半为 True，进一步说明小样本下的方向收益不能稳健外推；第三，方向收益中位数最高的股票其交易胜率并不一定最高，例如排名第 11 的 000586.SZ 方向收益中位数 9.69%，但交易胜率仅 27.3%，说明高方向收益更多反映了样本期内少数大幅反弹事件，而不是稳健的入场胜率。基于以上观察，本文不将单股层面作为 TD 序列适用性的结论性证据，而是把适用边界定位在“波动率不低于 3.5% 的中高波动结构 + 完美 Setup 过滤”的二维区间内。</w:t>
      </w:r>
    </w:p>
    <w:p>
      <w:pPr>
        <w:pStyle w:val="BUPTHeading2"/>
        <w:spacing w:after="120" w:before="120" w:line="360" w:lineRule="auto"/>
        <w:ind w:left="0" w:right="0" w:hanging="0" w:firstLine="0" w:leftChars="0" w:rightChars="0" w:firstLineChars="0" w:hangingChars="0"/>
        <w:jc w:val="left"/>
      </w:pPr>
      <w:r>
        <w:bookmarkStart w:id="78" w:name="heading_5_u2e6_u20_u7a33_u5065_u6027_u68c0_u9a8c"/>
      </w:r>
      <w:r>
        <w:t xml:space="preserve">5.6 稳健性检验</w:t>
      </w:r>
      <w:r>
        <w:bookmarkEnd w:id="7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为验证结论不依赖单一观察口径，本文进行了五组稳健性检验。第一，将事件窗口从 20 个交易日扩展到 5、60 与 120 个交易日，观察事件方向收益的均值与中位数是否保持一致；第二，比较全部 Buy Countdown、仅完美 Setup、仅完美 Countdown 与双完美信号四种质量过滤口径下的交易结果，观察交易结论是否依赖单一信号筛选条件；第三，按照流动性、波动率与市场状态三个维度重新计算交易回测结果，观察盈利是否集中在不可交易或不可放大资金量的样本上；第四，将样本以 2021-01-01 为界分为 P1（2016-2020）与 P2（2021-2025）两段，分别计算两段的事件方向收益与交易回测指标，检验结论是否在不同市场环境下都成立；第五，将组合资金曲线层面的指标与交易序列层面的指标进行比对，避免使用单一指标得出不平衡的结论。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9" w:name="cite_13_2"/>
      </w:r>
      <w:r>
        <w:rPr>
          <w:rFonts w:ascii="Times New Roman" w:eastAsia="宋体" w:hAnsi="Times New Roman"/>
          <w:b w:val="false"/>
          <w:bCs w:val="false"/>
          <w:i w:val="false"/>
          <w:iCs w:val="false"/>
          <w:sz w:val="24"/>
          <w:szCs w:val="24"/>
        </w:rPr>
        <w:t xml:space="preserve"/>
      </w:r>
      <w:r>
        <w:bookmarkEnd w:id="7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80" w:name="cite_30_1"/>
      </w:r>
      <w:r>
        <w:rPr>
          <w:rFonts w:ascii="Times New Roman" w:eastAsia="宋体" w:hAnsi="Times New Roman"/>
          <w:b w:val="false"/>
          <w:bCs w:val="false"/>
          <w:i w:val="false"/>
          <w:iCs w:val="false"/>
          <w:sz w:val="24"/>
          <w:szCs w:val="24"/>
        </w:rPr>
        <w:t xml:space="preserve"/>
      </w:r>
      <w:r>
        <w:bookmarkEnd w:id="80"/>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1" w:name="cite_31_1"/>
      </w:r>
      <w:r>
        <w:rPr>
          <w:rFonts w:ascii="Times New Roman" w:eastAsia="宋体" w:hAnsi="Times New Roman"/>
          <w:b w:val="false"/>
          <w:bCs w:val="false"/>
          <w:i w:val="false"/>
          <w:iCs w:val="false"/>
          <w:sz w:val="24"/>
          <w:szCs w:val="24"/>
        </w:rPr>
        <w:t xml:space="preserve"/>
      </w:r>
      <w:r>
        <w:bookmarkEnd w:id="81"/>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82" w:name="cite_32_1"/>
      </w:r>
      <w:r>
        <w:rPr>
          <w:rFonts w:ascii="Times New Roman" w:eastAsia="宋体" w:hAnsi="Times New Roman"/>
          <w:b w:val="false"/>
          <w:bCs w:val="false"/>
          <w:i w:val="false"/>
          <w:iCs w:val="false"/>
          <w:sz w:val="24"/>
          <w:szCs w:val="24"/>
        </w:rPr>
        <w:t xml:space="preserve"/>
      </w:r>
      <w:r>
        <w:bookmarkEnd w:id="82"/>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3" w:name="cite_33_1"/>
      </w:r>
      <w:r>
        <w:rPr>
          <w:rFonts w:ascii="Times New Roman" w:eastAsia="宋体" w:hAnsi="Times New Roman"/>
          <w:b w:val="false"/>
          <w:bCs w:val="false"/>
          <w:i w:val="false"/>
          <w:iCs w:val="false"/>
          <w:sz w:val="24"/>
          <w:szCs w:val="24"/>
        </w:rPr>
        <w:t xml:space="preserve"/>
      </w:r>
      <w:r>
        <w:bookmarkEnd w:id="83"/>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表5-10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185"/>
        <w:gridCol w:w="2485"/>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4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24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 日 / 20 日 / 60 日 / 120 日</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方向收益均值依次为 +0.48% / +1.31% / +5.41% / +7.57%（95% 置信区间均显著大于 0）；Sell Countdown 方向收益均值依次为 +0.05% / +0.65% / -0.85% / -2.60%（短中期看跌、长期反转）</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支持事件层方向特征在不同窗口下存在结构性差异，且 Buy Countdown 中长期均值显著为正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信号质量过滤</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 仅完美 Setup / 仅完美 Countdown / 双完美</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 累计盈亏 +86.90%、夏普 1.755；仅完美 Setup +71.80% / 1.805；仅完美 Countdown +47.09% / 1.559；双完美 +40.61% / 1.664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支持仅完美 Setup 是性价比最高的可选过滤；完美 Countdown 单独使用并不增益</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低成交额</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三组累计盈亏分别为 +35 万 / +397 万 / +437 万，胜率分别为 34.31% / 36.54% / 37.11%；三组均为正贡献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支持盈利不集中于单一流动性桶，但低成交额组的实盘容量需要在大资金下重新评估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低波动</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 4,268 笔胜率 49.60%、平均单笔回报 +10.62%；低波动 6,667 笔胜率 29.71%、平均单笔回报 -0.61%（唯一负贡献）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支持波动率是 TD 序列的核心适用边界，低波动结构下信号失效</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P1（2016-2020）与 P2（2021-2025）</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20 日方向均值 P1=+0.37% / P2=+1.91%，胜率 P1=47.3% / P2=51.2%；交易回测累计盈亏 P1=+11.2 万 / P2=+757 万，胜率 P1=31.0% / P2=40.4%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两段方向同号、胜率同号上升；P2 表现明显强于 P1，2018-2019 熊市段拖低 P1 但未推翻方向结论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 vs 交易序列</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组合资金曲线 / 单笔交易序列</w:t>
            </w:r>
          </w:p>
        </w:tc>
        <w:tc>
          <w:tcPr>
            <w:tcW w:type="dxa" w:w="4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组合层面：总收益 +90.47%、年化 +6.91%、最大回撤 -40.49%、夏普 0.508、Sortino 0.605、Calmar 0.171；交易序列层面：累计盈亏 +86.90%、最大回撤 33.99%、夏普 1.755</w:t>
            </w:r>
          </w:p>
        </w:tc>
        <w:tc>
          <w:tcPr>
            <w:tcW w:type="dxa" w:w="24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两层面结论方向一致；组合夏普低于交易夏普，原因是组合受新建仓资金分批与同时持仓 700 余支个股的相关性约束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5-10，五组稳健性检验整体支持本文的核心结论。事件窗口方面，Buy Countdown 在 5 日至 120 日窗口的方向收益均值 95% 置信区间均位于零的上方，证明其方向性特征不是只依赖中位数或某一特定窗口；Sell Countdown 则呈现“中短期看跌有效、长期被超卖反弹否定”的结构，与 5.3 节描述一致。信号质量过滤方面，四种口径下交易序列累计盈亏均显著为正，仅完美 Setup 达到风险调整最优，验证了“完美条件不能单独构成充分过滤器，但完美 Setup 是性价比最高的过滤项”的结论。流动性与波动率分层进一步说明，盈利能力主要由波动率而非成交额驱动，波动率是 TD 序列的关键适用边界；子期间一致性检验显示 P1 与 P2 两段在事件层与交易层都给出方向相同的结果，差异主要体现在 P2（2021-2025）信号密度与单笔回报均高于 P1（2016-2020），与该期间 A 股小盘成长板块波动放大的市场背景一致。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最后，组合层面与交易序列层面的指标存在数量级差异需要单独说明。组合层面以 10,000,000 元资金跑全市场 4839 支股票、平均同时持仓 706.2 支，10 年总收益 +90.47%、年化 +6.91%、最大回撤 -40.49%、夏普 0.508、Sortino 0.605、Calmar 0.171，相对沪深 300 实现 +57.01% 的超额收益、Alpha +5.17%、Beta 0.573、信息比率 0.280。组合夏普明显低于交易序列夏普（1.755）的原因有两方面：其一，单笔仓位 0.1% 意味着大量资金长期处于现金状态，资金利用率不高；其二，组合中同时持有 700 余支股票，整体回报率与市场指数呈现 0.573 的 Beta 关系，市场系统性风险并未通过 TD 信号被消除。这一现象表明 TD 序列在 A 股长周期样本中能产生显著的 Alpha，但其策略适用性更接近于“对个股入场点位做有方向性的择时筛选”，而非“独立成形的市场中性策略”。</w:t>
      </w:r>
    </w:p>
    <w:p>
      <w:pPr>
        <w:pStyle w:val="BUPTHeading2"/>
        <w:spacing w:after="120" w:before="120" w:line="360" w:lineRule="auto"/>
        <w:ind w:left="0" w:right="0" w:hanging="0" w:firstLine="0" w:leftChars="0" w:rightChars="0" w:firstLineChars="0" w:hangingChars="0"/>
        <w:jc w:val="left"/>
      </w:pPr>
      <w:r>
        <w:bookmarkStart w:id="84" w:name="heading_5_u2e7_u20_u672c_u7ae0_u5c0f_u7ed3"/>
      </w:r>
      <w:r>
        <w:t xml:space="preserve">5.7 本章小结</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本章给出了本文实际采用的回测分析方法，并基于全市场 4839 支股票、2016-01-04 至 2025-12-31 共 2430 个交易日的回测运行结果形成实证结论。本文先对 TD 信号进行事件研究，再在固定交易规则下进行事件驱动交易回测，并进一步从市场状态、流动性、波动率与信号质量四个维度进行分层分析与稳健性检验。综合结果表明，TD 序列在事件层能够稳定生成大规模可分析样本，且 Buy Countdown 完成在中长期窗口（60 日、120 日）的方向收益均值显著大于 0，Sell Countdown 完成在 20 日窗口具有最明显的方向胜率（58.0%）但长期方向被超卖反弹否定，方向特征与文献中“超卖反弹、超买衰竭”的描述一致。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在交易层面，Buy Countdown 完成事件配合 1R 止损、1.5R 止盈、Sell Countdown 趋势反转退出与最大持仓 400 日的风控规则后，全部 32,780 笔完整交易胜率为 36.55%、平均盈亏比 2.42、累计盈亏 +86.90%、交易序列夏普比率 1.755；组合资金曲线层面 10 年总收益 +90.47%、年化 +6.91%、最大回撤 -40.49%、夏普 0.508、相对沪深 300 实现 Alpha +5.17%、信息比率 0.280。波动率分层表明 TD 序列的核心适用边界是“个股自身波动不低于 3.5% 的中高波动结构”——高波动组胜率 49.60%、单笔平均回报 +10.62%，而低波动组是唯一累计盈亏为负的分组；信号质量分层进一步表明，仅以“完美 Setup”作为过滤是性价比最高的可选过滤，而完美 Countdown 不能单独作为充分过滤器。子期间一致性检验显示 P1（2016-2020）与 P2（2021-2025）两段方向同号、P2 表现优于 P1，结论不依赖单一时段。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因此，本文认为 TD 序列在 A 股长周期样本中具备明确的工程实现价值与可观测的方向性 Alpha，但其策略定位更接近于“对个股入场点位做有方向性择时筛选”的事件驱动信号系统，而不是独立成形的市场中性策略；其稳定盈利能力依赖配套的 1R 止损 1.5R 止盈风控结构与“中高波动 + 完美 Setup”的适用边界。</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7b2c_u516d_u7ae0_u20_u603b_u7ed3_u4e0e_u5c55_u671b"/>
      </w:r>
      <w:r>
        <w:t xml:space="preserve">第六章 总结与展望</w:t>
      </w:r>
      <w:r>
        <w:bookmarkEnd w:id="85"/>
      </w:r>
    </w:p>
    <w:p>
      <w:pPr>
        <w:pStyle w:val="BUPTHeading2"/>
        <w:spacing w:after="120" w:before="120" w:line="360" w:lineRule="auto"/>
        <w:ind w:left="0" w:right="0" w:hanging="0" w:firstLine="0" w:leftChars="0" w:rightChars="0" w:firstLineChars="0" w:hangingChars="0"/>
        <w:jc w:val="left"/>
      </w:pPr>
      <w:r>
        <w:bookmarkStart w:id="86" w:name="heading_6_u2e1_u20_u7814_u7a76_u5de5_u4f5c_u603b_u7ed3"/>
      </w:r>
      <w:r>
        <w:t xml:space="preserve">6.1 研究工作总结</w:t>
      </w:r>
      <w:r>
        <w:bookmarkEnd w:id="8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1.在规则建模方面，本文将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2.在系统实现方面，本文设计了配置管理、日志、数据获取、信号处理、输出记录、交易执行和统计输出等模块。系统能够在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3.在回测分析方面，本文采用事件研究和事件驱动交易回测结合的方案，对 TD 序列在 A 股市场中的适用性进行了检验。回测覆盖 2016-2025 共 10 年、4839 支股票，共输出 2,013,247 条 TD 事件、1,664,187 条成熟事件窗口记录与 113,806 条交易生命周期记录，其中 32,780 笔为完整成交闭环。结果显示：第一，Buy Countdown 完成在中长期窗口（60 日、120 日）的方向收益均值分别为 +5.41% 与 +7.57%，均通过 95% 置信区间显著性检验，Sell Countdown 完成在 20 日窗口的方向胜率达到 58.0%、为各类事件中最高，TD 序列在事件层具有可观测的方向性。第二，Buy Countdown 完成配合 1R 止损 1.5R 止盈风控规则后，全部口径下 32,780 笔完整交易胜率 36.55%、平均盈亏比 2.42、累计盈亏 +86.90%、交易序列夏普 1.755；组合层面 10 年总收益 +90.47%、年化 +6.91%、最大回撤 -40.49%、夏普 0.508、相对沪深 300 取得 Alpha +5.17% 与 +57.01% 超额收益。第三，波动率是 TD 序列最核心的适用边界，高波动组胜率近 50%、单笔平均回报 +10.62%；低波动组是唯一负贡献组，单笔平均回报 -0.61%。第四，仅完美 Setup 是性价比最高的可选过滤项（夏普从 1.755 提升到 1.805），而完美 Countdown 单独使用不增益。由此可见，TD 序列在 A 股长周期样本中具有明确的工程实现价值与可观测的方向性 Alpha，但其策略定位更接近于“对个股入场点位做有方向性择时筛选”的事件驱动系统，依赖 1R 止损 1.5R 止盈的非对称风控结构与“中高波动 + 完美 Setup”的适用边界，并非独立成形的市场中性策略。</w:t>
      </w:r>
    </w:p>
    <w:p>
      <w:pPr>
        <w:pStyle w:val="BUPTHeading2"/>
        <w:spacing w:after="120" w:before="120" w:line="360" w:lineRule="auto"/>
        <w:ind w:left="0" w:right="0" w:hanging="0" w:firstLine="0" w:leftChars="0" w:rightChars="0" w:firstLineChars="0" w:hangingChars="0"/>
        <w:jc w:val="left"/>
      </w:pPr>
      <w:r>
        <w:bookmarkStart w:id="87" w:name="heading_6_u2e2_u20_u672a_u6765_u5de5_u4f5c_u5c55_u671b"/>
      </w:r>
      <w:r>
        <w:t xml:space="preserve">6.2 未来工作展望</w:t>
      </w:r>
      <w:r>
        <w:bookmarkEnd w:id="8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未来研究可以从四个方向展开。首先，可以在本文已实现的 Sequence Countdown 基础上，进一步扩展 Intersection、Combo Countdown、Recycle 与更细粒度的 TDST 有效突破确认，从而形成更完整的 DeMark 规则族实现，并通过消融实验定量比较不同 Countdown 规则对事件密度与适用边界的贡献。其次，可以围绕本文识别出的核心适用边界——“前 20 日波动率不低于 3.5% 且完美 Setup 触发”——构建波动率筛选与 TD 信号联动的过滤层，并在大资金量级下加入成交额占比与价格冲击模型，验证低波动组失效与低成交额组收益密度的边界条件能否在实盘资金体量下保持。第三，可以建立独立的研究型回测模块，将事件研究、样本外滚动检验、Bootstrap 置信区间、分位数回归和分层统计自动化，使 TD 序列适用性分析能够在不同参数、不同市场阶段、不同股票池与不同风控配比之间快速复现，并支持对组合层 Beta 0.573 的来源进行进一步分解。最后，可以将 TD 序列与成交量结构、行业景气度、宏观波动率或基本面过滤条件结合，并通过严格消融实验分析不同模块对结果的贡献，避免简单叠加指标后无法判断 TD 序列本身作用的问题，从而把“事件层方向性 Alpha”转化为可解释、可外推的策略组件。</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8" w:name="heading__u53c2_u8003_u6587_u732e"/>
      </w:r>
      <w:r>
        <w:t xml:space="preserve">参考文献</w:t>
      </w:r>
      <w:r>
        <w:bookmarkEnd w:id="88"/>
      </w:r>
    </w:p>
    <w:p>
      <w:pPr>
        <w:pStyle w:val="ReferenceEntry"/>
        <w:spacing w:after="0" w:before="0" w:line="360" w:lineRule="auto"/>
        <w:ind w:left="340" w:right="0" w:hanging="340" w:firstLine="0"/>
        <w:jc w:val="both"/>
      </w:pPr>
      <w:r>
        <w:bookmarkStart w:id="89" w:name="ref_1"/>
      </w:r>
      <w:r>
        <w:rPr>
          <w:rFonts w:ascii="Times New Roman" w:eastAsia="宋体" w:hAnsi="Times New Roman"/>
          <w:b w:val="false"/>
          <w:bCs w:val="false"/>
          <w:i w:val="false"/>
          <w:iCs w:val="false"/>
          <w:sz w:val="21"/>
          <w:szCs w:val="21"/>
        </w:rPr>
        <w:t xml:space="preserve">[1] </w:t>
      </w:r>
      <w:r>
        <w:bookmarkEnd w:id="89"/>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2"/>
      </w:r>
      <w:r>
        <w:rPr>
          <w:rFonts w:ascii="Times New Roman" w:eastAsia="宋体" w:hAnsi="Times New Roman"/>
          <w:b w:val="false"/>
          <w:bCs w:val="false"/>
          <w:i w:val="false"/>
          <w:iCs w:val="false"/>
          <w:sz w:val="21"/>
          <w:szCs w:val="21"/>
        </w:rPr>
        <w:t xml:space="preserve">[2] </w:t>
      </w:r>
      <w:r>
        <w:bookmarkEnd w:id="90"/>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3"/>
      </w:r>
      <w:r>
        <w:rPr>
          <w:rFonts w:ascii="Times New Roman" w:eastAsia="宋体" w:hAnsi="Times New Roman"/>
          <w:b w:val="false"/>
          <w:bCs w:val="false"/>
          <w:i w:val="false"/>
          <w:iCs w:val="false"/>
          <w:sz w:val="21"/>
          <w:szCs w:val="21"/>
        </w:rPr>
        <w:t xml:space="preserve">[3] </w:t>
      </w:r>
      <w:r>
        <w:bookmarkEnd w:id="91"/>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4"/>
      </w:r>
      <w:r>
        <w:rPr>
          <w:rFonts w:ascii="Times New Roman" w:eastAsia="宋体" w:hAnsi="Times New Roman"/>
          <w:b w:val="false"/>
          <w:bCs w:val="false"/>
          <w:i w:val="false"/>
          <w:iCs w:val="false"/>
          <w:sz w:val="21"/>
          <w:szCs w:val="21"/>
        </w:rPr>
        <w:t xml:space="preserve">[4] </w:t>
      </w:r>
      <w:r>
        <w:bookmarkEnd w:id="92"/>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5"/>
      </w:r>
      <w:r>
        <w:rPr>
          <w:rFonts w:ascii="Times New Roman" w:eastAsia="宋体" w:hAnsi="Times New Roman"/>
          <w:b w:val="false"/>
          <w:bCs w:val="false"/>
          <w:i w:val="false"/>
          <w:iCs w:val="false"/>
          <w:sz w:val="21"/>
          <w:szCs w:val="21"/>
        </w:rPr>
        <w:t xml:space="preserve">[5] </w:t>
      </w:r>
      <w:r>
        <w:bookmarkEnd w:id="93"/>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6"/>
      </w:r>
      <w:r>
        <w:rPr>
          <w:rFonts w:ascii="Times New Roman" w:eastAsia="宋体" w:hAnsi="Times New Roman"/>
          <w:b w:val="false"/>
          <w:bCs w:val="false"/>
          <w:i w:val="false"/>
          <w:iCs w:val="false"/>
          <w:sz w:val="21"/>
          <w:szCs w:val="21"/>
        </w:rPr>
        <w:t xml:space="preserve">[6] </w:t>
      </w:r>
      <w:r>
        <w:bookmarkEnd w:id="94"/>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7"/>
      </w:r>
      <w:r>
        <w:rPr>
          <w:rFonts w:ascii="Times New Roman" w:eastAsia="宋体" w:hAnsi="Times New Roman"/>
          <w:b w:val="false"/>
          <w:bCs w:val="false"/>
          <w:i w:val="false"/>
          <w:iCs w:val="false"/>
          <w:sz w:val="21"/>
          <w:szCs w:val="21"/>
        </w:rPr>
        <w:t xml:space="preserve">[7] </w:t>
      </w:r>
      <w:r>
        <w:bookmarkEnd w:id="95"/>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8"/>
      </w:r>
      <w:r>
        <w:rPr>
          <w:rFonts w:ascii="Times New Roman" w:eastAsia="宋体" w:hAnsi="Times New Roman"/>
          <w:b w:val="false"/>
          <w:bCs w:val="false"/>
          <w:i w:val="false"/>
          <w:iCs w:val="false"/>
          <w:sz w:val="21"/>
          <w:szCs w:val="21"/>
        </w:rPr>
        <w:t xml:space="preserve">[8] </w:t>
      </w:r>
      <w:r>
        <w:bookmarkEnd w:id="96"/>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9"/>
      </w:r>
      <w:r>
        <w:rPr>
          <w:rFonts w:ascii="Times New Roman" w:eastAsia="宋体" w:hAnsi="Times New Roman"/>
          <w:b w:val="false"/>
          <w:bCs w:val="false"/>
          <w:i w:val="false"/>
          <w:iCs w:val="false"/>
          <w:sz w:val="21"/>
          <w:szCs w:val="21"/>
        </w:rPr>
        <w:t xml:space="preserve">[9] </w:t>
      </w:r>
      <w:r>
        <w:bookmarkEnd w:id="97"/>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0"/>
      </w:r>
      <w:r>
        <w:rPr>
          <w:rFonts w:ascii="Times New Roman" w:eastAsia="宋体" w:hAnsi="Times New Roman"/>
          <w:b w:val="false"/>
          <w:bCs w:val="false"/>
          <w:i w:val="false"/>
          <w:iCs w:val="false"/>
          <w:sz w:val="21"/>
          <w:szCs w:val="21"/>
        </w:rPr>
        <w:t xml:space="preserve">[10] </w:t>
      </w:r>
      <w:r>
        <w:bookmarkEnd w:id="98"/>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1"/>
      </w:r>
      <w:r>
        <w:rPr>
          <w:rFonts w:ascii="Times New Roman" w:eastAsia="宋体" w:hAnsi="Times New Roman"/>
          <w:b w:val="false"/>
          <w:bCs w:val="false"/>
          <w:i w:val="false"/>
          <w:iCs w:val="false"/>
          <w:sz w:val="21"/>
          <w:szCs w:val="21"/>
        </w:rPr>
        <w:t xml:space="preserve">[11] </w:t>
      </w:r>
      <w:r>
        <w:bookmarkEnd w:id="99"/>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2"/>
      </w:r>
      <w:r>
        <w:rPr>
          <w:rFonts w:ascii="Times New Roman" w:eastAsia="宋体" w:hAnsi="Times New Roman"/>
          <w:b w:val="false"/>
          <w:bCs w:val="false"/>
          <w:i w:val="false"/>
          <w:iCs w:val="false"/>
          <w:sz w:val="21"/>
          <w:szCs w:val="21"/>
        </w:rPr>
        <w:t xml:space="preserve">[12] </w:t>
      </w:r>
      <w:r>
        <w:bookmarkEnd w:id="100"/>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3"/>
      </w:r>
      <w:r>
        <w:rPr>
          <w:rFonts w:ascii="Times New Roman" w:eastAsia="宋体" w:hAnsi="Times New Roman"/>
          <w:b w:val="false"/>
          <w:bCs w:val="false"/>
          <w:i w:val="false"/>
          <w:iCs w:val="false"/>
          <w:sz w:val="21"/>
          <w:szCs w:val="21"/>
        </w:rPr>
        <w:t xml:space="preserve">[13] </w:t>
      </w:r>
      <w:r>
        <w:bookmarkEnd w:id="101"/>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4"/>
      </w:r>
      <w:r>
        <w:rPr>
          <w:rFonts w:ascii="Times New Roman" w:eastAsia="宋体" w:hAnsi="Times New Roman"/>
          <w:b w:val="false"/>
          <w:bCs w:val="false"/>
          <w:i w:val="false"/>
          <w:iCs w:val="false"/>
          <w:sz w:val="21"/>
          <w:szCs w:val="21"/>
        </w:rPr>
        <w:t xml:space="preserve">[14] </w:t>
      </w:r>
      <w:r>
        <w:bookmarkEnd w:id="102"/>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5"/>
      </w:r>
      <w:r>
        <w:rPr>
          <w:rFonts w:ascii="Times New Roman" w:eastAsia="宋体" w:hAnsi="Times New Roman"/>
          <w:b w:val="false"/>
          <w:bCs w:val="false"/>
          <w:i w:val="false"/>
          <w:iCs w:val="false"/>
          <w:sz w:val="21"/>
          <w:szCs w:val="21"/>
        </w:rPr>
        <w:t xml:space="preserve">[15] </w:t>
      </w:r>
      <w:r>
        <w:bookmarkEnd w:id="103"/>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6"/>
      </w:r>
      <w:r>
        <w:rPr>
          <w:rFonts w:ascii="Times New Roman" w:eastAsia="宋体" w:hAnsi="Times New Roman"/>
          <w:b w:val="false"/>
          <w:bCs w:val="false"/>
          <w:i w:val="false"/>
          <w:iCs w:val="false"/>
          <w:sz w:val="21"/>
          <w:szCs w:val="21"/>
        </w:rPr>
        <w:t xml:space="preserve">[16] </w:t>
      </w:r>
      <w:r>
        <w:bookmarkEnd w:id="104"/>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7"/>
      </w:r>
      <w:r>
        <w:rPr>
          <w:rFonts w:ascii="Times New Roman" w:eastAsia="宋体" w:hAnsi="Times New Roman"/>
          <w:b w:val="false"/>
          <w:bCs w:val="false"/>
          <w:i w:val="false"/>
          <w:iCs w:val="false"/>
          <w:sz w:val="21"/>
          <w:szCs w:val="21"/>
        </w:rPr>
        <w:t xml:space="preserve">[17] </w:t>
      </w:r>
      <w:r>
        <w:bookmarkEnd w:id="105"/>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8"/>
      </w:r>
      <w:r>
        <w:rPr>
          <w:rFonts w:ascii="Times New Roman" w:eastAsia="宋体" w:hAnsi="Times New Roman"/>
          <w:b w:val="false"/>
          <w:bCs w:val="false"/>
          <w:i w:val="false"/>
          <w:iCs w:val="false"/>
          <w:sz w:val="21"/>
          <w:szCs w:val="21"/>
        </w:rPr>
        <w:t xml:space="preserve">[18] </w:t>
      </w:r>
      <w:r>
        <w:bookmarkEnd w:id="106"/>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9"/>
      </w:r>
      <w:r>
        <w:rPr>
          <w:rFonts w:ascii="Times New Roman" w:eastAsia="宋体" w:hAnsi="Times New Roman"/>
          <w:b w:val="false"/>
          <w:bCs w:val="false"/>
          <w:i w:val="false"/>
          <w:iCs w:val="false"/>
          <w:sz w:val="21"/>
          <w:szCs w:val="21"/>
        </w:rPr>
        <w:t xml:space="preserve">[19] </w:t>
      </w:r>
      <w:r>
        <w:bookmarkEnd w:id="107"/>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0"/>
      </w:r>
      <w:r>
        <w:rPr>
          <w:rFonts w:ascii="Times New Roman" w:eastAsia="宋体" w:hAnsi="Times New Roman"/>
          <w:b w:val="false"/>
          <w:bCs w:val="false"/>
          <w:i w:val="false"/>
          <w:iCs w:val="false"/>
          <w:sz w:val="21"/>
          <w:szCs w:val="21"/>
        </w:rPr>
        <w:t xml:space="preserve">[20] </w:t>
      </w:r>
      <w:r>
        <w:bookmarkEnd w:id="108"/>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1"/>
      </w:r>
      <w:r>
        <w:rPr>
          <w:rFonts w:ascii="Times New Roman" w:eastAsia="宋体" w:hAnsi="Times New Roman"/>
          <w:b w:val="false"/>
          <w:bCs w:val="false"/>
          <w:i w:val="false"/>
          <w:iCs w:val="false"/>
          <w:sz w:val="21"/>
          <w:szCs w:val="21"/>
        </w:rPr>
        <w:t xml:space="preserve">[21] </w:t>
      </w:r>
      <w:r>
        <w:bookmarkEnd w:id="109"/>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2"/>
      </w:r>
      <w:r>
        <w:rPr>
          <w:rFonts w:ascii="Times New Roman" w:eastAsia="宋体" w:hAnsi="Times New Roman"/>
          <w:b w:val="false"/>
          <w:bCs w:val="false"/>
          <w:i w:val="false"/>
          <w:iCs w:val="false"/>
          <w:sz w:val="21"/>
          <w:szCs w:val="21"/>
        </w:rPr>
        <w:t xml:space="preserve">[22] </w:t>
      </w:r>
      <w:r>
        <w:bookmarkEnd w:id="110"/>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3"/>
      </w:r>
      <w:r>
        <w:rPr>
          <w:rFonts w:ascii="Times New Roman" w:eastAsia="宋体" w:hAnsi="Times New Roman"/>
          <w:b w:val="false"/>
          <w:bCs w:val="false"/>
          <w:i w:val="false"/>
          <w:iCs w:val="false"/>
          <w:sz w:val="21"/>
          <w:szCs w:val="21"/>
        </w:rPr>
        <w:t xml:space="preserve">[23] </w:t>
      </w:r>
      <w:r>
        <w:bookmarkEnd w:id="111"/>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4"/>
      </w:r>
      <w:r>
        <w:rPr>
          <w:rFonts w:ascii="Times New Roman" w:eastAsia="宋体" w:hAnsi="Times New Roman"/>
          <w:b w:val="false"/>
          <w:bCs w:val="false"/>
          <w:i w:val="false"/>
          <w:iCs w:val="false"/>
          <w:sz w:val="21"/>
          <w:szCs w:val="21"/>
        </w:rPr>
        <w:t xml:space="preserve">[24] </w:t>
      </w:r>
      <w:r>
        <w:bookmarkEnd w:id="112"/>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5"/>
      </w:r>
      <w:r>
        <w:rPr>
          <w:rFonts w:ascii="Times New Roman" w:eastAsia="宋体" w:hAnsi="Times New Roman"/>
          <w:b w:val="false"/>
          <w:bCs w:val="false"/>
          <w:i w:val="false"/>
          <w:iCs w:val="false"/>
          <w:sz w:val="21"/>
          <w:szCs w:val="21"/>
        </w:rPr>
        <w:t xml:space="preserve">[25] </w:t>
      </w:r>
      <w:r>
        <w:bookmarkEnd w:id="113"/>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6"/>
      </w:r>
      <w:r>
        <w:rPr>
          <w:rFonts w:ascii="Times New Roman" w:eastAsia="宋体" w:hAnsi="Times New Roman"/>
          <w:b w:val="false"/>
          <w:bCs w:val="false"/>
          <w:i w:val="false"/>
          <w:iCs w:val="false"/>
          <w:sz w:val="21"/>
          <w:szCs w:val="21"/>
        </w:rPr>
        <w:t xml:space="preserve">[26] </w:t>
      </w:r>
      <w:r>
        <w:bookmarkEnd w:id="114"/>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7"/>
      </w:r>
      <w:r>
        <w:rPr>
          <w:rFonts w:ascii="Times New Roman" w:eastAsia="宋体" w:hAnsi="Times New Roman"/>
          <w:b w:val="false"/>
          <w:bCs w:val="false"/>
          <w:i w:val="false"/>
          <w:iCs w:val="false"/>
          <w:sz w:val="21"/>
          <w:szCs w:val="21"/>
        </w:rPr>
        <w:t xml:space="preserve">[27] </w:t>
      </w:r>
      <w:r>
        <w:bookmarkEnd w:id="115"/>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8"/>
      </w:r>
      <w:r>
        <w:rPr>
          <w:rFonts w:ascii="Times New Roman" w:eastAsia="宋体" w:hAnsi="Times New Roman"/>
          <w:b w:val="false"/>
          <w:bCs w:val="false"/>
          <w:i w:val="false"/>
          <w:iCs w:val="false"/>
          <w:sz w:val="21"/>
          <w:szCs w:val="21"/>
        </w:rPr>
        <w:t xml:space="preserve">[28] </w:t>
      </w:r>
      <w:r>
        <w:bookmarkEnd w:id="116"/>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9"/>
      </w:r>
      <w:r>
        <w:rPr>
          <w:rFonts w:ascii="Times New Roman" w:eastAsia="宋体" w:hAnsi="Times New Roman"/>
          <w:b w:val="false"/>
          <w:bCs w:val="false"/>
          <w:i w:val="false"/>
          <w:iCs w:val="false"/>
          <w:sz w:val="21"/>
          <w:szCs w:val="21"/>
        </w:rPr>
        <w:t xml:space="preserve">[29] </w:t>
      </w:r>
      <w:r>
        <w:bookmarkEnd w:id="117"/>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0"/>
      </w:r>
      <w:r>
        <w:rPr>
          <w:rFonts w:ascii="Times New Roman" w:eastAsia="宋体" w:hAnsi="Times New Roman"/>
          <w:b w:val="false"/>
          <w:bCs w:val="false"/>
          <w:i w:val="false"/>
          <w:iCs w:val="false"/>
          <w:sz w:val="21"/>
          <w:szCs w:val="21"/>
        </w:rPr>
        <w:t xml:space="preserve">[30] </w:t>
      </w:r>
      <w:r>
        <w:bookmarkEnd w:id="118"/>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31"/>
      </w:r>
      <w:r>
        <w:rPr>
          <w:rFonts w:ascii="Times New Roman" w:eastAsia="宋体" w:hAnsi="Times New Roman"/>
          <w:b w:val="false"/>
          <w:bCs w:val="false"/>
          <w:i w:val="false"/>
          <w:iCs w:val="false"/>
          <w:sz w:val="21"/>
          <w:szCs w:val="21"/>
        </w:rPr>
        <w:t xml:space="preserve">[31] </w:t>
      </w:r>
      <w:r>
        <w:bookmarkEnd w:id="119"/>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32"/>
      </w:r>
      <w:r>
        <w:rPr>
          <w:rFonts w:ascii="Times New Roman" w:eastAsia="宋体" w:hAnsi="Times New Roman"/>
          <w:b w:val="false"/>
          <w:bCs w:val="false"/>
          <w:i w:val="false"/>
          <w:iCs w:val="false"/>
          <w:sz w:val="21"/>
          <w:szCs w:val="21"/>
        </w:rPr>
        <w:t xml:space="preserve">[32] </w:t>
      </w:r>
      <w:r>
        <w:bookmarkEnd w:id="120"/>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33"/>
      </w:r>
      <w:r>
        <w:rPr>
          <w:rFonts w:ascii="Times New Roman" w:eastAsia="宋体" w:hAnsi="Times New Roman"/>
          <w:b w:val="false"/>
          <w:bCs w:val="false"/>
          <w:i w:val="false"/>
          <w:iCs w:val="false"/>
          <w:sz w:val="21"/>
          <w:szCs w:val="21"/>
        </w:rPr>
        <w:t xml:space="preserve">[33] </w:t>
      </w:r>
      <w:r>
        <w:bookmarkEnd w:id="121"/>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22" w:name="heading__u81f4_u8c22"/>
      </w:r>
      <w:r>
        <w:t xml:space="preserve">致谢</w:t>
      </w:r>
      <w:r>
        <w:bookmarkEnd w:id="122"/>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感谢xxx</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 Id="rId18" Type="http://schemas.openxmlformats.org/officeDocument/2006/relationships/image" Target="media/image1.jpeg"/><Relationship Id="rId19" Type="http://schemas.openxmlformats.org/officeDocument/2006/relationships/header" Target="header2.xml"/><Relationship Id="rId20" Type="http://schemas.openxmlformats.org/officeDocument/2006/relationships/header" Target="header1_cov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image" Target="media/image4.png"/><Relationship Id="rId24" Type="http://schemas.openxmlformats.org/officeDocument/2006/relationships/footer" Target="footer2_cover1.xml"/><Relationship Id="rId25" Type="http://schemas.openxmlformats.org/officeDocument/2006/relationships/image" Target="media/image3.jpeg"/><Relationship Id="rId26" Type="http://schemas.openxmlformats.org/officeDocument/2006/relationships/image" Target="media/image2.jpeg"/><Relationship Id="rId27"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2026-05-31T09:41:18.634Z</dcterms:created>
  <dcterms:modified xsi:type="dcterms:W3CDTF">2026-05-31T09:41:18.634Z</dcterms:modified>
</cp:coreProperties>
</file>

<file path=docProps/custom.xml><?xml version="1.0" encoding="utf-8"?>
<Properties xmlns="http://schemas.openxmlformats.org/officeDocument/2006/custom-properties" xmlns:vt="http://schemas.openxmlformats.org/officeDocument/2006/docPropsVTypes"/>
</file>