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PartName="/word/header2.xml" ContentType="application/vnd.openxmlformats-officedocument.wordprocessingml.header+xml"/>
  <Override PartName="/word/header1_cov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_cover1.xml" ContentType="application/vnd.openxmlformats-officedocument.wordprocessingml.footer+xml"/>
  <Override PartName="/word/footer1_cov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mc:Ignorable="w14 w15 wp14 w16se w16cid w16 w16cex w16sdtdh w16du">
  <w:body>
    <w:p w14:paraId="1E73657D" w14:textId="77777777" w:rsidR="00142492" w:rsidRDefault="00142492" w:rsidP="00142492">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8">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0" w:left="0" w:right="0" w:hanging="0" w:leftChars="0" w:rightChars="0" w:firstLineChars="0" w:hangingChars="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26"/>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FD4304">
      <w:pPr>
        <w:adjustRightInd w:val="0"/>
        <w:snapToGrid w:val="0"/>
        <w:spacing w:line="240" w:lineRule="auto"/>
        <w:ind w:firstLineChars="500" w:firstLine="1631"/>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240" w:afterLines="100" w:after="240"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651808" w:rsidRDefault="00651808" w:rsidP="00AA4564">
      <w:pPr>
        <w:adjustRightInd w:val="0"/>
        <w:snapToGrid w:val="0"/>
        <w:spacing w:line="360" w:lineRule="auto"/>
        <w:ind w:firstLineChars="0" w:firstLine="0" w:left="0" w:right="0" w:hanging="0" w:leftChars="0" w:rightChars="0" w:hangingChars="0"/>
        <w:jc w:val="center"/>
        <w:rPr>
          <w:b/>
          <w:sz w:val="30"/>
          <w:szCs w:val="30"/>
        </w:rPr>
      </w:pPr>
    </w:p>
    <w:p w14:paraId="37D8F44E"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651808"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651808"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651808" w:rsidRDefault="00651808" w:rsidP="00AA4564">
      <w:pPr>
        <w:adjustRightInd w:val="0"/>
        <w:snapToGrid w:val="0"/>
        <w:spacing w:line="360" w:lineRule="auto"/>
        <w:ind w:firstLine="480"/>
        <w:rPr>
          <w:rFonts w:ascii="Times New Roman" w:hAnsi="Times New Roman"/>
          <w:szCs w:val="24"/>
        </w:rPr>
      </w:pPr>
    </w:p>
    <w:p w14:paraId="176D919A" w14:textId="6967CD20"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651808" w:rsidRDefault="00651808" w:rsidP="00AA4564">
      <w:pPr>
        <w:adjustRightInd w:val="0"/>
        <w:snapToGrid w:val="0"/>
        <w:spacing w:line="360" w:lineRule="auto"/>
        <w:ind w:firstLine="480"/>
        <w:rPr>
          <w:rFonts w:ascii="Times New Roman" w:hAnsi="Times New Roman"/>
          <w:szCs w:val="24"/>
        </w:rPr>
      </w:pPr>
    </w:p>
    <w:p w14:paraId="41F03FEB" w14:textId="77777777" w:rsidR="00651808" w:rsidRDefault="00651808" w:rsidP="00AA4564">
      <w:pPr>
        <w:adjustRightInd w:val="0"/>
        <w:snapToGrid w:val="0"/>
        <w:spacing w:line="360" w:lineRule="auto"/>
        <w:ind w:firstLine="480"/>
        <w:rPr>
          <w:rFonts w:ascii="Times New Roman" w:hAnsi="Times New Roman"/>
          <w:szCs w:val="24"/>
        </w:rPr>
      </w:pPr>
    </w:p>
    <w:p w14:paraId="38D0FE67" w14:textId="77777777" w:rsidR="00651808" w:rsidRDefault="00651808" w:rsidP="00AA4564">
      <w:pPr>
        <w:adjustRightInd w:val="0"/>
        <w:snapToGrid w:val="0"/>
        <w:spacing w:line="360" w:lineRule="auto"/>
        <w:ind w:firstLine="480"/>
        <w:rPr>
          <w:rFonts w:ascii="Times New Roman" w:hAnsi="Times New Roman"/>
          <w:szCs w:val="24"/>
        </w:rPr>
      </w:pPr>
    </w:p>
    <w:p w14:paraId="44BC7BB3" w14:textId="77777777" w:rsidR="00651808" w:rsidRDefault="00651808" w:rsidP="00AA4564">
      <w:pPr>
        <w:adjustRightInd w:val="0"/>
        <w:snapToGrid w:val="0"/>
        <w:spacing w:line="360" w:lineRule="auto"/>
        <w:ind w:firstLine="480"/>
        <w:rPr>
          <w:rFonts w:ascii="Times New Roman" w:hAnsi="Times New Roman"/>
          <w:szCs w:val="24"/>
        </w:rPr>
      </w:pPr>
    </w:p>
    <w:p w14:paraId="0DE26A68"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651808" w:rsidRDefault="00651808" w:rsidP="00AA4564">
      <w:pPr>
        <w:adjustRightInd w:val="0"/>
        <w:snapToGrid w:val="0"/>
        <w:spacing w:line="360" w:lineRule="auto"/>
        <w:ind w:firstLine="480"/>
        <w:rPr>
          <w:rFonts w:ascii="Times New Roman" w:hAnsi="Times New Roman"/>
          <w:szCs w:val="24"/>
        </w:rPr>
      </w:pPr>
    </w:p>
    <w:p w14:paraId="132D3E47" w14:textId="0E17553E"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651808" w:rsidRDefault="00651808" w:rsidP="00AA4564">
      <w:pPr>
        <w:adjustRightInd w:val="0"/>
        <w:snapToGrid w:val="0"/>
        <w:spacing w:line="360" w:lineRule="auto"/>
        <w:ind w:firstLine="480"/>
        <w:rPr>
          <w:rFonts w:ascii="Times New Roman" w:hAnsi="Times New Roman"/>
          <w:szCs w:val="24"/>
        </w:rPr>
      </w:pPr>
    </w:p>
    <w:p w14:paraId="1FC4BD61" w14:textId="788EFE05"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23">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00A2869" w14:textId="444A38A1" w:rsidR="00C5140C" w:rsidRPr="00C358D5" w:rsidRDefault="00C5140C" w:rsidP="00C358D5">
      <w:pPr>
        <w:ind w:firstLine="480"/>
      </w:pPr>
    </w:p>
    <w:p>
      <w:pPr>
        <w:sectPr w:rsidR="00C5140C" w:rsidRPr="00C358D5" w:rsidSect="00C358D5">
          <w:headerReference w:type="even" r:id="rId12"/>
          <w:headerReference w:type="default" r:id="rId13"/>
          <w:footerReference w:type="even" r:id="rId14"/>
          <w:footerReference w:type="default" r:id="rId15"/>
          <w:headerReference w:type="first" r:id="rId16"/>
          <w:footerReference w:type="first" r:id="rId17"/>
          <w:pgSz w:w="11906" w:h="16838"/>
          <w:pgMar w:top="1418" w:right="1417" w:bottom="1418" w:left="1417" w:header="851" w:footer="851" w:gutter="0"/>
          <w:cols w:space="720"/>
          <w:docGrid w:linePitch="360"/>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Quantitative Trading System Based on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线清洗、信号计算、交易生命周期记录、统计输出和日志管理。系统强调模块解耦、配置显式化和输出可追溯，并通过小样本一致性验证检查本地模拟环境与 PTrade 环境的关键行为是否一致。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本文的贡献总结如下：第一，本文将 TD 9-13 Sequential 从描述性技术分析规则转化为可执行、可复核的有限状态机模型，把 Setup 连续计数、Countdown 非连续计数、完美信号和取消规则统一到事件流中，并结合 A 股前复权、停牌过滤和全量重算机制提高信号识别的一致性。第二，本文实现了兼容 PTrade 接口并可在 SimTradeLab 本地运行的量化交易系统，构建了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等可追溯输出，并采用事件研究与事件驱动交易回测相结合的方法分析 TD 序列的适用性边界，而不是仅以收益率和胜率评价策略。</w:t>
      </w:r>
    </w:p>
    <w:p>
      <w:pPr>
        <w:pStyle w:val="BUPTHeading2"/>
        <w:spacing w:after="120" w:before="120" w:line="360" w:lineRule="auto"/>
        <w:ind w:left="0" w:right="0" w:hanging="0" w:firstLine="0" w:leftChars="0" w:rightChars="0" w:firstLineChars="0" w:hangingChars="0"/>
        <w:jc w:val="left"/>
      </w:pPr>
      <w:r>
        <w:bookmarkStart w:id="26" w:name="heading_1_u2e4_u20_u7ae0_u8282_u5b89_u6392"/>
      </w:r>
      <w:r>
        <w:t xml:space="preserve">1.4 章节安排</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的状态机实现。第四章说明量化交易系统的架构、模块设计与关键实现。第五章说明回测方法，并结合运行结果进行事件研究、交易回测和适用性分层分析。第六章总结全文工作，并讨论后续优化方向。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现金分红主要改变股票除息后的理论价格和投资者现金权益，送股和资本公积转增股本则会改变股本数量和每股价格口径。对于技术指标而言，这些事件本身并不必然代表市场供需关系或趋势耗竭发生变化，却会在未复权价格上形成明显的名义价格断点。因此，本文不将现金分红、送股和转增股本视为 TD 信号，也不把除权除息日的机械价格变化解释为趋势反转；其处理原则是通过复权价格消除价格序列不可比问题，同时在交易评价层保留除权除息状态和可交易性约束。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本文不作为信号输入和执行价格</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1600"/>
        <w:gridCol w:w="5870"/>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需求编号</w:t>
            </w:r>
          </w:p>
        </w:tc>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需求名称</w:t>
            </w:r>
          </w:p>
        </w:tc>
        <w:tc>
          <w:tcPr>
            <w:tcW w:type="dxa" w:w="5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需求说明</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FR1</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配置管理</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通过独立 JSON 配置股票池、频率、复权方式、TDST 规则、交易参数与日志参数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FR2</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行情获取</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在 PTrade 兼容生命周期内获取历史 K 线，并过滤停牌与成交量异常数据</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FR3</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识别 Buy/Sell Setup、完美 Setup 与 Setup 起止日期</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FR4</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识别非连续 Sequence Countdown、完美 Countdown、暂记加号与 13 完成信号</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FR5</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取消规则</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 TDST、同向 Setup 与反向 Setup 三类 Countdown 取消</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FR6</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输出 TD 事件元数据并保留计数日期、关键价格及前 20 日上下文字段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FR7</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交易生命周期输出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从 Buy Setup 完成到取消、未买入或卖出终态形成完整可追溯记录</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FR8</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事件窗口结果输出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在事件窗口成熟后输出方向收益、最大有利波动与最大不利波动</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FR9</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信号与交易解耦</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通用交易执行层与策略适配层通过 </w:t>
            </w:r>
            <w:r>
              <w:rPr>
                <w:rFonts w:ascii="Times New Roman" w:eastAsia="宋体" w:hAnsi="Times New Roman"/>
                <w:b w:val="false"/>
                <w:bCs w:val="false"/>
                <w:i w:val="false"/>
                <w:iCs w:val="false"/>
                <w:sz w:val="21"/>
                <w:szCs w:val="21"/>
              </w:rPr>
              <w:t xml:space="preserve">BuyIntent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SellIntent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FillInfo</w:t>
            </w:r>
            <w:r>
              <w:rPr>
                <w:rFonts w:ascii="Times New Roman" w:eastAsia="宋体" w:hAnsi="Times New Roman"/>
                <w:b w:val="false"/>
                <w:bCs w:val="false"/>
                <w:i w:val="false"/>
                <w:iCs w:val="false"/>
                <w:sz w:val="21"/>
                <w:szCs w:val="21"/>
              </w:rPr>
              <w:t xml:space="preserve"> 与回调接口通信，便于替换信号体系</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FR10</w:t>
            </w:r>
          </w:p>
        </w:tc>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真实回报对账</w:t>
            </w:r>
          </w:p>
        </w:tc>
        <w:tc>
          <w:tcPr>
            <w:tcW w:type="dxa" w:w="5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成交价、成交量、成交时间与手续费以 PTrade 真实回报为唯一信源，与交易流水逐笔可对账</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9"/>
        <w:gridCol w:w="1759"/>
        <w:gridCol w:w="5552"/>
      </w:tblGrid>
      <w:tr>
        <w:trPr>
          <w:cantSplit/>
          <w:tblHeader/>
        </w:trPr>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需求编号</w:t>
            </w:r>
          </w:p>
        </w:tc>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需求名称</w:t>
            </w:r>
          </w:p>
        </w:tc>
        <w:tc>
          <w:tcPr>
            <w:tcW w:type="dxa" w:w="55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需求说明</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NFR1</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可追溯性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每个信号、订单与交易事件均可回溯到 Setup、Countdown 与取消或拒单原因</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NFR2</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可配置性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 规则、完美信号要求、仓位比例、风控参数与超时阈值均通过配置控制</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NFR3</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稳定性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配置缺失、数据不足、停牌、接口异常等情况应记录日志并不中断主循环</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NFR4</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低耦合</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数据层、信号层、适配层、交易层与输出层职责清晰，便于独立测试与替换</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NFR5</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可扩展性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预留 Intersection、Combo Countdown、Recycle 与多频率联动扩展位置</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NFR6</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异步成交保护</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跨周期未成交订单通过软超时与硬超时双阶段保护，避免阻塞后续止损</w:t>
            </w:r>
          </w:p>
        </w:tc>
      </w:tr>
      <w:tr>
        <w:trPr>
          <w:cantSplit/>
          <w:tblHeader w:val="false"/>
        </w:trPr>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NFR7</w:t>
            </w:r>
          </w:p>
        </w:tc>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双环境一致性</w:t>
            </w:r>
          </w:p>
        </w:tc>
        <w:tc>
          <w:tcPr>
            <w:tcW w:type="dxa" w:w="55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同一份代码在 PTrade 与 SimTradeLab 上输出的关键字段应可逐笔对账</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leftChars="0" w:rightChars="0" w:firstLineChars="0" w:hangingChars="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股环境又要求对复权、停牌与可交易性进行处理。在此基础上，第三章将给出 TD 信号识别的状态机模型，第四章将以"信号与执行解耦、PTrade 真实回报对账"为核心说明系统的整体设计与实现。</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leftChars="0" w:rightChars="0" w:firstLineChars="0" w:hangingChars="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。SetupMachine 的主要状态转换关系如图3-1所示。</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严格条件中断，清空正在进行的 Setup</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在具体实现中，Setup 状态需要同时考虑空闲、同向累计、反向切换和相等中断等情形。图3-2进一步给出了不同输入下的状态转移表，便于将图3-1中的状态转换关系落实到代码分支。</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当前 Countdown 终止</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43" w:name="heading_3_u2e5_u20TD_u4e8b_u4ef6_u5143_u6570_u636e_u5b57_u6bb5_u8bbe_u8ba1"/>
      </w:r>
      <w:r>
        <w:t xml:space="preserve">3.5 TD事件元数据字段设计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为了支持后续事件研究、分层统计和一致性验证，系统不仅输出信号类型，还输出能够复盘信号生成过程的 TD 事件元数据。当前实现将 Setup、Countdown 完成、Countdown 取消和 Countdown 进位等事件统一写入运行根目录下的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，避免大规模回测时生成大量按股票拆分的中间文件。该文件以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作为事件唯一标识，记录事件日期、股票代码、周期、事件类别、事件类型、方向、计数、完美状态、取消原因、Setup 起止日期、Setup 阶段最高价、TDST 阈值、Countdown 起始日期、各计数日日期、计数第 8 日收盘价、Countdown 阶段最低价、事件 K 线价格以及事件日前 20 个交易日的成交额、波动率和收益率等上下文字段。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在事件窗口成熟后，系统另行生成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，通过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对应，记录事件窗口、到期日期、方向收益率、最大有利波动和最大不利波动。这样可以将“信号生成事实”和“事件后表现结果”分离保存，既便于复核 TD 状态机输出，也便于第五章在不同窗口和不同分组下进行统计分析。</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TD事件元数据字段表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861"/>
        <w:gridCol w:w="2623"/>
        <w:gridCol w:w="2586"/>
      </w:tblGrid>
      <w:tr>
        <w:trPr>
          <w:cantSplit/>
          <w:tblHeader/>
        </w:trPr>
        <w:tc>
          <w:tcPr>
            <w:tcW w:type="dxa" w:w="386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字段</w:t>
            </w:r>
          </w:p>
        </w:tc>
        <w:tc>
          <w:tcPr>
            <w:tcW w:type="dxa" w:w="26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说明</w:t>
            </w:r>
          </w:p>
        </w:tc>
        <w:tc>
          <w:tcPr>
            <w:tcW w:type="dxa" w:w="25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适用分析</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event_id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事件唯一标识</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连接事件元数据和事件窗口结果</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datetime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事件发生日期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定位事件日和事件窗口起点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股票代码</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个股适用性和分层统计</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frequency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数据周期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区分日线、周线等不同周期下的事件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category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事件类别</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 Setup 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type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事件类型</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区分完成、进位、暂记和取消</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direction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事件方向</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计算方向收益和方向胜率</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当前计数</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固定为 9，Countdown 取 1 至 13</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perfect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是否完美完成</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区分完美与非完美 Countdown 完成事件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reason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取消原因</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分析失效模式</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setup_type、setup_perfect、setup_first_dt、setup_last_dt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关联 Setup 信息</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从 Countdown 事件回溯到发起它的 Setup</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setup_highest_high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阶段最高价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计算 TDST 阈值与一致性验证</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tdst_threshold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 取消阈值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分析取消规则和失效边界</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countdown_start_dt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起始 K 线时间</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标记 Countdown 启动点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count_1_dt 至 count_13_dt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各计数日期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分析计数节奏和时间跨度</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countdown_8_close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第 8 个计数日收盘价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判断完美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countdown_low_dt、countdown_low、countdown_low_bar_high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阶段最低价 K 线及其 high/low</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复核 TD 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bar_close、bar_high、bar_low</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事件日价格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复核事件触发条件和风险价位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pre20_avg_amount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事件日前 20 日平均成交额</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流动性分层</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pre20_volatility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事件日前 20 日波动率</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波动率分层</w:t>
            </w:r>
          </w:p>
        </w:tc>
      </w:tr>
      <w:tr>
        <w:trPr>
          <w:cantSplit/>
          <w:tblHeader w:val="false"/>
        </w:trPr>
        <w:tc>
          <w:tcPr>
            <w:tcW w:type="dxa" w:w="386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pre20_return</w:t>
            </w:r>
          </w:p>
        </w:tc>
        <w:tc>
          <w:tcPr>
            <w:tcW w:type="dxa" w:w="26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事件日前 20 日收益率</w:t>
            </w:r>
          </w:p>
        </w:tc>
        <w:tc>
          <w:tcPr>
            <w:tcW w:type="dxa" w:w="25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市场状态分层</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的结构化输出，系统为后续回测和适用性分析保留了完整上下文。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_u91cf_u5316_u4ea4_u6613_u7cfb_u7edf_u8bbe_u8ba1_u"/>
      </w:r>
      <w:r>
        <w:t xml:space="preserve">第四章 量化交易系统设计与实现</w:t>
      </w:r>
      <w:r>
        <w:bookmarkEnd w:id="4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第三章给出了 TD 序列信号的状态机模型，说明了规则层面"如何识别信号"。本章在该模型基础上完成系统层面的工程实现，回答"如何在 PTrade 兼容环境中稳定运行 TD 序列信号识别、交易生命周期记录与一致性可追溯输出"。本文系统虽然以单文件策略形式编写，但内部设计参考软件工程教材中关于需求分解、模块划分、接口设计与可维护性的基本原则</w:t>
      </w:r>
      <w:r>
        <w:bookmarkStart w:id="46" w:name="cite_24_1"/>
      </w:r>
      <w:r>
        <w:rPr>
          <w:rFonts w:ascii="Times New Roman" w:eastAsia="宋体" w:hAnsi="Times New Roman"/>
          <w:b w:val="false"/>
          <w:bCs w:val="false"/>
          <w:i w:val="false"/>
          <w:iCs w:val="false"/>
          <w:sz w:val="24"/>
          <w:szCs w:val="24"/>
        </w:rPr>
        <w:t xml:space="preserve"/>
      </w:r>
      <w:r>
        <w:bookmarkEnd w:id="46"/>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，并借鉴设计模式中关于职责分离与回调契约的经验</w:t>
      </w:r>
      <w:r>
        <w:bookmarkStart w:id="47" w:name="cite_25_1"/>
      </w:r>
      <w:r>
        <w:rPr>
          <w:rFonts w:ascii="Times New Roman" w:eastAsia="宋体" w:hAnsi="Times New Roman"/>
          <w:b w:val="false"/>
          <w:bCs w:val="false"/>
          <w:i w:val="false"/>
          <w:iCs w:val="false"/>
          <w:sz w:val="24"/>
          <w:szCs w:val="24"/>
        </w:rPr>
        <w:t xml:space="preserve"/>
      </w:r>
      <w:r>
        <w:bookmarkEnd w:id="47"/>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，使复杂技术指标策略能够以模块化、可配置、可扩展的方式落地。</w:t>
      </w:r>
    </w:p>
    <w:p>
      <w:pPr>
        <w:pStyle w:val="BUPTHeading2"/>
        <w:spacing w:after="120" w:before="120" w:line="360" w:lineRule="auto"/>
        <w:ind w:left="0" w:right="0" w:hanging="0" w:firstLine="0" w:leftChars="0" w:rightChars="0" w:firstLineChars="0" w:hangingChars="0"/>
        <w:jc w:val="left"/>
      </w:pPr>
      <w:r>
        <w:bookmarkStart w:id="48" w:name="heading_4_u2e1_u20_u7cfb_u7edf_u8bbe_u8ba1_u76ee_u6807_u4e0e_u7ea6_u675f"/>
      </w:r>
      <w:r>
        <w:t xml:space="preserve">4.1 系统设计目标与约束</w:t>
      </w:r>
      <w:r>
        <w:bookmarkEnd w:id="4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本系统的设计目标按优先级排列为正确性、健壮性、性能与工程优雅。其中正确性是底线：TD 序列状态机不能因为工程妥协引入信号偏差；交易生命周期记录与 PTrade 引擎的成交流水必须能够逐笔对账，否则后续事件研究与适用性分析的可信度无法保证。健壮性强调任何接口异常、停牌、跨周期成交、除权除息等情况下主循环不中断；性能定位为日线策略可在合理时间内完成全市场长周期回测；工程优雅体现为模块解耦、配置显式与异常可定位。</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系统在运行环境上同时面向 PTrade 量化交易平台与 SimTradeLab 本地回测框架两套引擎。PTrade 平台对策略代码施加了较多沙盒约束：禁止 </w:t>
      </w:r>
      <w:r>
        <w:rPr>
          <w:rFonts w:ascii="Times New Roman" w:eastAsia="宋体" w:hAnsi="Times New Roman"/>
          <w:b w:val="false"/>
          <w:bCs w:val="false"/>
          <w:i w:val="false"/>
          <w:iCs w:val="false"/>
          <w:sz w:val="24"/>
          <w:szCs w:val="24"/>
        </w:rPr>
        <w:t xml:space="preserve">import os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import sys</w:t>
      </w:r>
      <w:r>
        <w:rPr>
          <w:rFonts w:ascii="Times New Roman" w:eastAsia="宋体" w:hAnsi="Times New Roman"/>
          <w:b w:val="false"/>
          <w:bCs w:val="false"/>
          <w:i w:val="false"/>
          <w:iCs w:val="false"/>
          <w:sz w:val="24"/>
          <w:szCs w:val="24"/>
        </w:rPr>
        <w:t xml:space="preserve">，文件与目录操作只能使用平台注入的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get_research_path</w:t>
      </w:r>
      <w:r>
        <w:rPr>
          <w:rFonts w:ascii="Times New Roman" w:eastAsia="宋体" w:hAnsi="Times New Roman"/>
          <w:b w:val="false"/>
          <w:bCs w:val="false"/>
          <w:i w:val="false"/>
          <w:iCs w:val="false"/>
          <w:sz w:val="24"/>
          <w:szCs w:val="24"/>
        </w:rPr>
        <w:t xml:space="preserve"> 等接口，部分 API 仅可在固定生命周期钩子内调用。SimTradeLab 在 API 层面遵循 PTrade 接口模拟，但允许标准 Python 文件系统操作，且默认采用同步撮合，行为细节与 PTrade 异步撮合存在差异。系统设计需要在两套环境之间保持代码同源、行为同源，仅通过接口适配与字段映射屏蔽差异。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部署形态上系统采用单文件策略实现，除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外所有逻辑封装在 </w:t>
      </w:r>
      <w:r>
        <w:rPr>
          <w:rFonts w:ascii="Times New Roman" w:eastAsia="宋体" w:hAnsi="Times New Roman"/>
          <w:b w:val="false"/>
          <w:bCs w:val="false"/>
          <w:i w:val="false"/>
          <w:iCs w:val="false"/>
          <w:sz w:val="24"/>
          <w:szCs w:val="24"/>
        </w:rPr>
        <w:t xml:space="preserve">backtest.py</w:t>
      </w:r>
      <w:r>
        <w:rPr>
          <w:rFonts w:ascii="Times New Roman" w:eastAsia="宋体" w:hAnsi="Times New Roman"/>
          <w:b w:val="false"/>
          <w:bCs w:val="false"/>
          <w:i w:val="false"/>
          <w:iCs w:val="false"/>
          <w:sz w:val="24"/>
          <w:szCs w:val="24"/>
        </w:rPr>
        <w:t xml:space="preserve"> 一个文件中，便于在 PTrade 沙盒中上传执行；本地回测则通过 SimTradeLab 提供的策略加载接口直接调用同一文件。功能与非功能需求已在第二章 2.4 节给出，本章在每节实现说明中以 FR/NFR 编号形式回链需求，体现需求向设计的可追溯。</w:t>
      </w:r>
    </w:p>
    <w:p>
      <w:pPr>
        <w:pStyle w:val="BUPTHeading2"/>
        <w:spacing w:after="120" w:before="120" w:line="360" w:lineRule="auto"/>
        <w:ind w:left="0" w:right="0" w:hanging="0" w:firstLine="0" w:leftChars="0" w:rightChars="0" w:firstLineChars="0" w:hangingChars="0"/>
        <w:jc w:val="left"/>
      </w:pPr>
      <w:r>
        <w:bookmarkStart w:id="49" w:name="heading_4_u2e2_u20_u7cfb_u7edf_u603b_u4f53_u67b6_u6784"/>
      </w:r>
      <w:r>
        <w:t xml:space="preserve">4.2 系统总体架构</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系统按"配置—数据—信号—适配—执行—输出—钩子"的纵向流与"通用交易层与策略适配层"的横向解耦组织。除策略钩子层之外，其余各层均以纯计算或纯 IO 类的形式存在，不直接调用 PTrade API；策略钩子层负责把这些类组装到 PTrade 的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after_trading_end</w:t>
      </w:r>
      <w:r>
        <w:rPr>
          <w:rFonts w:ascii="Times New Roman" w:eastAsia="宋体" w:hAnsi="Times New Roman"/>
          <w:b w:val="false"/>
          <w:bCs w:val="false"/>
          <w:i w:val="false"/>
          <w:iCs w:val="false"/>
          <w:sz w:val="24"/>
          <w:szCs w:val="24"/>
        </w:rPr>
        <w:t xml:space="preserve"> 生命周期中。系统分层架构与跨层调用关系如图4-1所示。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系统分层架构图" descr="系统分层架构图" title="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图4-1  系统分层架构图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系统分层职责表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073"/>
        <w:gridCol w:w="3397"/>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层次</w:t>
            </w:r>
          </w:p>
        </w:tc>
        <w:tc>
          <w:tcPr>
            <w:tcW w:type="dxa" w:w="407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关键对象</w:t>
            </w:r>
          </w:p>
        </w:tc>
        <w:tc>
          <w:tcPr>
            <w:tcW w:type="dxa" w:w="339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主要职责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配置与日志层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CONFIG_REL_PATH</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load_config</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prepare_output_dir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StrategyLogger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校验 JSON 配置完整性，按启动日期创建防覆盖输出目录，控制台与文件双写日志</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Bar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MarketDataFetcher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调用 </w:t>
            </w:r>
            <w:r>
              <w:rPr>
                <w:rFonts w:ascii="Times New Roman" w:eastAsia="宋体" w:hAnsi="Times New Roman"/>
                <w:b w:val="false"/>
                <w:bCs w:val="false"/>
                <w:i w:val="false"/>
                <w:iCs w:val="false"/>
                <w:sz w:val="21"/>
                <w:szCs w:val="21"/>
              </w:rPr>
              <w:t xml:space="preserve">get_history(include=False)</w:t>
            </w:r>
            <w:r>
              <w:rPr>
                <w:rFonts w:ascii="Times New Roman" w:eastAsia="宋体" w:hAnsi="Times New Roman"/>
                <w:b w:val="false"/>
                <w:bCs w:val="false"/>
                <w:i w:val="false"/>
                <w:iCs w:val="false"/>
                <w:sz w:val="21"/>
                <w:szCs w:val="21"/>
              </w:rPr>
              <w:t xml:space="preserve"> 获取已收盘 K 线，过滤停牌与无效成交日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SetupMachine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CountdownMachine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TDSignalProcessor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纯函数式状态机；输入 </w:t>
            </w:r>
            <w:r>
              <w:rPr>
                <w:rFonts w:ascii="Times New Roman" w:eastAsia="宋体" w:hAnsi="Times New Roman"/>
                <w:b w:val="false"/>
                <w:bCs w:val="false"/>
                <w:i w:val="false"/>
                <w:iCs w:val="false"/>
                <w:sz w:val="21"/>
                <w:szCs w:val="21"/>
              </w:rPr>
              <w:t xml:space="preserve">Bar</w:t>
            </w:r>
            <w:r>
              <w:rPr>
                <w:rFonts w:ascii="Times New Roman" w:eastAsia="宋体" w:hAnsi="Times New Roman"/>
                <w:b w:val="false"/>
                <w:bCs w:val="false"/>
                <w:i w:val="false"/>
                <w:iCs w:val="false"/>
                <w:sz w:val="21"/>
                <w:szCs w:val="21"/>
              </w:rPr>
              <w:t xml:space="preserve"> 序列，输出 TD 事件流</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策略适配层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TDStrategyAdapter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把 TD 事件翻译为通用 </w:t>
            </w:r>
            <w:r>
              <w:rPr>
                <w:rFonts w:ascii="Times New Roman" w:eastAsia="宋体" w:hAnsi="Times New Roman"/>
                <w:b w:val="false"/>
                <w:bCs w:val="false"/>
                <w:i w:val="false"/>
                <w:iCs w:val="false"/>
                <w:sz w:val="21"/>
                <w:szCs w:val="21"/>
              </w:rPr>
              <w:t xml:space="preserve">BuyIntent</w:t>
            </w:r>
            <w:r>
              <w:rPr>
                <w:rFonts w:ascii="Times New Roman" w:eastAsia="宋体" w:hAnsi="Times New Roman"/>
                <w:b w:val="false"/>
                <w:bCs w:val="false"/>
                <w:i w:val="false"/>
                <w:iCs w:val="false"/>
                <w:sz w:val="21"/>
                <w:szCs w:val="21"/>
              </w:rPr>
              <w:t xml:space="preserve"> 或 </w:t>
            </w:r>
            <w:r>
              <w:rPr>
                <w:rFonts w:ascii="Times New Roman" w:eastAsia="宋体" w:hAnsi="Times New Roman"/>
                <w:b w:val="false"/>
                <w:bCs w:val="false"/>
                <w:i w:val="false"/>
                <w:iCs w:val="false"/>
                <w:sz w:val="21"/>
                <w:szCs w:val="21"/>
              </w:rPr>
              <w:t xml:space="preserve">SellIntent</w:t>
            </w:r>
            <w:r>
              <w:rPr>
                <w:rFonts w:ascii="Times New Roman" w:eastAsia="宋体" w:hAnsi="Times New Roman"/>
                <w:b w:val="false"/>
                <w:bCs w:val="false"/>
                <w:i w:val="false"/>
                <w:iCs w:val="false"/>
                <w:sz w:val="21"/>
                <w:szCs w:val="21"/>
              </w:rPr>
              <w:t xml:space="preserve">，独占 </w:t>
            </w:r>
            <w:r>
              <w:rPr>
                <w:rFonts w:ascii="Times New Roman" w:eastAsia="宋体" w:hAnsi="Times New Roman"/>
                <w:b w:val="false"/>
                <w:bCs w:val="false"/>
                <w:i w:val="false"/>
                <w:iCs w:val="false"/>
                <w:sz w:val="21"/>
                <w:szCs w:val="21"/>
              </w:rPr>
              <w:t xml:space="preserve">trade.csv</w:t>
            </w:r>
            <w:r>
              <w:rPr>
                <w:rFonts w:ascii="Times New Roman" w:eastAsia="宋体" w:hAnsi="Times New Roman"/>
                <w:b w:val="false"/>
                <w:bCs w:val="false"/>
                <w:i w:val="false"/>
                <w:iCs w:val="false"/>
                <w:sz w:val="21"/>
                <w:szCs w:val="21"/>
              </w:rPr>
              <w:t xml:space="preserve"> 写入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通用交易执行层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BuyIntent</w:t>
            </w:r>
            <w:r>
              <w:rPr>
                <w:rFonts w:ascii="Times New Roman" w:eastAsia="宋体" w:hAnsi="Times New Roman"/>
                <w:b w:val="false"/>
                <w:bCs w:val="false"/>
                <w:i w:val="false"/>
                <w:iCs w:val="false"/>
                <w:sz w:val="21"/>
                <w:szCs w:val="21"/>
              </w:rPr>
              <w:t xml:space="preserve"> 与 </w:t>
            </w:r>
            <w:r>
              <w:rPr>
                <w:rFonts w:ascii="Times New Roman" w:eastAsia="宋体" w:hAnsi="Times New Roman"/>
                <w:b w:val="false"/>
                <w:bCs w:val="false"/>
                <w:i w:val="false"/>
                <w:iCs w:val="false"/>
                <w:sz w:val="21"/>
                <w:szCs w:val="21"/>
              </w:rPr>
              <w:t xml:space="preserve">SellIntent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FillInfo</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TradeExecutorCallbacks</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不感知 TD 概念；以 PTrade 真实成交回报为唯一信源管理订单、仓位、风控与超时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输出与元数据层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MetadataRecorder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TradeRecordRecorder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写入 </w:t>
            </w:r>
            <w:r>
              <w:rPr>
                <w:rFonts w:ascii="Times New Roman" w:eastAsia="宋体" w:hAnsi="Times New Roman"/>
                <w:b w:val="false"/>
                <w:bCs w:val="false"/>
                <w:i w:val="false"/>
                <w:iCs w:val="false"/>
                <w:sz w:val="21"/>
                <w:szCs w:val="21"/>
              </w:rPr>
              <w:t xml:space="preserve">td_events.csv</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event_outcomes.csv</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position_snapshot.csv</w:t>
            </w:r>
            <w:r>
              <w:rPr>
                <w:rFonts w:ascii="Times New Roman" w:eastAsia="宋体" w:hAnsi="Times New Roman"/>
                <w:b w:val="false"/>
                <w:bCs w:val="false"/>
                <w:i w:val="false"/>
                <w:iCs w:val="false"/>
                <w:sz w:val="21"/>
                <w:szCs w:val="21"/>
              </w:rPr>
              <w:t xml:space="preserve"> 与 </w:t>
            </w:r>
            <w:r>
              <w:rPr>
                <w:rFonts w:ascii="Times New Roman" w:eastAsia="宋体" w:hAnsi="Times New Roman"/>
                <w:b w:val="false"/>
                <w:bCs w:val="false"/>
                <w:i w:val="false"/>
                <w:iCs w:val="false"/>
                <w:sz w:val="21"/>
                <w:szCs w:val="21"/>
              </w:rPr>
              <w:t xml:space="preserve">trade.csv</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策略钩子层</w:t>
            </w:r>
          </w:p>
        </w:tc>
        <w:tc>
          <w:tcPr>
            <w:tcW w:type="dxa" w:w="407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initialize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before_trading_start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handle_data</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tick_data</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on_trade_response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after_trading_end</w:t>
            </w:r>
          </w:p>
        </w:tc>
        <w:tc>
          <w:tcPr>
            <w:tcW w:type="dxa" w:w="339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在 PTrade 允许的钩子内编排上述各层</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从模块依赖角度看，信号层只依赖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序列，与 PTrade API 完全解耦；通用交易执行层向上接受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，向下与 PTrade 或 SimTradeLab API 通信，与具体信号语义无关。这种结构使得若未来研究者改用均线、布林带或机器学习信号，仅需替换信号层与策略适配层，交易执行、对账、超时与除权除息等通用机制可全部复用。</w:t>
      </w:r>
    </w:p>
    <w:p>
      <w:pPr>
        <w:pStyle w:val="BUPTHeading2"/>
        <w:spacing w:after="120" w:before="120" w:line="360" w:lineRule="auto"/>
        <w:ind w:left="0" w:right="0" w:hanging="0" w:firstLine="0" w:leftChars="0" w:rightChars="0" w:firstLineChars="0" w:hangingChars="0"/>
        <w:jc w:val="left"/>
      </w:pPr>
      <w:r>
        <w:bookmarkStart w:id="50" w:name="heading_4_u2e3_u20_u5173_u952e_u529f_u80fd_u6a21_u5757_u8bbe_u8ba1"/>
      </w:r>
      <w:r>
        <w:t xml:space="preserve">4.3 关键功能模块设计</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系统的可维护性主要由模块边界决定。本节按分层介绍各模块的关键类与协作关系，对应需求 FR1 至 FR8 与 NFR4。配置与日志层在 4.4 节专门讨论，数据层与信号层分别在 4.5 节与第三章讨论，本节集中说明输出层、策略适配层与通用交易执行层。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 共同负责输出层。前者写入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，三者均按时间顺序追加；后者写入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与运行根目录下的汇总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，仅在生命周期终态新增一行。两类记录器使用统一的表头并通过首行检测决定是否补写表头，便于不同运行批次之间的合并与对比。</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TDStrategyAdapter</w:t>
      </w:r>
      <w:r>
        <w:rPr>
          <w:rFonts w:ascii="Times New Roman" w:eastAsia="宋体" w:hAnsi="Times New Roman"/>
          <w:b w:val="false"/>
          <w:bCs w:val="false"/>
          <w:i w:val="false"/>
          <w:iCs w:val="false"/>
          <w:sz w:val="24"/>
          <w:szCs w:val="24"/>
        </w:rPr>
        <w:t xml:space="preserve"> 是 TD 信号与通用交易意图之间的桥梁，与 </w:t>
      </w: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三个数据对象以及 </w:t>
      </w:r>
      <w:r>
        <w:rPr>
          <w:rFonts w:ascii="Times New Roman" w:eastAsia="宋体" w:hAnsi="Times New Roman"/>
          <w:b w:val="false"/>
          <w:bCs w:val="false"/>
          <w:i w:val="false"/>
          <w:iCs w:val="false"/>
          <w:sz w:val="24"/>
          <w:szCs w:val="24"/>
        </w:rPr>
        <w:t xml:space="preserve">TradeExecutorCallbacks</w:t>
      </w:r>
      <w:r>
        <w:rPr>
          <w:rFonts w:ascii="Times New Roman" w:eastAsia="宋体" w:hAnsi="Times New Roman"/>
          <w:b w:val="false"/>
          <w:bCs w:val="false"/>
          <w:i w:val="false"/>
          <w:iCs w:val="false"/>
          <w:sz w:val="24"/>
          <w:szCs w:val="24"/>
        </w:rPr>
        <w:t xml:space="preserve"> 中的 </w:t>
      </w: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r>
        <w:rPr>
          <w:rFonts w:ascii="Times New Roman" w:eastAsia="宋体" w:hAnsi="Times New Roman"/>
          <w:b w:val="false"/>
          <w:bCs w:val="false"/>
          <w:i w:val="false"/>
          <w:iCs w:val="false"/>
          <w:sz w:val="24"/>
          <w:szCs w:val="24"/>
        </w:rPr>
        <w:t xml:space="preserve"> 五个回调方法通信，"意图下发"与"成交回报"在方向上严格分离，符合命令查询职责分离原则。该适配层保留 TD 特有的预检逻辑（如 </w:t>
      </w:r>
      <w:r>
        <w:rPr>
          <w:rFonts w:ascii="Times New Roman" w:eastAsia="宋体" w:hAnsi="Times New Roman"/>
          <w:b w:val="false"/>
          <w:bCs w:val="false"/>
          <w:i w:val="false"/>
          <w:iCs w:val="false"/>
          <w:sz w:val="24"/>
          <w:szCs w:val="24"/>
        </w:rPr>
        <w:t xml:space="preserve">require_perfect_setup_for_buy</w:t>
      </w:r>
      <w:r>
        <w:rPr>
          <w:rFonts w:ascii="Times New Roman" w:eastAsia="宋体" w:hAnsi="Times New Roman"/>
          <w:b w:val="false"/>
          <w:bCs w:val="false"/>
          <w:i w:val="false"/>
          <w:iCs w:val="false"/>
          <w:sz w:val="24"/>
          <w:szCs w:val="24"/>
        </w:rPr>
        <w:t xml:space="preserve">）与风控参数（</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），并独占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的写入。</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对外暴露 9 个公开方法，包括 </w:t>
      </w:r>
      <w:r>
        <w:rPr>
          <w:rFonts w:ascii="Times New Roman" w:eastAsia="宋体" w:hAnsi="Times New Roman"/>
          <w:b w:val="false"/>
          <w:bCs w:val="false"/>
          <w:i w:val="false"/>
          <w:iCs w:val="false"/>
          <w:sz w:val="24"/>
          <w:szCs w:val="24"/>
        </w:rPr>
        <w:t xml:space="preserve">submit_buy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submit_sell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check_backtest_exits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check_tick_exits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accrue_dividends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reconcile_position_adjustments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set_callbacks</w:t>
      </w:r>
      <w:r>
        <w:rPr>
          <w:rFonts w:ascii="Times New Roman" w:eastAsia="宋体" w:hAnsi="Times New Roman"/>
          <w:b w:val="false"/>
          <w:bCs w:val="false"/>
          <w:i w:val="false"/>
          <w:iCs w:val="false"/>
          <w:sz w:val="24"/>
          <w:szCs w:val="24"/>
        </w:rPr>
        <w:t xml:space="preserve">，覆盖订单提交、跨周期对账、回测与实盘风控触发、分红累计、除权送股同步以及外部成交回报响应六类职责。该模块对外暴露稳定接口、对内封装与 PTrade 或 SimTradeLab API 的字段差异，体现了开闭原则在策略系统中的应用</w:t>
      </w:r>
      <w:r>
        <w:bookmarkStart w:id="51" w:name="cite_25_2"/>
      </w:r>
      <w:r>
        <w:rPr>
          <w:rFonts w:ascii="Times New Roman" w:eastAsia="宋体" w:hAnsi="Times New Roman"/>
          <w:b w:val="false"/>
          <w:bCs w:val="false"/>
          <w:i w:val="false"/>
          <w:iCs w:val="false"/>
          <w:sz w:val="24"/>
          <w:szCs w:val="24"/>
        </w:rPr>
        <w:t xml:space="preserve"/>
      </w:r>
      <w:r>
        <w:bookmarkEnd w:id="51"/>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52" w:name="heading_4_u2e4_u20_u914d_u7f6e_u7ba1_u7406_u4e0e_u8fd0_u884c_u76ee_u5f55_u8bbe_u"/>
      </w:r>
      <w:r>
        <w:t xml:space="preserve">4.4 配置管理与运行目录设计</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配置层使用单一 JSON 文件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作为可调参数集中点。系统对配置采用强制 schema 校验：所有顶层段以及必填字段缺失或类型非法时直接抛出异常终止策略，不再使用任何内置默认值兜底。该约束的目的是避免"看似运行成功实则走错配置"的情形，保证不同运行批次之间的可比性。配置项按业务域划分如表4-2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配置项类别表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5004"/>
        <w:gridCol w:w="16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配置类别</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顶层段</w:t>
            </w:r>
          </w:p>
        </w:tc>
        <w:tc>
          <w:tcPr>
            <w:tcW w:type="dxa" w:w="50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关键字段</w:t>
            </w:r>
          </w:p>
        </w:tc>
        <w:tc>
          <w:tcPr>
            <w:tcW w:type="dxa" w:w="16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主要影响</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股票池与基准</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universe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securities</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benchmark</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决定回测范围与评价基准</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数据接入</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data</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frequency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fq</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lookback_count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min_required_bars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 K 线频率、复权口径与历史回看窗口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引擎参数</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backtest</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slippage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limit_mode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commission_ratio</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min_commission</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与 PTrade </w:t>
            </w:r>
            <w:r>
              <w:rPr>
                <w:rFonts w:ascii="Times New Roman" w:eastAsia="宋体" w:hAnsi="Times New Roman"/>
                <w:b w:val="false"/>
                <w:bCs w:val="false"/>
                <w:i w:val="false"/>
                <w:iCs w:val="false"/>
                <w:sz w:val="21"/>
                <w:szCs w:val="21"/>
              </w:rPr>
              <w:t xml:space="preserve">set_slippage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set_limit_mode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set_commission</w:t>
            </w:r>
            <w:r>
              <w:rPr>
                <w:rFonts w:ascii="Times New Roman" w:eastAsia="宋体" w:hAnsi="Times New Roman"/>
                <w:b w:val="false"/>
                <w:bCs w:val="false"/>
                <w:i w:val="false"/>
                <w:iCs w:val="false"/>
                <w:sz w:val="21"/>
                <w:szCs w:val="21"/>
              </w:rPr>
              <w:t xml:space="preserve"> 同步</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require_perfect_for_signal</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控制是否仅认可完美 Setup 触发 Countdown</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enabled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tdst_cancel_rule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cancel_on_opposite_setup</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cancel_on_same_setup</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require_perfect</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 Countdown 启用、取消策略与完美计数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交易与风控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enabled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buy_fraction_of_portfolio</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stop_loss_range_multiple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profit_target_r_multiple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max_holding_days</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pending_order_timeout_days</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pending_order_force_drop_days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控制单笔仓位比例、止损止盈、最大持仓天数与超时保护</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日志与输出</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log</w:t>
            </w:r>
          </w:p>
        </w:tc>
        <w:tc>
          <w:tcPr>
            <w:tcW w:type="dxa" w:w="50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level</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csv_output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verbose_state_transition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verbose_countdown_step</w:t>
            </w:r>
          </w:p>
        </w:tc>
        <w:tc>
          <w:tcPr>
            <w:tcW w:type="dxa" w:w="16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控制日志级别与 CSV 输出开关</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运行输出目录由策略启动日期与配置文件路径共同决定。</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 以"配置文件父目录加启动日期"作为初始路径；若该路径已存在，则自动追加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等后缀直到不冲突。每个标的拥有独立子目录，用于存放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；运行根目录额外存放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strategy.log</w:t>
      </w:r>
      <w:r>
        <w:rPr>
          <w:rFonts w:ascii="Times New Roman" w:eastAsia="宋体" w:hAnsi="Times New Roman"/>
          <w:b w:val="false"/>
          <w:bCs w:val="false"/>
          <w:i w:val="false"/>
          <w:iCs w:val="false"/>
          <w:sz w:val="24"/>
          <w:szCs w:val="24"/>
        </w:rPr>
        <w:t xml:space="preserve">。该设计满足 NFR1 可追溯性与 NFR3 稳定性的双重要求。</w:t>
      </w:r>
    </w:p>
    <w:p>
      <w:pPr>
        <w:pStyle w:val="BUPTHeading2"/>
        <w:spacing w:after="120" w:before="120" w:line="360" w:lineRule="auto"/>
        <w:ind w:left="0" w:right="0" w:hanging="0" w:firstLine="0" w:leftChars="0" w:rightChars="0" w:firstLineChars="0" w:hangingChars="0"/>
        <w:jc w:val="left"/>
      </w:pPr>
      <w:r>
        <w:bookmarkStart w:id="53" w:name="heading_4_u2e5_u20_u6570_u636e_u83b7_u53d6_u4e0e_u6e05_u6d17_u8bbe_u8ba1"/>
      </w:r>
      <w:r>
        <w:t xml:space="preserve">4.5 数据获取与清洗设计</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数据层的主要任务是把外部行情接口产出的原始数据转换为按时间升序排列、剔除无效成交日的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序列，输入到信号层。</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get_history(count=lookback_count, include=False)</w:t>
      </w:r>
      <w:r>
        <w:rPr>
          <w:rFonts w:ascii="Times New Roman" w:eastAsia="宋体" w:hAnsi="Times New Roman"/>
          <w:b w:val="false"/>
          <w:bCs w:val="false"/>
          <w:i w:val="false"/>
          <w:iCs w:val="false"/>
          <w:sz w:val="24"/>
          <w:szCs w:val="24"/>
        </w:rPr>
        <w:t xml:space="preserve"> 获取 K 线，其中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保证最后一根 K 线为已收盘 K 线。该约定使得日线策略中"信号基于昨日收盘后可确认的信息生成、订单在今日盘中执行"的时序成立，避免使用未来数据。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A 股市场存在停牌、退市风险与新股上市初期价格异常等情况，本系统采用三层停牌过滤防护：盘前由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filter_stock_by_status(["HALT","DELISTING"])</w:t>
      </w:r>
      <w:r>
        <w:rPr>
          <w:rFonts w:ascii="Times New Roman" w:eastAsia="宋体" w:hAnsi="Times New Roman"/>
          <w:b w:val="false"/>
          <w:bCs w:val="false"/>
          <w:i w:val="false"/>
          <w:iCs w:val="false"/>
          <w:sz w:val="24"/>
          <w:szCs w:val="24"/>
        </w:rPr>
        <w:t xml:space="preserve"> 剔除当日停牌或退市标的；盘中由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get_stock_status('HALT', today)</w:t>
      </w:r>
      <w:r>
        <w:rPr>
          <w:rFonts w:ascii="Times New Roman" w:eastAsia="宋体" w:hAnsi="Times New Roman"/>
          <w:b w:val="false"/>
          <w:bCs w:val="false"/>
          <w:i w:val="false"/>
          <w:iCs w:val="false"/>
          <w:sz w:val="24"/>
          <w:szCs w:val="24"/>
        </w:rPr>
        <w:t xml:space="preserve"> 进行二次复核；历史数据层则直接丢弃 </w:t>
      </w:r>
      <w:r>
        <w:rPr>
          <w:rFonts w:ascii="Times New Roman" w:eastAsia="宋体" w:hAnsi="Times New Roman"/>
          <w:b w:val="false"/>
          <w:bCs w:val="false"/>
          <w:i w:val="false"/>
          <w:iCs w:val="false"/>
          <w:sz w:val="24"/>
          <w:szCs w:val="24"/>
        </w:rPr>
        <w:t xml:space="preserve">volume&lt;=0</w:t>
      </w:r>
      <w:r>
        <w:rPr>
          <w:rFonts w:ascii="Times New Roman" w:eastAsia="宋体" w:hAnsi="Times New Roman"/>
          <w:b w:val="false"/>
          <w:bCs w:val="false"/>
          <w:i w:val="false"/>
          <w:iCs w:val="false"/>
          <w:sz w:val="24"/>
          <w:szCs w:val="24"/>
        </w:rPr>
        <w:t xml:space="preserve"> 的 K 线，使 Setup 与 Countdown 状态机接收的永远是连续的有效成交日序列。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复权口径方面系统采用前复权全量重算策略。每个交易周期内 </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重新拉取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根前复权 K 线，状态机从头计算事件流，避免长期缓存与新发生的权益事件之间出现复权因子不一致的问题。该处理对应第二章关于"前复权加每日全量重算"的论述，并把信号识别口径与交易执行口径在系统层面解耦。</w:t>
      </w:r>
    </w:p>
    <w:p>
      <w:pPr>
        <w:pStyle w:val="BUPTHeading2"/>
        <w:spacing w:after="120" w:before="120" w:line="360" w:lineRule="auto"/>
        <w:ind w:left="0" w:right="0" w:hanging="0" w:firstLine="0" w:leftChars="0" w:rightChars="0" w:firstLineChars="0" w:hangingChars="0"/>
        <w:jc w:val="left"/>
      </w:pPr>
      <w:r>
        <w:bookmarkStart w:id="54" w:name="heading_4_u2e6_u20_u5355_u5468_u671f_u4e3b_u6d41_u7a0b_u8bbe_u8ba1"/>
      </w:r>
      <w:r>
        <w:t xml:space="preserve">4.6 单周期主流程设计</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是系统在每个交易周期被调用一次的主流程入口，也是系统健壮性最关键的部分。流程按"先落账、再决策、最后再落账"的顺序组织，共分为七步：周期开始时调用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结算上周期未结成交；遍历当日有效标的并复核停牌；对每只标的获取并清洗 K 线；更新事件窗口结果，使成熟事件落入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；同步当日除权送股与现金分红；调用风控触发器检查止损止盈；运行 TD 信号处理器并将事件交付策略适配层提交订单；周期末再次调用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，捕获 SimTradeLab 同步撮合下本周期内即可结算的订单。完整流程如图4-2所示。</w:t>
      </w:r>
    </w:p>
    <w:p>
      <w:pPr>
        <w:pStyle w:val="ImageBlock"/>
        <w:spacing w:after="60" w:before="60" w:line="360" w:lineRule="auto"/>
        <w:ind w:left="0" w:right="0" w:hanging="0" w:firstLine="0" w:leftChars="0" w:rightChars="0" w:firstLineChars="0" w:hangingChars="0"/>
        <w:jc w:val="center"/>
      </w:pPr>
      <w:r>
        <w:drawing>
          <wp:inline distT="0" distB="0" distL="0" distR="0">
            <wp:extent cx="3000375" cy="4953000"/>
            <wp:effectExtent t="0" r="0" b="0" l="0"/>
            <wp:docPr id="1" name="单周期主流程图" descr="单周期主流程图" title="单周期主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4953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图4-2  单周期 handle\_data 主流程图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该顺序的设计依据可归纳为四点。第一，上周期的成交回报必须先被结算到 </w:t>
      </w:r>
      <w:r>
        <w:rPr>
          <w:rFonts w:ascii="Times New Roman" w:eastAsia="宋体" w:hAnsi="Times New Roman"/>
          <w:b w:val="false"/>
          <w:bCs w:val="false"/>
          <w:i w:val="false"/>
          <w:iCs w:val="false"/>
          <w:sz w:val="24"/>
          <w:szCs w:val="24"/>
        </w:rPr>
        <w:t xml:space="preserve">open_trades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中，否则风控触发器看到的是过期持仓；第二，分红与送股引起的数量、止损价与止盈价同步必须先于风控触发，否则止损价可能在除权日错误命中；第三，信号识别本身不依赖持仓状态，因此放在最后执行；第四，周期末再次对账可使 SimTradeLab 同步撮合下本周期内的成交立即落入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，避免一律延后到下一周期。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信号产生与下单执行之间的时序关系如图4-3所示。</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决定了信号事件的 </w:t>
      </w:r>
      <w:r>
        <w:rPr>
          <w:rFonts w:ascii="Times New Roman" w:eastAsia="宋体" w:hAnsi="Times New Roman"/>
          <w:b w:val="false"/>
          <w:bCs w:val="false"/>
          <w:i w:val="false"/>
          <w:iCs w:val="false"/>
          <w:sz w:val="24"/>
          <w:szCs w:val="24"/>
        </w:rPr>
        <w:t xml:space="preserve">datetime</w:t>
      </w:r>
      <w:r>
        <w:rPr>
          <w:rFonts w:ascii="Times New Roman" w:eastAsia="宋体" w:hAnsi="Times New Roman"/>
          <w:b w:val="false"/>
          <w:bCs w:val="false"/>
          <w:i w:val="false"/>
          <w:iCs w:val="false"/>
          <w:sz w:val="24"/>
          <w:szCs w:val="24"/>
        </w:rPr>
        <w:t xml:space="preserve"> 永远等于上一交易日；交易层基于这些"昨日新鲜信号"在今日盘中下单；订单的真实成交结果需要等到 PTrade 异步撮合返回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 之后才被写入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终态行，避免回测中的预估 PnL 与引擎实际扣账不一致。</w:t>
      </w:r>
    </w:p>
    <w:p>
      <w:pPr>
        <w:pStyle w:val="ImageBlock"/>
        <w:spacing w:after="60" w:before="60" w:line="360" w:lineRule="auto"/>
        <w:ind w:left="0" w:right="0" w:hanging="0" w:firstLine="0" w:leftChars="0" w:rightChars="0" w:firstLineChars="0" w:hangingChars="0"/>
        <w:jc w:val="center"/>
      </w:pPr>
      <w:r>
        <w:drawing>
          <wp:inline distT="0" distB="0" distL="0" distR="0">
            <wp:extent cx="5334000" cy="3086100"/>
            <wp:effectExtent t="0" r="0" b="0" l="0"/>
            <wp:docPr id="1" name="信号下单成交时序图" descr="信号下单成交时序图" title="信号下单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861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图4-3  信号下单成交时序图</w:t>
      </w:r>
    </w:p>
    <w:p>
      <w:pPr>
        <w:pStyle w:val="BUPTHeading2"/>
        <w:spacing w:after="120" w:before="120" w:line="360" w:lineRule="auto"/>
        <w:ind w:left="0" w:right="0" w:hanging="0" w:firstLine="0" w:leftChars="0" w:rightChars="0" w:firstLineChars="0" w:hangingChars="0"/>
        <w:jc w:val="left"/>
      </w:pPr>
      <w:r>
        <w:bookmarkStart w:id="55" w:name="heading_4_u2e7_u20_u4fe1_u53f7_u3001_u8ba2_u5355_u4e0e_u4ed3_u4f4d_u7684_u751f_u"/>
      </w:r>
      <w:r>
        <w:t xml:space="preserve">4.7 信号、订单与仓位的生命周期建模</w:t>
      </w:r>
      <w:r>
        <w:bookmarkEnd w:id="5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系统在三个不同尺度上建立了显式的生命周期模型：信号尺度的 Setup 与 Countdown 状态、订单尺度的提交至撮合至终结、以及仓位尺度的开仓至调整至平仓。三类生命周期相互独立、相互配合，分别对应 FR3 至 FR4、FR6 至 FR7 与 NFR1。</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信号生命周期由 </w:t>
      </w: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TDSignalProcessor</w:t>
      </w:r>
      <w:r>
        <w:rPr>
          <w:rFonts w:ascii="Times New Roman" w:eastAsia="宋体" w:hAnsi="Times New Roman"/>
          <w:b w:val="false"/>
          <w:bCs w:val="false"/>
          <w:i w:val="false"/>
          <w:iCs w:val="false"/>
          <w:sz w:val="24"/>
          <w:szCs w:val="24"/>
        </w:rPr>
        <w:t xml:space="preserve"> 构成的事件流驱动。Setup 状态机要求严格连续的 9 根 K 线计数，可在反向输入或相等输入下被中断或重启；Countdown 状态机允许非连续计数，在配置 </w:t>
      </w:r>
      <w:r>
        <w:rPr>
          <w:rFonts w:ascii="Times New Roman" w:eastAsia="宋体" w:hAnsi="Times New Roman"/>
          <w:b w:val="false"/>
          <w:bCs w:val="false"/>
          <w:i w:val="false"/>
          <w:iCs w:val="false"/>
          <w:sz w:val="24"/>
          <w:szCs w:val="24"/>
        </w:rPr>
        <w:t xml:space="preserve">require_perfect=true</w:t>
      </w:r>
      <w:r>
        <w:rPr>
          <w:rFonts w:ascii="Times New Roman" w:eastAsia="宋体" w:hAnsi="Times New Roman"/>
          <w:b w:val="false"/>
          <w:bCs w:val="false"/>
          <w:i w:val="false"/>
          <w:iCs w:val="false"/>
          <w:sz w:val="24"/>
          <w:szCs w:val="24"/>
        </w:rPr>
        <w:t xml:space="preserve"> 且计数为 12 时支持 </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 暂记态，并在 TDST 突破、反向 Setup 或同向新 Setup 下转入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 终态。综合的信号生命周期状态如图4-4所示。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信号生命周期状态图" descr="信号生命周期状态图" title="信号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图4-4  TD 信号生命周期状态图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订单生命周期在通用交易执行层中由 </w:t>
      </w:r>
      <w:r>
        <w:rPr>
          <w:rFonts w:ascii="Times New Roman" w:eastAsia="宋体" w:hAnsi="Times New Roman"/>
          <w:b w:val="false"/>
          <w:bCs w:val="false"/>
          <w:i w:val="false"/>
          <w:iCs w:val="false"/>
          <w:sz w:val="24"/>
          <w:szCs w:val="24"/>
        </w:rPr>
        <w:t xml:space="preserve">pending_buy_orders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pending_sell_orders</w:t>
      </w:r>
      <w:r>
        <w:rPr>
          <w:rFonts w:ascii="Times New Roman" w:eastAsia="宋体" w:hAnsi="Times New Roman"/>
          <w:b w:val="false"/>
          <w:bCs w:val="false"/>
          <w:i w:val="false"/>
          <w:iCs w:val="false"/>
          <w:sz w:val="24"/>
          <w:szCs w:val="24"/>
        </w:rPr>
        <w:t xml:space="preserve"> 两个队列维护。订单提交后进入 </w:t>
      </w:r>
      <w:r>
        <w:rPr>
          <w:rFonts w:ascii="Times New Roman" w:eastAsia="宋体" w:hAnsi="Times New Roman"/>
          <w:b w:val="false"/>
          <w:bCs w:val="false"/>
          <w:i w:val="false"/>
          <w:iCs w:val="false"/>
          <w:sz w:val="24"/>
          <w:szCs w:val="24"/>
        </w:rPr>
        <w:t xml:space="preserve">Pending</w:t>
      </w:r>
      <w:r>
        <w:rPr>
          <w:rFonts w:ascii="Times New Roman" w:eastAsia="宋体" w:hAnsi="Times New Roman"/>
          <w:b w:val="false"/>
          <w:bCs w:val="false"/>
          <w:i w:val="false"/>
          <w:iCs w:val="false"/>
          <w:sz w:val="24"/>
          <w:szCs w:val="24"/>
        </w:rPr>
        <w:t xml:space="preserve"> 状态，由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get_order(order_id)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get_trades(security)</w:t>
      </w:r>
      <w:r>
        <w:rPr>
          <w:rFonts w:ascii="Times New Roman" w:eastAsia="宋体" w:hAnsi="Times New Roman"/>
          <w:b w:val="false"/>
          <w:bCs w:val="false"/>
          <w:i w:val="false"/>
          <w:iCs w:val="false"/>
          <w:sz w:val="24"/>
          <w:szCs w:val="24"/>
        </w:rPr>
        <w:t xml:space="preserve"> 接口轮询真实成交；部分成交、全部成交、引擎主动撤单与跨日未成交分别走不同终态分支。为防止极端情况下订单挂起阻塞后续止损，系统设置了软超时 </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 与硬超时 </w:t>
      </w:r>
      <w:r>
        <w:rPr>
          <w:rFonts w:ascii="Times New Roman" w:eastAsia="宋体" w:hAnsi="Times New Roman"/>
          <w:b w:val="false"/>
          <w:bCs w:val="false"/>
          <w:i w:val="false"/>
          <w:iCs w:val="false"/>
          <w:sz w:val="24"/>
          <w:szCs w:val="24"/>
        </w:rPr>
        <w:t xml:space="preserve">pending_order_force_drop_days</w:t>
      </w:r>
      <w:r>
        <w:rPr>
          <w:rFonts w:ascii="Times New Roman" w:eastAsia="宋体" w:hAnsi="Times New Roman"/>
          <w:b w:val="false"/>
          <w:bCs w:val="false"/>
          <w:i w:val="false"/>
          <w:iCs w:val="false"/>
          <w:sz w:val="24"/>
          <w:szCs w:val="24"/>
        </w:rPr>
        <w:t xml:space="preserve"> 两阶段保护，对应 NFR3 与 NFR6 的稳定性要求。订单生命周期如图4-5所示。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订单生命周期状态图" descr="订单生命周期状态图" title="订单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图4-5  订单生命周期状态图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仓位生命周期以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为唯一标识，每笔仓位独立追踪止损价、止盈价、最大持仓天数与分红归属。仓位在送股、转增或账户兜底校验出现差额时进入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中间状态，在该状态下系统按比例同步剩余数量、买入价、止损价与止盈价，并在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写入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行，但不写入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，以保持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仅记录终态的不变量。</w:t>
      </w:r>
    </w:p>
    <w:p>
      <w:pPr>
        <w:pStyle w:val="BUPTHeading2"/>
        <w:spacing w:after="120" w:before="120" w:line="360" w:lineRule="auto"/>
        <w:ind w:left="0" w:right="0" w:hanging="0" w:firstLine="0" w:leftChars="0" w:rightChars="0" w:firstLineChars="0" w:hangingChars="0"/>
        <w:jc w:val="left"/>
      </w:pPr>
      <w:r>
        <w:bookmarkStart w:id="56" w:name="heading_4_u2e8_u20_u4ea4_u6613_u6267_u884c_u5c42_u4e0e_u7b56_u7565_u9002_u914d_u"/>
      </w:r>
      <w:r>
        <w:t xml:space="preserve">4.8 交易执行层与策略适配层的解耦设计</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通用交易执行层与策略适配层之间通过明确的数据契约与回调接口通信，体现了"信号与执行解耦"的设计思想。该解耦使 TD 序列的研究改进与一般交易工程功能（订单状态机、风控触发、除权除息、分红归属、超时保护、PTrade 与 SimTradeLab 字段映射等）相互独立演化，是系统可扩展性的核心。契约字段与回调方法如表4-3所示。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表4-3  适配层与执行层通讯契约表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504"/>
        <w:gridCol w:w="21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契约对象</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流向</w:t>
            </w:r>
          </w:p>
        </w:tc>
        <w:tc>
          <w:tcPr>
            <w:tcW w:type="dxa" w:w="4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关键字段或方法</w:t>
            </w:r>
          </w:p>
        </w:tc>
        <w:tc>
          <w:tcPr>
            <w:tcW w:type="dxa" w:w="21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含义</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target_value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decision_dt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fallback_price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描述一次买入意图与对应 TD 上下文</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SellIntent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trade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sell_reason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fallback_price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描述一次卖出意图与卖出原因</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FillInfo</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执行层至适配层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order_id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quantity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commission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fill_dt</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真实成交回报封装</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TradeExecutorCallbacks</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执行层至适配层</w:t>
            </w:r>
          </w:p>
        </w:tc>
        <w:tc>
          <w:tcPr>
            <w:tcW w:type="dxa" w:w="4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on_buy_filled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on_buy_rejected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on_sell_filled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on_sell_rejected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on_position_adjusted</w:t>
            </w:r>
          </w:p>
        </w:tc>
        <w:tc>
          <w:tcPr>
            <w:tcW w:type="dxa" w:w="21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由适配层实现，处理拒单、成交与除权除息事件</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拒单原因来自交易层与适配层的不同决策点，但统一在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 </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 字段中表达，便于后续按原因聚合分析。完整的拒单原因枚举如表4-4所示。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表4-4  买入拒单原因枚举表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83"/>
        <w:gridCol w:w="4904"/>
        <w:gridCol w:w="2083"/>
      </w:tblGrid>
      <w:tr>
        <w:trPr>
          <w:cantSplit/>
          <w:tblHeader/>
        </w:trPr>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拒单原因</w:t>
            </w:r>
          </w:p>
        </w:tc>
        <w:tc>
          <w:tcPr>
            <w:tcW w:type="dxa" w:w="49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触发场景</w:t>
            </w:r>
          </w:p>
        </w:tc>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决策来源</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TRADE_DISABLED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 </w:t>
            </w:r>
            <w:r>
              <w:rPr>
                <w:rFonts w:ascii="Times New Roman" w:eastAsia="宋体" w:hAnsi="Times New Roman"/>
                <w:b w:val="false"/>
                <w:bCs w:val="false"/>
                <w:i w:val="false"/>
                <w:iCs w:val="false"/>
                <w:sz w:val="21"/>
                <w:szCs w:val="21"/>
              </w:rPr>
              <w:t xml:space="preserve">trade.enabled=false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INSUFFICIENT_CASH</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可用现金低于 </w:t>
            </w:r>
            <w:r>
              <w:rPr>
                <w:rFonts w:ascii="Times New Roman" w:eastAsia="宋体" w:hAnsi="Times New Roman"/>
                <w:b w:val="false"/>
                <w:bCs w:val="false"/>
                <w:i w:val="false"/>
                <w:iCs w:val="false"/>
                <w:sz w:val="21"/>
                <w:szCs w:val="21"/>
              </w:rPr>
              <w:t xml:space="preserve">min_cash_for_buy</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MIN_TRADE_VALUE</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目标买入金额低于 </w:t>
            </w:r>
            <w:r>
              <w:rPr>
                <w:rFonts w:ascii="Times New Roman" w:eastAsia="宋体" w:hAnsi="Times New Roman"/>
                <w:b w:val="false"/>
                <w:bCs w:val="false"/>
                <w:i w:val="false"/>
                <w:iCs w:val="false"/>
                <w:sz w:val="21"/>
                <w:szCs w:val="21"/>
              </w:rPr>
              <w:t xml:space="preserve">min_trade_value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ORDER_REJECTED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order_value</w:t>
            </w:r>
            <w:r>
              <w:rPr>
                <w:rFonts w:ascii="Times New Roman" w:eastAsia="宋体" w:hAnsi="Times New Roman"/>
                <w:b w:val="false"/>
                <w:bCs w:val="false"/>
                <w:i w:val="false"/>
                <w:iCs w:val="false"/>
                <w:sz w:val="21"/>
                <w:szCs w:val="21"/>
              </w:rPr>
              <w:t xml:space="preserve"> 返回空订单号或终态时累计成交为零</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ORDER_ERROR</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下单接口抛出异常</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TIMEOUT</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硬超时强制摘除 pending 项</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NON_PERFECT_SETUP</w:t>
            </w:r>
          </w:p>
        </w:tc>
        <w:tc>
          <w:tcPr>
            <w:tcW w:type="dxa" w:w="49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require_perfect_setup_for_buy=true</w:t>
            </w:r>
            <w:r>
              <w:rPr>
                <w:rFonts w:ascii="Times New Roman" w:eastAsia="宋体" w:hAnsi="Times New Roman"/>
                <w:b w:val="false"/>
                <w:bCs w:val="false"/>
                <w:i w:val="false"/>
                <w:iCs w:val="false"/>
                <w:sz w:val="21"/>
                <w:szCs w:val="21"/>
              </w:rPr>
              <w:t xml:space="preserve"> 且 Setup 不完美</w:t>
            </w:r>
          </w:p>
        </w:tc>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TDStrategyAdapter</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leftChars="0" w:rightChars="0" w:firstLineChars="0" w:hangingChars="0"/>
        <w:jc w:val="left"/>
      </w:pPr>
      <w:r>
        <w:bookmarkStart w:id="57" w:name="heading_4_u2e9_u20_u8f93_u51fa_u6587_u4ef6_u4e0e_u53ef_u8ffd_u6eaf_u8bbe_u8ba1"/>
      </w:r>
      <w:r>
        <w:t xml:space="preserve">4.9 输出文件与可追溯设计</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系统的可追溯性由四个 CSV 文件协同实现，分别覆盖信号层、事件研究层、仓位层与生命周期层。四类文件的字段不重复、终态触发条件互不冲突，支持后续离线分析工具按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在文件之间建立连接。文件用途与终态写入触发条件如表4-5所示。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表4-5  输出文件用途表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50"/>
        <w:gridCol w:w="1367"/>
        <w:gridCol w:w="3230"/>
        <w:gridCol w:w="2423"/>
      </w:tblGrid>
      <w:tr>
        <w:trPr>
          <w:cantSplit/>
          <w:tblHeader/>
        </w:trPr>
        <w:tc>
          <w:tcPr>
            <w:tcW w:type="dxa" w:w="20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文件</w:t>
            </w:r>
          </w:p>
        </w:tc>
        <w:tc>
          <w:tcPr>
            <w:tcW w:type="dxa" w:w="136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写入位置</w:t>
            </w:r>
          </w:p>
        </w:tc>
        <w:tc>
          <w:tcPr>
            <w:tcW w:type="dxa" w:w="3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终态写入触发</w:t>
            </w:r>
          </w:p>
        </w:tc>
        <w:tc>
          <w:tcPr>
            <w:tcW w:type="dxa" w:w="24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主要分析用途</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td_events.csv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完成、Countdown 进位、暂记、完成与取消事件即时写入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事件研究、状态机复核、分层统计</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event_outcomes.csv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事件后 5、20、60、120 个交易日窗口成熟时写入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方向收益、最大有利波动与最大不利波动分析</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position_snapshot.csv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OPEN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CLOSE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ADJUST</w:t>
            </w:r>
            <w:r>
              <w:rPr>
                <w:rFonts w:ascii="Times New Roman" w:eastAsia="宋体" w:hAnsi="Times New Roman"/>
                <w:b w:val="false"/>
                <w:bCs w:val="false"/>
                <w:i w:val="false"/>
                <w:iCs w:val="false"/>
                <w:sz w:val="21"/>
                <w:szCs w:val="21"/>
              </w:rPr>
              <w:t xml:space="preserve"> 三种快照即时写入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组合资金占用与持仓变化复现</w:t>
            </w:r>
          </w:p>
        </w:tc>
      </w:tr>
      <w:tr>
        <w:trPr>
          <w:cantSplit/>
          <w:tblHeader w:val="false"/>
        </w:trPr>
        <w:tc>
          <w:tcPr>
            <w:tcW w:type="dxa" w:w="20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&lt;SEC&gt;/trade.csv</w:t>
            </w:r>
            <w:r>
              <w:rPr>
                <w:rFonts w:ascii="Times New Roman" w:eastAsia="宋体" w:hAnsi="Times New Roman"/>
                <w:b w:val="false"/>
                <w:bCs w:val="false"/>
                <w:i w:val="false"/>
                <w:iCs w:val="false"/>
                <w:sz w:val="21"/>
                <w:szCs w:val="21"/>
              </w:rPr>
              <w:t xml:space="preserve"> 与根目录 </w:t>
            </w:r>
            <w:r>
              <w:rPr>
                <w:rFonts w:ascii="Times New Roman" w:eastAsia="宋体" w:hAnsi="Times New Roman"/>
                <w:b w:val="false"/>
                <w:bCs w:val="false"/>
                <w:i w:val="false"/>
                <w:iCs w:val="false"/>
                <w:sz w:val="21"/>
                <w:szCs w:val="21"/>
              </w:rPr>
              <w:t xml:space="preserve">trade.csv</w:t>
            </w:r>
          </w:p>
        </w:tc>
        <w:tc>
          <w:tcPr>
            <w:tcW w:type="dxa" w:w="136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标的子目录与运行根目录</w:t>
            </w:r>
          </w:p>
        </w:tc>
        <w:tc>
          <w:tcPr>
            <w:tcW w:type="dxa" w:w="3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取消、买入被拒、买入后卖出（含部分平仓）</w:t>
            </w:r>
          </w:p>
        </w:tc>
        <w:tc>
          <w:tcPr>
            <w:tcW w:type="dxa" w:w="24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完整交易生命周期对账与适用性分析</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为保证 PnL 与 PTrade 引擎逐笔对齐，系统约定 </w:t>
      </w:r>
      <w:r>
        <w:rPr>
          <w:rFonts w:ascii="Times New Roman" w:eastAsia="宋体" w:hAnsi="Times New Roman"/>
          <w:b w:val="false"/>
          <w:bCs w:val="false"/>
          <w:i w:val="false"/>
          <w:iCs w:val="false"/>
          <w:sz w:val="24"/>
          <w:szCs w:val="24"/>
        </w:rPr>
        <w:t xml:space="preserve">buy_price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 永远写入 PTrade 真实成交回报中的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buy_date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 永远写入 </w:t>
      </w:r>
      <w:r>
        <w:rPr>
          <w:rFonts w:ascii="Times New Roman" w:eastAsia="宋体" w:hAnsi="Times New Roman"/>
          <w:b w:val="false"/>
          <w:bCs w:val="false"/>
          <w:i w:val="false"/>
          <w:iCs w:val="false"/>
          <w:sz w:val="24"/>
          <w:szCs w:val="24"/>
        </w:rPr>
        <w:t xml:space="preserve">business_time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 与卖出数量取自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，并以 </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 加经手费、印花税自算手续费补足 PTrade Python API 不暴露 commission 字段的限制。这些约束以代码不变量形式写入 </w:t>
      </w:r>
      <w:r>
        <w:rPr>
          <w:rFonts w:ascii="Times New Roman" w:eastAsia="宋体" w:hAnsi="Times New Roman"/>
          <w:b w:val="false"/>
          <w:bCs w:val="false"/>
          <w:i w:val="false"/>
          <w:iCs w:val="false"/>
          <w:sz w:val="24"/>
          <w:szCs w:val="24"/>
        </w:rPr>
        <w:t xml:space="preserve">TradeExecutor._settle_pending_*</w:t>
      </w:r>
      <w:r>
        <w:rPr>
          <w:rFonts w:ascii="Times New Roman" w:eastAsia="宋体" w:hAnsi="Times New Roman"/>
          <w:b w:val="false"/>
          <w:bCs w:val="false"/>
          <w:i w:val="false"/>
          <w:iCs w:val="false"/>
          <w:sz w:val="24"/>
          <w:szCs w:val="24"/>
        </w:rPr>
        <w:t xml:space="preserve"> 方法，是 4.11 节一致性验证可以成立的基础。</w:t>
      </w:r>
    </w:p>
    <w:p>
      <w:pPr>
        <w:pStyle w:val="BUPTHeading2"/>
        <w:spacing w:after="120" w:before="120" w:line="360" w:lineRule="auto"/>
        <w:ind w:left="0" w:right="0" w:hanging="0" w:firstLine="0" w:leftChars="0" w:rightChars="0" w:firstLineChars="0" w:hangingChars="0"/>
        <w:jc w:val="left"/>
      </w:pPr>
      <w:r>
        <w:bookmarkStart w:id="58" w:name="heading_4_u2e10_u20_u5f02_u5e38_u5904_u7406_u4e0e_u53ef_u6269_u5c55_u6027"/>
      </w:r>
      <w:r>
        <w:t xml:space="preserve">4.10 异常处理与可扩展性</w:t>
      </w:r>
      <w:r>
        <w:bookmarkEnd w:id="5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系统在配置错误、行情接口异常、时间序列倒序、停牌检查失败、订单接口异常、跨日订单未成交、除权送股接口异常以及回调实现 bug 等场景下都设置了显式的异常处理策略，对应 NFR3 的稳定性要求。主要处理策略汇总如表4-6所示。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表4-6  异常处理矩阵表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38"/>
        <w:gridCol w:w="2504"/>
        <w:gridCol w:w="4928"/>
      </w:tblGrid>
      <w:tr>
        <w:trPr>
          <w:cantSplit/>
          <w:tblHeader/>
        </w:trPr>
        <w:tc>
          <w:tcPr>
            <w:tcW w:type="dxa" w:w="16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异常情形</w:t>
            </w:r>
          </w:p>
        </w:tc>
        <w:tc>
          <w:tcPr>
            <w:tcW w:type="dxa" w:w="2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触发条件</w:t>
            </w:r>
          </w:p>
        </w:tc>
        <w:tc>
          <w:tcPr>
            <w:tcW w:type="dxa" w:w="49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当前处理策略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配置非法</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config.json</w:t>
            </w:r>
            <w:r>
              <w:rPr>
                <w:rFonts w:ascii="Times New Roman" w:eastAsia="宋体" w:hAnsi="Times New Roman"/>
                <w:b w:val="false"/>
                <w:bCs w:val="false"/>
                <w:i w:val="false"/>
                <w:iCs w:val="false"/>
                <w:sz w:val="21"/>
                <w:szCs w:val="21"/>
              </w:rPr>
              <w:t xml:space="preserve"> 不存在或缺字段</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initialize</w:t>
            </w:r>
            <w:r>
              <w:rPr>
                <w:rFonts w:ascii="Times New Roman" w:eastAsia="宋体" w:hAnsi="Times New Roman"/>
                <w:b w:val="false"/>
                <w:bCs w:val="false"/>
                <w:i w:val="false"/>
                <w:iCs w:val="false"/>
                <w:sz w:val="21"/>
                <w:szCs w:val="21"/>
              </w:rPr>
              <w:t xml:space="preserve"> 抛异常中止策略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行情数据异常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get_history</w:t>
            </w:r>
            <w:r>
              <w:rPr>
                <w:rFonts w:ascii="Times New Roman" w:eastAsia="宋体" w:hAnsi="Times New Roman"/>
                <w:b w:val="false"/>
                <w:bCs w:val="false"/>
                <w:i w:val="false"/>
                <w:iCs w:val="false"/>
                <w:sz w:val="21"/>
                <w:szCs w:val="21"/>
              </w:rPr>
              <w:t xml:space="preserve"> 返回空或时间倒序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写日志，跳过该标的当周期</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K 线不足</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有效 K 线少于 </w:t>
            </w:r>
            <w:r>
              <w:rPr>
                <w:rFonts w:ascii="Times New Roman" w:eastAsia="宋体" w:hAnsi="Times New Roman"/>
                <w:b w:val="false"/>
                <w:bCs w:val="false"/>
                <w:i w:val="false"/>
                <w:iCs w:val="false"/>
                <w:sz w:val="21"/>
                <w:szCs w:val="21"/>
              </w:rPr>
              <w:t xml:space="preserve">min_required_bars</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跳过当根处理，不写 </w:t>
            </w:r>
            <w:r>
              <w:rPr>
                <w:rFonts w:ascii="Times New Roman" w:eastAsia="宋体" w:hAnsi="Times New Roman"/>
                <w:b w:val="false"/>
                <w:bCs w:val="false"/>
                <w:i w:val="false"/>
                <w:iCs w:val="false"/>
                <w:sz w:val="21"/>
                <w:szCs w:val="21"/>
              </w:rPr>
              <w:t xml:space="preserve">td_events</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停牌过滤接口失败</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filter_stock_by_status</w:t>
            </w:r>
            <w:r>
              <w:rPr>
                <w:rFonts w:ascii="Times New Roman" w:eastAsia="宋体" w:hAnsi="Times New Roman"/>
                <w:b w:val="false"/>
                <w:bCs w:val="false"/>
                <w:i w:val="false"/>
                <w:iCs w:val="false"/>
                <w:sz w:val="21"/>
                <w:szCs w:val="21"/>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保守保留全部标的，由盘中复核兜底</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下单接口异常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order_value</w:t>
            </w:r>
            <w:r>
              <w:rPr>
                <w:rFonts w:ascii="Times New Roman" w:eastAsia="宋体" w:hAnsi="Times New Roman"/>
                <w:b w:val="false"/>
                <w:bCs w:val="false"/>
                <w:i w:val="false"/>
                <w:iCs w:val="false"/>
                <w:sz w:val="21"/>
                <w:szCs w:val="21"/>
              </w:rPr>
              <w:t xml:space="preserve"> 抛异常或返回空订单号</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写入 </w:t>
            </w:r>
            <w:r>
              <w:rPr>
                <w:rFonts w:ascii="Times New Roman" w:eastAsia="宋体" w:hAnsi="Times New Roman"/>
                <w:b w:val="false"/>
                <w:bCs w:val="false"/>
                <w:i w:val="false"/>
                <w:iCs w:val="false"/>
                <w:sz w:val="21"/>
                <w:szCs w:val="21"/>
              </w:rPr>
              <w:t xml:space="preserve">ORDER_ERROR</w:t>
            </w:r>
            <w:r>
              <w:rPr>
                <w:rFonts w:ascii="Times New Roman" w:eastAsia="宋体" w:hAnsi="Times New Roman"/>
                <w:b w:val="false"/>
                <w:bCs w:val="false"/>
                <w:i w:val="false"/>
                <w:iCs w:val="false"/>
                <w:sz w:val="21"/>
                <w:szCs w:val="21"/>
              </w:rPr>
              <w:t xml:space="preserve"> 或 </w:t>
            </w:r>
            <w:r>
              <w:rPr>
                <w:rFonts w:ascii="Times New Roman" w:eastAsia="宋体" w:hAnsi="Times New Roman"/>
                <w:b w:val="false"/>
                <w:bCs w:val="false"/>
                <w:i w:val="false"/>
                <w:iCs w:val="false"/>
                <w:sz w:val="21"/>
                <w:szCs w:val="21"/>
              </w:rPr>
              <w:t xml:space="preserve">ORDER_REJECTED</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跨日订单未成交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get_order</w:t>
            </w:r>
            <w:r>
              <w:rPr>
                <w:rFonts w:ascii="Times New Roman" w:eastAsia="宋体" w:hAnsi="Times New Roman"/>
                <w:b w:val="false"/>
                <w:bCs w:val="false"/>
                <w:i w:val="false"/>
                <w:iCs w:val="false"/>
                <w:sz w:val="21"/>
                <w:szCs w:val="21"/>
              </w:rPr>
              <w:t xml:space="preserve"> 始终非终态</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软超时主动撤单，硬超时强制摘除</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部分成交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已成交数量小于委托数量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每周期把"新增成交"写入 </w:t>
            </w:r>
            <w:r>
              <w:rPr>
                <w:rFonts w:ascii="Times New Roman" w:eastAsia="宋体" w:hAnsi="Times New Roman"/>
                <w:b w:val="false"/>
                <w:bCs w:val="false"/>
                <w:i w:val="false"/>
                <w:iCs w:val="false"/>
                <w:sz w:val="21"/>
                <w:szCs w:val="21"/>
              </w:rPr>
              <w:t xml:space="preserve">trade.csv</w:t>
            </w:r>
            <w:r>
              <w:rPr>
                <w:rFonts w:ascii="Times New Roman" w:eastAsia="宋体" w:hAnsi="Times New Roman"/>
                <w:b w:val="false"/>
                <w:bCs w:val="false"/>
                <w:i w:val="false"/>
                <w:iCs w:val="false"/>
                <w:sz w:val="21"/>
                <w:szCs w:val="21"/>
              </w:rPr>
              <w:t xml:space="preserve">，pending 累计游标避免重复或遗漏</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除权送股接口异常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get_stock_exrights</w:t>
            </w:r>
            <w:r>
              <w:rPr>
                <w:rFonts w:ascii="Times New Roman" w:eastAsia="宋体" w:hAnsi="Times New Roman"/>
                <w:b w:val="false"/>
                <w:bCs w:val="false"/>
                <w:i w:val="false"/>
                <w:iCs w:val="false"/>
                <w:sz w:val="21"/>
                <w:szCs w:val="21"/>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走账户持仓差额兜底校验，差额超阈值时写 </w:t>
            </w:r>
            <w:r>
              <w:rPr>
                <w:rFonts w:ascii="Times New Roman" w:eastAsia="宋体" w:hAnsi="Times New Roman"/>
                <w:b w:val="false"/>
                <w:bCs w:val="false"/>
                <w:i w:val="false"/>
                <w:iCs w:val="false"/>
                <w:sz w:val="21"/>
                <w:szCs w:val="21"/>
              </w:rPr>
              <w:t xml:space="preserve">ADJUST</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回调实现 bug</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adapter 回调抛异常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_safe_callback</w:t>
            </w:r>
            <w:r>
              <w:rPr>
                <w:rFonts w:ascii="Times New Roman" w:eastAsia="宋体" w:hAnsi="Times New Roman"/>
                <w:b w:val="false"/>
                <w:bCs w:val="false"/>
                <w:i w:val="false"/>
                <w:iCs w:val="false"/>
                <w:sz w:val="21"/>
                <w:szCs w:val="21"/>
              </w:rPr>
              <w:t xml:space="preserve"> 捕获并写日志，不传染至执行层</w:t>
            </w:r>
          </w:p>
        </w:tc>
      </w:tr>
      <w:tr>
        <w:trPr>
          <w:cantSplit/>
          <w:tblHeader w:val="false"/>
        </w:trPr>
        <w:tc>
          <w:tcPr>
            <w:tcW w:type="dxa" w:w="16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沙盒禁用 </w:t>
            </w:r>
            <w:r>
              <w:rPr>
                <w:rFonts w:ascii="Times New Roman" w:eastAsia="宋体" w:hAnsi="Times New Roman"/>
                <w:b w:val="false"/>
                <w:bCs w:val="false"/>
                <w:i w:val="false"/>
                <w:iCs w:val="false"/>
                <w:sz w:val="21"/>
                <w:szCs w:val="21"/>
              </w:rPr>
              <w:t xml:space="preserve">os</w:t>
            </w:r>
          </w:p>
        </w:tc>
        <w:tc>
          <w:tcPr>
            <w:tcW w:type="dxa" w:w="2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PTrade 环境</w:t>
            </w:r>
          </w:p>
        </w:tc>
        <w:tc>
          <w:tcPr>
            <w:tcW w:type="dxa" w:w="49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改用 </w:t>
            </w:r>
            <w:r>
              <w:rPr>
                <w:rFonts w:ascii="Times New Roman" w:eastAsia="宋体" w:hAnsi="Times New Roman"/>
                <w:b w:val="false"/>
                <w:bCs w:val="false"/>
                <w:i w:val="false"/>
                <w:iCs w:val="false"/>
                <w:sz w:val="21"/>
                <w:szCs w:val="21"/>
              </w:rPr>
              <w:t xml:space="preserve">create_dir</w:t>
            </w:r>
            <w:r>
              <w:rPr>
                <w:rFonts w:ascii="Times New Roman" w:eastAsia="宋体" w:hAnsi="Times New Roman"/>
                <w:b w:val="false"/>
                <w:bCs w:val="false"/>
                <w:i w:val="false"/>
                <w:iCs w:val="false"/>
                <w:sz w:val="21"/>
                <w:szCs w:val="21"/>
              </w:rPr>
              <w:t xml:space="preserve"> 与 </w:t>
            </w:r>
            <w:r>
              <w:rPr>
                <w:rFonts w:ascii="Times New Roman" w:eastAsia="宋体" w:hAnsi="Times New Roman"/>
                <w:b w:val="false"/>
                <w:bCs w:val="false"/>
                <w:i w:val="false"/>
                <w:iCs w:val="false"/>
                <w:sz w:val="21"/>
                <w:szCs w:val="21"/>
              </w:rPr>
              <w:t xml:space="preserve">.initialized</w:t>
            </w:r>
            <w:r>
              <w:rPr>
                <w:rFonts w:ascii="Times New Roman" w:eastAsia="宋体" w:hAnsi="Times New Roman"/>
                <w:b w:val="false"/>
                <w:bCs w:val="false"/>
                <w:i w:val="false"/>
                <w:iCs w:val="false"/>
                <w:sz w:val="21"/>
                <w:szCs w:val="21"/>
              </w:rPr>
              <w:t xml:space="preserve"> 标记文件</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可扩展性方面系统在配置中预留了 Intersection、Combo Countdown、Recycle 与 TD Termination Count 等位置，对应第三章中提到的尚未实现的 DeMark 规则。后续若加入这些规则，可在信号层扩展新的状态机或事件类型；交易执行层、输出层与适配层契约保持稳定，无需修改。同样，若研究者希望以均线、布林带或机器学习模型替换 TD 信号，可仅替换信号层与策略适配层并复用通用交易执行层。</w:t>
      </w:r>
    </w:p>
    <w:p>
      <w:pPr>
        <w:pStyle w:val="BUPTHeading2"/>
        <w:spacing w:after="120" w:before="120" w:line="360" w:lineRule="auto"/>
        <w:ind w:left="0" w:right="0" w:hanging="0" w:firstLine="0" w:leftChars="0" w:rightChars="0" w:firstLineChars="0" w:hangingChars="0"/>
        <w:jc w:val="left"/>
      </w:pPr>
      <w:r>
        <w:bookmarkStart w:id="59" w:name="heading_4_u2e11_u20_u672c_u5730_u6a21_u62df_u73af_u5883_u4e00_u81f4_u6027_u9a8c_"/>
      </w:r>
      <w:r>
        <w:t xml:space="preserve">4.11 本地模拟环境一致性验证</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 4.6 节明确了 SimTradeLab 是大规模回测的主要执行环境，4.10 节给出了异常处理与可扩展性边界。在用 SimTradeLab 替代 PTrade 进行长周期回测之前，仍需验证两套环境在关键行为上的一致性。本节给出小样本一致性验证方法，以 5 只样本股票（600519.SS、000858.SZ、601318.SS、600036.SS 与 000651.SZ）、2016-01-01 至 2021-01-01 共五个完整交易年度作为样本区间，复权方式为前复权，初始资金 1,000,000 元，单笔仓位为总资产的 1%，滑点为 0、佣金费率 0.03%、最低佣金 5 元，TDST 采用默认规则 4，Buy Countdown 完成后允许直接买入，Sell Countdown 完成在仓位盈利时作为趋势反转止盈。</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对账以 4.9 节提到的四类输出文件为基础，按"信号、事件研究、交易生命周期、仓位过程"四层递进。两套环境运行结束后所有输出文件的样本数量完全一致，且关键路径——包括事件类型、Setup 与 Countdown 计数、取消原因、Buy Countdown 完成日期、买入与卖出交易日、退出原因、止损价与止盈价主体以及分红收益——也完全一致。对账结果如表4-7所示。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表4-7  本地模拟环境一致性验证结果表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838"/>
        <w:gridCol w:w="1200"/>
        <w:gridCol w:w="48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验证层次</w:t>
            </w:r>
          </w:p>
        </w:tc>
        <w:tc>
          <w:tcPr>
            <w:tcW w:type="dxa" w:w="18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对比内容</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合格口径</w:t>
            </w:r>
          </w:p>
        </w:tc>
        <w:tc>
          <w:tcPr>
            <w:tcW w:type="dxa" w:w="48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验证结果</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 事件编号、事件类型、方向、计数、Setup 起止日期、Countdown 计数日、取消原因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事件样本完全一致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td_events.csv</w:t>
            </w:r>
            <w:r>
              <w:rPr>
                <w:rFonts w:ascii="Times New Roman" w:eastAsia="宋体" w:hAnsi="Times New Roman"/>
                <w:b w:val="false"/>
                <w:bCs w:val="false"/>
                <w:i w:val="false"/>
                <w:iCs w:val="false"/>
                <w:sz w:val="21"/>
                <w:szCs w:val="21"/>
              </w:rPr>
              <w:t xml:space="preserve"> 均为 1731 条事件，事件键集合完全一致，类别字段无差异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事件研究层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5、20、60、120 日事件窗口、方向收益、最大有利波动、最大不利波动</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事件键一致，指标差异落在精度范围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event_outcomes.csv</w:t>
            </w:r>
            <w:r>
              <w:rPr>
                <w:rFonts w:ascii="Times New Roman" w:eastAsia="宋体" w:hAnsi="Times New Roman"/>
                <w:b w:val="false"/>
                <w:bCs w:val="false"/>
                <w:i w:val="false"/>
                <w:iCs w:val="false"/>
                <w:sz w:val="21"/>
                <w:szCs w:val="21"/>
              </w:rPr>
              <w:t xml:space="preserve"> 均为 1361 条记录，事件键完全一致，方向收益最大差异约 0.0001</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交易生命周期层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终态、买入状态、买入日期、卖出日期、退出原因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trade.csv</w:t>
            </w:r>
            <w:r>
              <w:rPr>
                <w:rFonts w:ascii="Times New Roman" w:eastAsia="宋体" w:hAnsi="Times New Roman"/>
                <w:b w:val="false"/>
                <w:bCs w:val="false"/>
                <w:i w:val="false"/>
                <w:iCs w:val="false"/>
                <w:sz w:val="21"/>
                <w:szCs w:val="21"/>
              </w:rPr>
              <w:t xml:space="preserve"> 均为 92 条；终态分布为 39 条 </w:t>
            </w:r>
            <w:r>
              <w:rPr>
                <w:rFonts w:ascii="Times New Roman" w:eastAsia="宋体" w:hAnsi="Times New Roman"/>
                <w:b w:val="false"/>
                <w:bCs w:val="false"/>
                <w:i w:val="false"/>
                <w:iCs w:val="false"/>
                <w:sz w:val="21"/>
                <w:szCs w:val="21"/>
              </w:rPr>
              <w:t xml:space="preserve">NORMAL</w:t>
            </w:r>
            <w:r>
              <w:rPr>
                <w:rFonts w:ascii="Times New Roman" w:eastAsia="宋体" w:hAnsi="Times New Roman"/>
                <w:b w:val="false"/>
                <w:bCs w:val="false"/>
                <w:i w:val="false"/>
                <w:iCs w:val="false"/>
                <w:sz w:val="21"/>
                <w:szCs w:val="21"/>
              </w:rPr>
              <w:t xml:space="preserve">、20 条 </w:t>
            </w:r>
            <w:r>
              <w:rPr>
                <w:rFonts w:ascii="Times New Roman" w:eastAsia="宋体" w:hAnsi="Times New Roman"/>
                <w:b w:val="false"/>
                <w:bCs w:val="false"/>
                <w:i w:val="false"/>
                <w:iCs w:val="false"/>
                <w:sz w:val="21"/>
                <w:szCs w:val="21"/>
              </w:rPr>
              <w:t xml:space="preserve">CANCEL_BY_TDST_RULE_4</w:t>
            </w:r>
            <w:r>
              <w:rPr>
                <w:rFonts w:ascii="Times New Roman" w:eastAsia="宋体" w:hAnsi="Times New Roman"/>
                <w:b w:val="false"/>
                <w:bCs w:val="false"/>
                <w:i w:val="false"/>
                <w:iCs w:val="false"/>
                <w:sz w:val="21"/>
                <w:szCs w:val="21"/>
              </w:rPr>
              <w:t xml:space="preserve">、18 条 </w:t>
            </w:r>
            <w:r>
              <w:rPr>
                <w:rFonts w:ascii="Times New Roman" w:eastAsia="宋体" w:hAnsi="Times New Roman"/>
                <w:b w:val="false"/>
                <w:bCs w:val="false"/>
                <w:i w:val="false"/>
                <w:iCs w:val="false"/>
                <w:sz w:val="21"/>
                <w:szCs w:val="21"/>
              </w:rPr>
              <w:t xml:space="preserve">CANCEL_BY_SAME_SETUP</w:t>
            </w:r>
            <w:r>
              <w:rPr>
                <w:rFonts w:ascii="Times New Roman" w:eastAsia="宋体" w:hAnsi="Times New Roman"/>
                <w:b w:val="false"/>
                <w:bCs w:val="false"/>
                <w:i w:val="false"/>
                <w:iCs w:val="false"/>
                <w:sz w:val="21"/>
                <w:szCs w:val="21"/>
              </w:rPr>
              <w:t xml:space="preserve">、15 条 </w:t>
            </w:r>
            <w:r>
              <w:rPr>
                <w:rFonts w:ascii="Times New Roman" w:eastAsia="宋体" w:hAnsi="Times New Roman"/>
                <w:b w:val="false"/>
                <w:bCs w:val="false"/>
                <w:i w:val="false"/>
                <w:iCs w:val="false"/>
                <w:sz w:val="21"/>
                <w:szCs w:val="21"/>
              </w:rPr>
              <w:t xml:space="preserve">CANCEL_BY_OPPOSITE_SETUP</w:t>
            </w:r>
            <w:r>
              <w:rPr>
                <w:rFonts w:ascii="Times New Roman" w:eastAsia="宋体" w:hAnsi="Times New Roman"/>
                <w:b w:val="false"/>
                <w:bCs w:val="false"/>
                <w:i w:val="false"/>
                <w:iCs w:val="false"/>
                <w:sz w:val="21"/>
                <w:szCs w:val="21"/>
              </w:rPr>
              <w:t xml:space="preserve">；其中 22 笔买入成交、70 笔未买入（含 17 笔 </w:t>
            </w:r>
            <w:r>
              <w:rPr>
                <w:rFonts w:ascii="Times New Roman" w:eastAsia="宋体" w:hAnsi="Times New Roman"/>
                <w:b w:val="false"/>
                <w:bCs w:val="false"/>
                <w:i w:val="false"/>
                <w:iCs w:val="false"/>
                <w:sz w:val="21"/>
                <w:szCs w:val="21"/>
              </w:rPr>
              <w:t xml:space="preserve">ORDER_REJECTED</w:t>
            </w:r>
            <w:r>
              <w:rPr>
                <w:rFonts w:ascii="Times New Roman" w:eastAsia="宋体" w:hAnsi="Times New Roman"/>
                <w:b w:val="false"/>
                <w:bCs w:val="false"/>
                <w:i w:val="false"/>
                <w:iCs w:val="false"/>
                <w:sz w:val="21"/>
                <w:szCs w:val="21"/>
              </w:rPr>
              <w:t xml:space="preserve">）</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退出原因</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已闭环卖出的 19 笔交易的 </w:t>
            </w:r>
            <w:r>
              <w:rPr>
                <w:rFonts w:ascii="Times New Roman" w:eastAsia="宋体" w:hAnsi="Times New Roman"/>
                <w:b w:val="false"/>
                <w:bCs w:val="false"/>
                <w:i w:val="false"/>
                <w:iCs w:val="false"/>
                <w:sz w:val="21"/>
                <w:szCs w:val="21"/>
              </w:rPr>
              <w:t xml:space="preserve">sell_reason</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退出路径一致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 笔 </w:t>
            </w:r>
            <w:r>
              <w:rPr>
                <w:rFonts w:ascii="Times New Roman" w:eastAsia="宋体" w:hAnsi="Times New Roman"/>
                <w:b w:val="false"/>
                <w:bCs w:val="false"/>
                <w:i w:val="false"/>
                <w:iCs w:val="false"/>
                <w:sz w:val="21"/>
                <w:szCs w:val="21"/>
              </w:rPr>
              <w:t xml:space="preserve">STOP_LOSS</w:t>
            </w:r>
            <w:r>
              <w:rPr>
                <w:rFonts w:ascii="Times New Roman" w:eastAsia="宋体" w:hAnsi="Times New Roman"/>
                <w:b w:val="false"/>
                <w:bCs w:val="false"/>
                <w:i w:val="false"/>
                <w:iCs w:val="false"/>
                <w:sz w:val="21"/>
                <w:szCs w:val="21"/>
              </w:rPr>
              <w:t xml:space="preserve">、3 笔 </w:t>
            </w:r>
            <w:r>
              <w:rPr>
                <w:rFonts w:ascii="Times New Roman" w:eastAsia="宋体" w:hAnsi="Times New Roman"/>
                <w:b w:val="false"/>
                <w:bCs w:val="false"/>
                <w:i w:val="false"/>
                <w:iCs w:val="false"/>
                <w:sz w:val="21"/>
                <w:szCs w:val="21"/>
              </w:rPr>
              <w:t xml:space="preserve">TREND_REVERSAL</w:t>
            </w:r>
            <w:r>
              <w:rPr>
                <w:rFonts w:ascii="Times New Roman" w:eastAsia="宋体" w:hAnsi="Times New Roman"/>
                <w:b w:val="false"/>
                <w:bCs w:val="false"/>
                <w:i w:val="false"/>
                <w:iCs w:val="false"/>
                <w:sz w:val="21"/>
                <w:szCs w:val="21"/>
              </w:rPr>
              <w:t xml:space="preserve">、1 笔 </w:t>
            </w:r>
            <w:r>
              <w:rPr>
                <w:rFonts w:ascii="Times New Roman" w:eastAsia="宋体" w:hAnsi="Times New Roman"/>
                <w:b w:val="false"/>
                <w:bCs w:val="false"/>
                <w:i w:val="false"/>
                <w:iCs w:val="false"/>
                <w:sz w:val="21"/>
                <w:szCs w:val="21"/>
              </w:rPr>
              <w:t xml:space="preserve">PROFIT_TARGET</w:t>
            </w:r>
            <w:r>
              <w:rPr>
                <w:rFonts w:ascii="Times New Roman" w:eastAsia="宋体" w:hAnsi="Times New Roman"/>
                <w:b w:val="false"/>
                <w:bCs w:val="false"/>
                <w:i w:val="false"/>
                <w:iCs w:val="false"/>
                <w:sz w:val="21"/>
                <w:szCs w:val="21"/>
              </w:rPr>
              <w:t xml:space="preserve">、1 笔 </w:t>
            </w:r>
            <w:r>
              <w:rPr>
                <w:rFonts w:ascii="Times New Roman" w:eastAsia="宋体" w:hAnsi="Times New Roman"/>
                <w:b w:val="false"/>
                <w:bCs w:val="false"/>
                <w:i w:val="false"/>
                <w:iCs w:val="false"/>
                <w:sz w:val="21"/>
                <w:szCs w:val="21"/>
              </w:rPr>
              <w:t xml:space="preserve">MAX_HOLDING_DAYS</w:t>
            </w:r>
            <w:r>
              <w:rPr>
                <w:rFonts w:ascii="Times New Roman" w:eastAsia="宋体" w:hAnsi="Times New Roman"/>
                <w:b w:val="false"/>
                <w:bCs w:val="false"/>
                <w:i w:val="false"/>
                <w:iCs w:val="false"/>
                <w:sz w:val="21"/>
                <w:szCs w:val="21"/>
              </w:rPr>
              <w:t xml:space="preserve">，两环境完全一致</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持仓过程层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OPEN、CLOSE、ADJUST 数量与顺序</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组合资产差异接近零</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position_snapshot.csv</w:t>
            </w:r>
            <w:r>
              <w:rPr>
                <w:rFonts w:ascii="Times New Roman" w:eastAsia="宋体" w:hAnsi="Times New Roman"/>
                <w:b w:val="false"/>
                <w:bCs w:val="false"/>
                <w:i w:val="false"/>
                <w:iCs w:val="false"/>
                <w:sz w:val="21"/>
                <w:szCs w:val="21"/>
              </w:rPr>
              <w:t xml:space="preserve"> 均为 45 条（23 OPEN 与 22 CLOSE），开平仓顺序一致，区间末组合总资产差异不足 6 元</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行情精度</w:t>
            </w:r>
          </w:p>
        </w:tc>
        <w:tc>
          <w:tcPr>
            <w:tcW w:type="dxa" w:w="18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前复权 OHLC、TDST 阈值、Setup 阶段最高价</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数值差异不改变 TD 比较关系</w:t>
            </w:r>
          </w:p>
        </w:tc>
        <w:tc>
          <w:tcPr>
            <w:tcW w:type="dxa" w:w="48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setup_highest_high</w:t>
            </w:r>
            <w:r>
              <w:rPr>
                <w:rFonts w:ascii="Times New Roman" w:eastAsia="宋体" w:hAnsi="Times New Roman"/>
                <w:b w:val="false"/>
                <w:bCs w:val="false"/>
                <w:i w:val="false"/>
                <w:iCs w:val="false"/>
                <w:sz w:val="21"/>
                <w:szCs w:val="21"/>
              </w:rPr>
              <w:t xml:space="preserve"> 等价格类字段最大差异约 0.01 元，未改变任何事件识别结果</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除上述完全一致项外，两环境之间仍存在三类可解释差异，分类与原因如表4-8所示。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表4-8  本地模拟环境差异来源分析表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3732"/>
        <w:gridCol w:w="2906"/>
        <w:gridCol w:w="12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差异类型</w:t>
            </w:r>
          </w:p>
        </w:tc>
        <w:tc>
          <w:tcPr>
            <w:tcW w:type="dxa" w:w="37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数据表现</w:t>
            </w:r>
          </w:p>
        </w:tc>
        <w:tc>
          <w:tcPr>
            <w:tcW w:type="dxa" w:w="29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原因分析</w:t>
            </w:r>
          </w:p>
        </w:tc>
        <w:tc>
          <w:tcPr>
            <w:tcW w:type="dxa" w:w="1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是否可接受</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交易日时间戳差异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SimTradeLab 记录为 </w:t>
            </w:r>
            <w:r>
              <w:rPr>
                <w:rFonts w:ascii="Times New Roman" w:eastAsia="宋体" w:hAnsi="Times New Roman"/>
                <w:b w:val="false"/>
                <w:bCs w:val="false"/>
                <w:i w:val="false"/>
                <w:iCs w:val="false"/>
                <w:sz w:val="21"/>
                <w:szCs w:val="21"/>
              </w:rPr>
              <w:t xml:space="preserve">00:00:00</w:t>
            </w:r>
            <w:r>
              <w:rPr>
                <w:rFonts w:ascii="Times New Roman" w:eastAsia="宋体" w:hAnsi="Times New Roman"/>
                <w:b w:val="false"/>
                <w:bCs w:val="false"/>
                <w:i w:val="false"/>
                <w:iCs w:val="false"/>
                <w:sz w:val="21"/>
                <w:szCs w:val="21"/>
              </w:rPr>
              <w:t xml:space="preserve">，PTrade 记录为 </w:t>
            </w:r>
            <w:r>
              <w:rPr>
                <w:rFonts w:ascii="Times New Roman" w:eastAsia="宋体" w:hAnsi="Times New Roman"/>
                <w:b w:val="false"/>
                <w:bCs w:val="false"/>
                <w:i w:val="false"/>
                <w:iCs w:val="false"/>
                <w:sz w:val="21"/>
                <w:szCs w:val="21"/>
              </w:rPr>
              <w:t xml:space="preserve">15:00:00</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两套环境对日线成交时间的记录方式不同，对应同一交易日</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可接受，不构成交易日差异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价格精度差异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setup_highest_high</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stop_loss_price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take_profit_price</w:t>
            </w:r>
            <w:r>
              <w:rPr>
                <w:rFonts w:ascii="Times New Roman" w:eastAsia="宋体" w:hAnsi="Times New Roman"/>
                <w:b w:val="false"/>
                <w:bCs w:val="false"/>
                <w:i w:val="false"/>
                <w:iCs w:val="false"/>
                <w:sz w:val="21"/>
                <w:szCs w:val="21"/>
              </w:rPr>
              <w:t xml:space="preserve"> 末位差 0.01 元级</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两环境在前复权价格保留位与四舍五入策略上略有不同，按合规规则约束传导到由其计算的 TDST 阈值与风控价</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可接受，未改变任何事件触发与风控触发结论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单笔 PnL 差异</w:t>
            </w:r>
          </w:p>
        </w:tc>
        <w:tc>
          <w:tcPr>
            <w:tcW w:type="dxa" w:w="37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单笔 </w:t>
            </w:r>
            <w:r>
              <w:rPr>
                <w:rFonts w:ascii="Times New Roman" w:eastAsia="宋体" w:hAnsi="Times New Roman"/>
                <w:b w:val="false"/>
                <w:bCs w:val="false"/>
                <w:i w:val="false"/>
                <w:iCs w:val="false"/>
                <w:sz w:val="21"/>
                <w:szCs w:val="21"/>
              </w:rPr>
              <w:t xml:space="preserve">pnl</w:t>
            </w:r>
            <w:r>
              <w:rPr>
                <w:rFonts w:ascii="Times New Roman" w:eastAsia="宋体" w:hAnsi="Times New Roman"/>
                <w:b w:val="false"/>
                <w:bCs w:val="false"/>
                <w:i w:val="false"/>
                <w:iCs w:val="false"/>
                <w:sz w:val="21"/>
                <w:szCs w:val="21"/>
              </w:rPr>
              <w:t xml:space="preserve"> 最大差异约 1.6 元（如 2022-10-25 STOP_LOSS 为 -1334.36 元与 -1335.96 元；2023-04-18 TREND_REVERSAL 为 3468.16 元与 3465.28 元）</w:t>
            </w:r>
          </w:p>
        </w:tc>
        <w:tc>
          <w:tcPr>
            <w:tcW w:type="dxa" w:w="29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由价格末位差异传导至 </w:t>
            </w:r>
            <w:r>
              <w:rPr>
                <w:rFonts w:ascii="Times New Roman" w:eastAsia="宋体" w:hAnsi="Times New Roman"/>
                <w:b w:val="false"/>
                <w:bCs w:val="false"/>
                <w:i w:val="false"/>
                <w:iCs w:val="false"/>
                <w:sz w:val="21"/>
                <w:szCs w:val="21"/>
              </w:rPr>
              <w:t xml:space="preserve">price_pnl</w:t>
            </w:r>
            <w:r>
              <w:rPr>
                <w:rFonts w:ascii="Times New Roman" w:eastAsia="宋体" w:hAnsi="Times New Roman"/>
                <w:b w:val="false"/>
                <w:bCs w:val="false"/>
                <w:i w:val="false"/>
                <w:iCs w:val="false"/>
                <w:sz w:val="21"/>
                <w:szCs w:val="21"/>
              </w:rPr>
              <w:t xml:space="preserve">，并叠加分红字段两位小数差，与组合资金规模相比量级极小</w:t>
            </w:r>
          </w:p>
        </w:tc>
        <w:tc>
          <w:tcPr>
            <w:tcW w:type="dxa" w:w="1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可接受，未改变交易方向、退出原因与适用性结论</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综合表4-7 与表4-8，可以认为 SimTradeLab 与 PTrade 在信号识别、事件研究、交易生命周期与仓位过程四个层面具有较好一致性。两套环境下 TD 事件编号集合、Setup 与 Countdown 的计数路径、完成日期与取消原因均没有差异；交易层的买入状态、买入日期、卖出日期、退出原因、止损价、卖出价与分红收益字段也完全一致。差异主要集中在交易日时间戳的表达、价格记录的末位精度以及由此传导的小幅 PnL 偏移，均不影响策略适用性研究的结论。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基于上述验证，本文后续以 SimTradeLab 作为全市场长周期回测的主要执行环境，第五章统计以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作为主要依据，以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作为辅助检查文件，不将过程性快照中的暂态记录差异作为策略表现差异。</w:t>
      </w:r>
    </w:p>
    <w:p>
      <w:pPr>
        <w:pStyle w:val="BUPTHeading2"/>
        <w:spacing w:after="120" w:before="120" w:line="360" w:lineRule="auto"/>
        <w:ind w:left="0" w:right="0" w:hanging="0" w:firstLine="0" w:leftChars="0" w:rightChars="0" w:firstLineChars="0" w:hangingChars="0"/>
        <w:jc w:val="left"/>
      </w:pPr>
      <w:r>
        <w:bookmarkStart w:id="60" w:name="heading_4_u2e12_u20_u672c_u7ae0_u5c0f_u7ed3"/>
      </w:r>
      <w:r>
        <w:t xml:space="preserve">4.12 本章小结</w:t>
      </w:r>
      <w:r>
        <w:bookmarkEnd w:id="6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本章按软件工程的需求、架构、模块、流程与质量五个层次，给出了 TD 9-13 量化交易系统的设计与实现。系统通过分层架构、配置显式化、状态机信号识别、信号与执行解耦、PTrade 真实回报对账以及四类 CSV 输出实现了 TD 序列在 PTrade 兼容环境下的完整闭环；通过 SimTradeLab 作为本地回测引擎完成大规模长周期回测；通过 PTrade 与 SimTradeLab 的小样本一致性验证保证本地回测结果的可信度。第五章将在该系统输出基础上开展事件研究、事件驱动交易回测与适用性分层分析。</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61" w:name="heading__u7b2c_u4e94_u7ae0_u20_u56de_u6d4b_u65b9_u6cd5_u4e0e_u9002_u7528_u6027_u"/>
      </w:r>
      <w:r>
        <w:t xml:space="preserve">第五章 回测方法与适用性分析</w:t>
      </w:r>
      <w:r>
        <w:bookmarkEnd w:id="61"/>
      </w:r>
    </w:p>
    <w:p>
      <w:pPr>
        <w:pStyle w:val="BUPTHeading2"/>
        <w:spacing w:after="120" w:before="120" w:line="360" w:lineRule="auto"/>
        <w:ind w:left="0" w:right="0" w:hanging="0" w:firstLine="0" w:leftChars="0" w:rightChars="0" w:firstLineChars="0" w:hangingChars="0"/>
        <w:jc w:val="left"/>
      </w:pPr>
      <w:r>
        <w:bookmarkStart w:id="62" w:name="heading_5_u2e1_u20_u56de_u6d4b_u7814_u7a76_u76ee_u6807"/>
      </w:r>
      <w:r>
        <w:t xml:space="preserve">5.1 回测研究目标</w:t>
      </w:r>
      <w:r>
        <w:bookmarkEnd w:id="6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3" w:name="cite_26_1"/>
      </w:r>
      <w:r>
        <w:rPr>
          <w:rFonts w:ascii="Times New Roman" w:eastAsia="宋体" w:hAnsi="Times New Roman"/>
          <w:b w:val="false"/>
          <w:bCs w:val="false"/>
          <w:i w:val="false"/>
          <w:iCs w:val="false"/>
          <w:sz w:val="24"/>
          <w:szCs w:val="24"/>
        </w:rPr>
        <w:t xml:space="preserve"/>
      </w:r>
      <w:r>
        <w:bookmarkEnd w:id="63"/>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4" w:name="cite_27_1"/>
      </w:r>
      <w:r>
        <w:rPr>
          <w:rFonts w:ascii="Times New Roman" w:eastAsia="宋体" w:hAnsi="Times New Roman"/>
          <w:b w:val="false"/>
          <w:bCs w:val="false"/>
          <w:i w:val="false"/>
          <w:iCs w:val="false"/>
          <w:sz w:val="24"/>
          <w:szCs w:val="24"/>
        </w:rPr>
        <w:t xml:space="preserve"/>
      </w:r>
      <w:r>
        <w:bookmarkEnd w:id="64"/>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5" w:name="cite_28_1"/>
      </w:r>
      <w:r>
        <w:rPr>
          <w:rFonts w:ascii="Times New Roman" w:eastAsia="宋体" w:hAnsi="Times New Roman"/>
          <w:b w:val="false"/>
          <w:bCs w:val="false"/>
          <w:i w:val="false"/>
          <w:iCs w:val="false"/>
          <w:sz w:val="24"/>
          <w:szCs w:val="24"/>
        </w:rPr>
        <w:t xml:space="preserve"/>
      </w:r>
      <w:r>
        <w:bookmarkEnd w:id="65"/>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66" w:name="heading_5_u2e2_u20_u6570_u636e_u6837_u672c_u4e0e_u9884_u5904_u7406_u65b9_u6cd5"/>
      </w:r>
      <w:r>
        <w:t xml:space="preserve">5.2 数据样本与预处理方法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在本地完成回测。正式统计前先按照第四章的一致性验证方法对 PTrade 与 SimTradeLab 的关键输出进行抽样对比；通过一致性验证后，再使用 SimTradeLab 执行全市场长周期回测。回测区间设定为 2016 年 1 月 1 日至 2025 年 12 月 31 日，研究对象为数据源中具备有效日线数据的全部 A 股股票，并在交易执行与统计分析前过滤退市股票、退市整理股票和 ST 状态股票。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7" w:name="cite_20_2"/>
      </w:r>
      <w:r>
        <w:rPr>
          <w:rFonts w:ascii="Times New Roman" w:eastAsia="宋体" w:hAnsi="Times New Roman"/>
          <w:b w:val="false"/>
          <w:bCs w:val="false"/>
          <w:i w:val="false"/>
          <w:iCs w:val="false"/>
          <w:sz w:val="24"/>
          <w:szCs w:val="24"/>
        </w:rPr>
        <w:t xml:space="preserve"/>
      </w:r>
      <w:r>
        <w:bookmarkEnd w:id="67"/>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。交易执行层使用事件日之后的下一可交易日实际可交易价格口径，并根据涨跌停和停牌状态判断能否执行。本文所用 SimTradeData 提供日线行情、涨跌停价格、除权除息、交易日历、指数成分和 ST/停牌状态等字段，可支撑信号识别和交易约束的分层处理</w:t>
      </w:r>
      <w:r>
        <w:bookmarkStart w:id="68" w:name="cite_23_2"/>
      </w:r>
      <w:r>
        <w:rPr>
          <w:rFonts w:ascii="Times New Roman" w:eastAsia="宋体" w:hAnsi="Times New Roman"/>
          <w:b w:val="false"/>
          <w:bCs w:val="false"/>
          <w:i w:val="false"/>
          <w:iCs w:val="false"/>
          <w:sz w:val="24"/>
          <w:szCs w:val="24"/>
        </w:rPr>
        <w:t xml:space="preserve"/>
      </w:r>
      <w:r>
        <w:bookmarkEnd w:id="68"/>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个交易日不纳入事件统计。退市股票、退市整理股票和 ST 状态股票在样本构造阶段过滤；若某股票在事件日或入场日处于停牌或缺少必要价格字段状态，则该事件记为不可执行，但仍保留在信号统计中。</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现金分红、送股和转增股本属于 A 股市场常见权益事件，本文不因其发生而剔除对应股票或交易日。其原因在于，剔除除权除息日前后样本会破坏时间序列连续性，并可能使样本偏向低分红或低送转股票。本文的处理方式是：在信号事件分析中，权益事件通过前复权价格进入 TD 计算和事件窗口收益计算，机械除权除息跳变不作为 TD 信号来源；在事件驱动交易回测中，权益事件不作为独立买卖信号，也不单独进行分红公告效应研究，而是作为市场真实交易环境的一部分进入持仓收益计算。若某一完整交易周期跨越除权送股或转增股本事件，回测系统根据权益事件数据调整持仓数量和持仓成本，保证除权前后的持仓价值口径连续；若持仓期间发生现金分红，则将对应分红金额计入该笔完整 trade 的收益中，使单笔交易收益反映价格变动与持有期现金分红的综合结果。上述处理能够避免只使用除权后卖出价格计算盈亏而低估分红股票收益，也能够避免送股和转增后持仓数量变化未被反映的问题。</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4333"/>
        <w:gridCol w:w="4737"/>
      </w:tblGrid>
      <w:tr>
        <w:trPr>
          <w:cantSplit/>
          <w:tblHeader/>
        </w:trPr>
        <w:tc>
          <w:tcPr>
            <w:tcW w:type="dxa" w:w="43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项目</w:t>
            </w:r>
          </w:p>
        </w:tc>
        <w:tc>
          <w:tcPr>
            <w:tcW w:type="dxa" w:w="47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取值</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回测区间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2016-01-01 至 2025-12-31</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市场范围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A 股股票，经退市、退市整理和 ST 状态过滤</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数据频率</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日线</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数据来源</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SimTradeData 导出数据</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回测引擎</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SimTradeLab</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回测基准</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沪深300指数（收盘价）</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配置股票池</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5014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实际产生 Buy Countdown 完成事件的股票数</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4839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有效交易日数量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2430 天</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 事件输出数量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2,013,247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事件窗口成熟样本数量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1,664,187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交易生命周期记录数量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113,806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实际成交完整交易数量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32,780 笔</w:t>
            </w:r>
          </w:p>
        </w:tc>
      </w:tr>
      <w:tr>
        <w:trPr>
          <w:cantSplit/>
          <w:tblHeader w:val="false"/>
        </w:trPr>
        <w:tc>
          <w:tcPr>
            <w:tcW w:type="dxa" w:w="43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平均同时持仓股票数量</w:t>
            </w:r>
          </w:p>
        </w:tc>
        <w:tc>
          <w:tcPr>
            <w:tcW w:type="dxa" w:w="47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706.2 支（最大 1066 支）</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 TD 序列需要一定历史 K 线启动状态机，运行输出中包含少量 2016 年以前的预热事件，占总体样本比例极低。为保持输出文件的完整性，本文在统计中保留这些预热记录，不影响主要结论。配置股票池共 5014 支，其中 4839 支在样本期内至少产生 1 次 Buy Countdown 完成事件，差额主要来自 2016 年以后陆续上市的次新股在前 120 交易日不纳入信号统计、以及部分股票在样本期内长期处于停牌或退市整理状态。</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3679"/>
        <w:gridCol w:w="3791"/>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项目</w:t>
            </w:r>
          </w:p>
        </w:tc>
        <w:tc>
          <w:tcPr>
            <w:tcW w:type="dxa" w:w="36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处理方法</w:t>
            </w:r>
          </w:p>
        </w:tc>
        <w:tc>
          <w:tcPr>
            <w:tcW w:type="dxa" w:w="379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复权方式</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信号识别使用前复权价格</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执行价格</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入场、退出和交易成本使用实际可交易价格口径</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权益事件</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现金分红、送股和转增股本不剔除，不作为独立交易信号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保留真实市场样本，同时避免除权除息机械跳变影响 TD 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停牌处理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成交量为零或状态为停牌的 K 线不推进信号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涨跌停处理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涨停日不可买入，跌停日不可卖出</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ST/退市处理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过滤退市股票、退市整理股票和 ST 状态股票</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降低非正常交易状态对统计结果的干扰</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新股处理</w:t>
            </w:r>
          </w:p>
        </w:tc>
        <w:tc>
          <w:tcPr>
            <w:tcW w:type="dxa" w:w="36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上市后前 120 个交易日不纳入统计</w:t>
            </w:r>
          </w:p>
        </w:tc>
        <w:tc>
          <w:tcPr>
            <w:tcW w:type="dxa" w:w="379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降低新股异常波动影响</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leftChars="0" w:rightChars="0" w:firstLineChars="0" w:hangingChars="0"/>
        <w:jc w:val="left"/>
      </w:pPr>
      <w:r>
        <w:bookmarkStart w:id="69" w:name="heading_5_u2e3_u20TD_u20_u4fe1_u53f7_u4e8b_u4ef6_u7814_u7a76_u65b9_u6cd5"/>
      </w:r>
      <w:r>
        <w:t xml:space="preserve">5.3 TD 信号事件研究方法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70" w:name="cite_27_2"/>
      </w:r>
      <w:r>
        <w:rPr>
          <w:rFonts w:ascii="Times New Roman" w:eastAsia="宋体" w:hAnsi="Times New Roman"/>
          <w:b w:val="false"/>
          <w:bCs w:val="false"/>
          <w:i w:val="false"/>
          <w:iCs w:val="false"/>
          <w:sz w:val="24"/>
          <w:szCs w:val="24"/>
        </w:rPr>
        <w:t xml:space="preserve"/>
      </w:r>
      <w:r>
        <w:bookmarkEnd w:id="70"/>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71" w:name="cite_28_2"/>
      </w:r>
      <w:r>
        <w:rPr>
          <w:rFonts w:ascii="Times New Roman" w:eastAsia="宋体" w:hAnsi="Times New Roman"/>
          <w:b w:val="false"/>
          <w:bCs w:val="false"/>
          <w:i w:val="false"/>
          <w:iCs w:val="false"/>
          <w:sz w:val="24"/>
          <w:szCs w:val="24"/>
        </w:rPr>
        <w:t xml:space="preserve"/>
      </w:r>
      <w:r>
        <w:bookmarkEnd w:id="71"/>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 TD 事件样本，</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表示该事件发生的交易日，</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表示事件日后的观察窗口长度；</w:t>
      </w:r>
      <w:r>
        <w:rPr>
          <w:rFonts w:ascii="Times New Roman" w:eastAsia="宋体" w:hAnsi="Times New Roman"/>
          <w:b w:val="false"/>
          <w:bCs w:val="false"/>
          <w:i w:val="false"/>
          <w:iCs w:val="false"/>
          <w:sz w:val="24"/>
          <w:szCs w:val="24"/>
        </w:rPr>
        <w:t xml:space="preserve">P_{i,t}</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个事件对应股票在事件日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的前复权收盘价，</w:t>
      </w:r>
      <w:r>
        <w:rPr>
          <w:rFonts w:ascii="Times New Roman" w:eastAsia="宋体" w:hAnsi="Times New Roman"/>
          <w:b w:val="false"/>
          <w:bCs w:val="false"/>
          <w:i w:val="false"/>
          <w:iCs w:val="false"/>
          <w:sz w:val="24"/>
          <w:szCs w:val="24"/>
        </w:rPr>
        <w:t xml:space="preserve">P_{i,t+h}</w:t>
      </w:r>
      <w:r>
        <w:rPr>
          <w:rFonts w:ascii="Times New Roman" w:eastAsia="宋体" w:hAnsi="Times New Roman"/>
          <w:b w:val="false"/>
          <w:bCs w:val="false"/>
          <w:i w:val="false"/>
          <w:iCs w:val="false"/>
          <w:sz w:val="24"/>
          <w:szCs w:val="24"/>
        </w:rPr>
        <w:t xml:space="preserve"> 表示同一股票在事件日后第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个交易日的前复权收盘价；</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502"/>
        <w:gridCol w:w="3649"/>
        <w:gridCol w:w="2919"/>
      </w:tblGrid>
      <w:tr>
        <w:trPr>
          <w:cantSplit/>
          <w:tblHeader/>
        </w:trPr>
        <w:tc>
          <w:tcPr>
            <w:tcW w:type="dxa" w:w="25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指标</w:t>
            </w:r>
          </w:p>
        </w:tc>
        <w:tc>
          <w:tcPr>
            <w:tcW w:type="dxa" w:w="3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计算口径</w:t>
            </w:r>
          </w:p>
        </w:tc>
        <w:tc>
          <w:tcPr>
            <w:tcW w:type="dxa" w:w="291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说明</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事件数量</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各类 TD 事件的样本数</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衡量信号密度</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 × (P_{t+h}/P_t - 1)</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衡量信号方向上的价格变化</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方向收益均值 95% 置信区间</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mean ± 1.96 × se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 = sd / √n</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大样本下基于中心极限定理近似</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方向胜率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方向收益率为正的事件占比</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衡量信号判断方向的概率</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最大有利波动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事件窗口内方向上最有利价格变化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衡量潜在机会空间</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最大不利波动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事件窗口内方向上最不利价格变化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衡量信号风险暴露</w:t>
            </w:r>
          </w:p>
        </w:tc>
      </w:tr>
      <w:tr>
        <w:trPr>
          <w:cantSplit/>
          <w:tblHeader w:val="false"/>
        </w:trPr>
        <w:tc>
          <w:tcPr>
            <w:tcW w:type="dxa" w:w="25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子期间一致性</w:t>
            </w:r>
          </w:p>
        </w:tc>
        <w:tc>
          <w:tcPr>
            <w:tcW w:type="dxa" w:w="3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将样本以 2021-01-01 为界划分前后两段</w:t>
            </w:r>
          </w:p>
        </w:tc>
        <w:tc>
          <w:tcPr>
            <w:tcW w:type="dxa" w:w="291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检验方向特征是否依赖单一时段</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本文对事件收益分布计算样本量、均值、95% 置信区间、中位数、25% 与 75% 分位数、方向胜率以及最大有利波动与最大不利波动的中位数。为避免只依赖单一均值结论，本文优先使用中位数与分位数描述 TD 信号的典型表现，并结合最大不利波动判断信号风险。当方向收益均值在 95% 置信区间下显著偏离 0 且方向中位数与之同号、子期间结论一致时，则认为该类 TD 信号在事件层具有稳定方向性；若仅出现在均值或仅依赖单一时段，则只作为有限的现象记录。</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913"/>
        <w:gridCol w:w="948"/>
        <w:gridCol w:w="870"/>
        <w:gridCol w:w="952"/>
        <w:gridCol w:w="986"/>
        <w:gridCol w:w="720"/>
        <w:gridCol w:w="1117"/>
        <w:gridCol w:w="1124"/>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事件类型</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样本数</w:t>
            </w:r>
          </w:p>
        </w:tc>
        <w:tc>
          <w:tcPr>
            <w:tcW w:type="dxa" w:w="91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5日方向收益中位数</w:t>
            </w:r>
          </w:p>
        </w:tc>
        <w:tc>
          <w:tcPr>
            <w:tcW w:type="dxa" w:w="94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20日方向收益中位数</w:t>
            </w:r>
          </w:p>
        </w:tc>
        <w:tc>
          <w:tcPr>
            <w:tcW w:type="dxa" w:w="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20日方向收益均值</w:t>
            </w:r>
          </w:p>
        </w:tc>
        <w:tc>
          <w:tcPr>
            <w:tcW w:type="dxa" w:w="9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60日方向收益中位数</w:t>
            </w:r>
          </w:p>
        </w:tc>
        <w:tc>
          <w:tcPr>
            <w:tcW w:type="dxa" w:w="9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120日方向收益中位数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20日方向胜率</w:t>
            </w:r>
          </w:p>
        </w:tc>
        <w:tc>
          <w:tcPr>
            <w:tcW w:type="dxa" w:w="11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20日最大有利波动中位数</w:t>
            </w:r>
          </w:p>
        </w:tc>
        <w:tc>
          <w:tcPr>
            <w:tcW w:type="dxa" w:w="112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20日最大不利波动中位数</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114,960</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+0.28%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+0.19%</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+0.18%</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50.5%</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+7.47%</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-6.73%</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36,318</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+0.18%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+0.50%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49.7%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+7.34%</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-6.79%</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Sell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99,383</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+0.44%</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+0.26%</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-1.57%</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+7.69%</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-9.07%</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Sell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25,775</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+0.60%</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+2.43%</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+0.65%</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+3.90%</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58.0%</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+9.06%</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-8.38%</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取消</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152,449</w:t>
            </w:r>
          </w:p>
        </w:tc>
        <w:tc>
          <w:tcPr>
            <w:tcW w:type="dxa" w:w="91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-0.06%</w:t>
            </w:r>
          </w:p>
        </w:tc>
        <w:tc>
          <w:tcPr>
            <w:tcW w:type="dxa" w:w="94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+0.28%</w:t>
            </w:r>
          </w:p>
        </w:tc>
        <w:tc>
          <w:tcPr>
            <w:tcW w:type="dxa" w:w="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-0.06%</w:t>
            </w:r>
          </w:p>
        </w:tc>
        <w:tc>
          <w:tcPr>
            <w:tcW w:type="dxa" w:w="9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+0.51%</w:t>
            </w:r>
          </w:p>
        </w:tc>
        <w:tc>
          <w:tcPr>
            <w:tcW w:type="dxa" w:w="9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+0.07%</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50.8%</w:t>
            </w:r>
          </w:p>
        </w:tc>
        <w:tc>
          <w:tcPr>
            <w:tcW w:type="dxa" w:w="11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+8.21%</w:t>
            </w:r>
          </w:p>
        </w:tc>
        <w:tc>
          <w:tcPr>
            <w:tcW w:type="dxa" w:w="112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-7.52%</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5-4，TD 序列在事件层面能够稳定产生大规模样本，但不同事件类型的方向特征差异显著。以 20 日窗口为例，五类事件方向收益均值的 95% 置信区间分别为：Buy Setup 完成 [+1.70%, +1.93%]、Buy Countdown 完成 [+1.17%, +1.46%]、Sell Setup 完成 [-1.81%, -1.33%]、Sell Countdown 完成 [+0.37%, +0.93%]、Countdown 取消 [-0.11%, +0.00%]；前四类置信区间均不覆盖 0，方向均值在 5% 显著性水平下显著，Countdown 取消的置信区间紧贴 0，可视作均值不显著。Buy Countdown 完成是本文交易回测的核心入场信号，其 5 日与 20 日方向收益中位数分别为 +0.18% 与 0.00%、20 日方向胜率为 49.7%，短期内并未体现出稳定的反弹优势；但 60 日与 120 日方向收益均值分别为 +5.41% 与 +7.57%，95% 置信区间分别为 [+4.79%, +6.02%] 与 [+6.88%, +8.26%]，均显著大于 0，说明在中长期窗口内事件平均存在显著的多头方向收益，其典型形态为"短期震荡—中期回升"。Buy Setup 完成的 5 日方向收益中位数为 +0.28%，20、60、120 日方向收益均值均为正且 95% 置信区间始终位于 0 以上，方向特征比 Buy Countdown 更早出现，但中位数幅度较小，更接近"早期提示"性质。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Sell 方向事件出现了与文献中常见的"卖出信号反向"现象一致的结构。Sell Setup 完成事件的 20 日方向收益均值为 -1.57%（即在卖出方向上反向 1.57%），95% 置信区间显著为负，说明 Sell Setup 在 A 股样本中并非稳定的看跌预测信号，更多体现为"超买后的进一步惯性"。Sell Countdown 完成事件则呈现典型的"短中期看跌、长期反转"特征：5 日、20 日和 60 日方向收益中位数依次为 +0.60%、+2.43% 与 +3.90%，20 日方向胜率达到 58.0%（同期 Buy 方向事件均不到 51%）；但 60 日与 120 日方向收益均值反转为 -0.85% 与 -2.60%，95% 置信区间均显著为负，说明该信号能够在 1～3 个月内反映多头力量衰竭，6 个月以上的看空判断往往被超卖反弹否定。Countdown 取消事件共 152,449 条，明显多于 Countdown 完成事件，且其方向收益分布在不同窗口下基本以 0 为中心，胜率均接近 50.8%，与上述置信区间紧贴 0 的结论相互印证，表明 TD 序列在 A 股日线环境中因 TDST 突破或反向 Setup 频繁失效是普遍现象，进一步说明只把"完成事件"作为入场基础、把"取消事件"作为信号失效记录的处理是合理的。</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由于本文交易回测仅以 Buy Countdown 完成作为入场信号，事件研究层面的结论可以归纳为：Buy Countdown 完成在 A 股样本中对应"波动空间约 ±7%、短期震荡、中期均值显著为正"的价格行为，因此能否将其转化为可交易策略，关键取决于后续章节中风控规则对最大有利波动与最大不利波动的截断方式。</w:t>
      </w:r>
    </w:p>
    <w:p>
      <w:pPr>
        <w:pStyle w:val="BUPTHeading2"/>
        <w:spacing w:after="120" w:before="120" w:line="360" w:lineRule="auto"/>
        <w:ind w:left="0" w:right="0" w:hanging="0" w:firstLine="0" w:leftChars="0" w:rightChars="0" w:firstLineChars="0" w:hangingChars="0"/>
        <w:jc w:val="left"/>
      </w:pPr>
      <w:r>
        <w:bookmarkStart w:id="72" w:name="heading_5_u2e4_u20_u4e8b_u4ef6_u9a71_u52a8_u4ea4_u6613_u56de_u6d4b_u65b9_u6cd5"/>
      </w:r>
      <w:r>
        <w:t xml:space="preserve">5.4 事件驱动交易回测方法</w:t>
      </w:r>
      <w:r>
        <w:bookmarkEnd w:id="7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与可选的趋势反转退出信号。事件驱动回测按照"信号出现、下一可交易日执行、持仓期间按规则退出"的顺序推进，避免在信号日收盘后又假设以同日收盘价成交的未来函数问题。入场日为信号事件日后的下一可交易日，入场以 PTrade 真实撮合回报中的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为成交价；若下一交易日停牌或挂单未在 5 个自然日内全部成交，则由通用交易执行层按软超时主动撤单退出该次入场尝试，30 个自然日仍无法消化的挂单触发硬超时强制摘除。</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10,000,000 元，每次买入目标金额为组合当日总资产的 0.1%，单只股票同一时间可以持有多笔未平仓交易，组合不设硬性持仓数量上限，仅以可用现金作为隐式约束；样本期内组合平均同时持仓 706.2 支股票，最大达到 1066 支。若可用现金低于 </w:t>
      </w:r>
      <w:r>
        <w:rPr>
          <w:rFonts w:ascii="Times New Roman" w:eastAsia="宋体" w:hAnsi="Times New Roman"/>
          <w:b w:val="false"/>
          <w:bCs w:val="false"/>
          <w:i w:val="false"/>
          <w:iCs w:val="false"/>
          <w:sz w:val="24"/>
          <w:szCs w:val="24"/>
        </w:rPr>
        <w:t xml:space="preserve">min_cash_for_buy</w:t>
      </w:r>
      <w:r>
        <w:rPr>
          <w:rFonts w:ascii="Times New Roman" w:eastAsia="宋体" w:hAnsi="Times New Roman"/>
          <w:b w:val="false"/>
          <w:bCs w:val="false"/>
          <w:i w:val="false"/>
          <w:iCs w:val="false"/>
          <w:sz w:val="24"/>
          <w:szCs w:val="24"/>
        </w:rPr>
        <w:t xml:space="preserve">（1000 元）或买入目标金额低于 </w:t>
      </w:r>
      <w:r>
        <w:rPr>
          <w:rFonts w:ascii="Times New Roman" w:eastAsia="宋体" w:hAnsi="Times New Roman"/>
          <w:b w:val="false"/>
          <w:bCs w:val="false"/>
          <w:i w:val="false"/>
          <w:iCs w:val="false"/>
          <w:sz w:val="24"/>
          <w:szCs w:val="24"/>
        </w:rPr>
        <w:t xml:space="preserve">min_trade_value</w:t>
      </w:r>
      <w:r>
        <w:rPr>
          <w:rFonts w:ascii="Times New Roman" w:eastAsia="宋体" w:hAnsi="Times New Roman"/>
          <w:b w:val="false"/>
          <w:bCs w:val="false"/>
          <w:i w:val="false"/>
          <w:iCs w:val="false"/>
          <w:sz w:val="24"/>
          <w:szCs w:val="24"/>
        </w:rPr>
        <w:t xml:space="preserve">（1000 元），则该信号记为 </w:t>
      </w:r>
      <w:r>
        <w:rPr>
          <w:rFonts w:ascii="Times New Roman" w:eastAsia="宋体" w:hAnsi="Times New Roman"/>
          <w:b w:val="false"/>
          <w:bCs w:val="false"/>
          <w:i w:val="false"/>
          <w:iCs w:val="false"/>
          <w:sz w:val="24"/>
          <w:szCs w:val="24"/>
        </w:rPr>
        <w:t xml:space="preserve">INSUFFICIENT_CASH</w:t>
      </w:r>
      <w:r>
        <w:rPr>
          <w:rFonts w:ascii="Times New Roman" w:eastAsia="宋体" w:hAnsi="Times New Roman"/>
          <w:b w:val="false"/>
          <w:bCs w:val="false"/>
          <w:i w:val="false"/>
          <w:iCs w:val="false"/>
          <w:sz w:val="24"/>
          <w:szCs w:val="24"/>
        </w:rPr>
        <w:t xml:space="preserve"> 拒单。交易成本设置为买卖双边佣金万分之三（最低 5 元）、卖出印花税千分之一、单边滑点千分之一，并按 PTrade 默认规则补加经手费。交易成本是回测与实盘差异的重要来源，相关研究将交易成本划分为显性成本与隐性成本，并强调最优执行和成本估计对策略评价的影响</w:t>
      </w:r>
      <w:r>
        <w:bookmarkStart w:id="73" w:name="cite_29_1"/>
      </w:r>
      <w:r>
        <w:rPr>
          <w:rFonts w:ascii="Times New Roman" w:eastAsia="宋体" w:hAnsi="Times New Roman"/>
          <w:b w:val="false"/>
          <w:bCs w:val="false"/>
          <w:i w:val="false"/>
          <w:iCs w:val="false"/>
          <w:sz w:val="24"/>
          <w:szCs w:val="24"/>
        </w:rPr>
        <w:t xml:space="preserve"/>
      </w:r>
      <w:r>
        <w:bookmarkEnd w:id="73"/>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4" w:name="cite_15_2"/>
      </w:r>
      <w:r>
        <w:rPr>
          <w:rFonts w:ascii="Times New Roman" w:eastAsia="宋体" w:hAnsi="Times New Roman"/>
          <w:b w:val="false"/>
          <w:bCs w:val="false"/>
          <w:i w:val="false"/>
          <w:iCs w:val="false"/>
          <w:sz w:val="24"/>
          <w:szCs w:val="24"/>
        </w:rPr>
        <w:t xml:space="preserve"/>
      </w:r>
      <w:r>
        <w:bookmarkEnd w:id="74"/>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5" w:name="cite_16_2"/>
      </w:r>
      <w:r>
        <w:rPr>
          <w:rFonts w:ascii="Times New Roman" w:eastAsia="宋体" w:hAnsi="Times New Roman"/>
          <w:b w:val="false"/>
          <w:bCs w:val="false"/>
          <w:i w:val="false"/>
          <w:iCs w:val="false"/>
          <w:sz w:val="24"/>
          <w:szCs w:val="24"/>
        </w:rPr>
        <w:t xml:space="preserve"/>
      </w:r>
      <w:r>
        <w:bookmarkEnd w:id="75"/>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。本文采用相对简单但明确的固定成本口径，目的不是精确模拟每一笔订单簿成交，而是在各类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对于持仓期间发生的权益事件，事件驱动交易回测采用总收益口径处理。除权、送股和转增股本会引起持仓数量和持仓成本变化，回测系统根据权益事件数据调整对应 trade 的仓位记录，使除权前后的持仓价值保持连续；现金分红则在该笔完整 trade 平仓结算时计入交易收益。也就是说，分红不触发买卖行为，也不改变 TD 信号状态，但会作为持有期现金收益进入单笔交易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和组合资产统计。该处理使跨越除权除息日的交易能够反映真实持仓收益，避免将分红收益遗漏或将送转股造成的价格下降误判为交易亏损。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风险价位（1R 止损），则以止损价退出；第二，若价格触及 1.5R 止盈目标，则以止盈价退出；第三，若出现 Sell Countdown 完成且该笔持仓处于盈利状态，则以该日收盘价退出；第四，若持仓达到最大持仓 400 个交易日仍未触发上述任一条件，则强制按收盘价平仓。同一根 K 线同时触发止损和止盈时，按保守原则优先认定止损。本文的信号事件分析只依赖已完成日 K 线上的 TD 事件及事件后价格窗口，不涉及持仓后的订单执行过程，因此交易执行粒度的差异不会影响 Setup、Countdown、取消事件、事件收益、最大有利波动与最大不利波动等信号层指标。该差异仅可能影响事件驱动交易回测中的退出时点、成交价格与资金曲线。鉴于本文研究重点在于 TD 序列信号实现与适用性分析，而非精确复现实盘逐笔成交过程，本文采用日线最高价和最低价判断止损止盈触发，作为统一、可复现且偏保守的回测口径。</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40"/>
        <w:gridCol w:w="7230"/>
      </w:tblGrid>
      <w:tr>
        <w:trPr>
          <w:cantSplit/>
          <w:tblHeader/>
        </w:trPr>
        <w:tc>
          <w:tcPr>
            <w:tcW w:type="dxa" w:w="184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模块</w:t>
            </w:r>
          </w:p>
        </w:tc>
        <w:tc>
          <w:tcPr>
            <w:tcW w:type="dxa" w:w="7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本文设定</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入场信号</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入场时间</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事件日后下一可交易日</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入场价格</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PTrade 真实撮合 </w:t>
            </w:r>
            <w:r>
              <w:rPr>
                <w:rFonts w:ascii="Times New Roman" w:eastAsia="宋体" w:hAnsi="Times New Roman"/>
                <w:b w:val="false"/>
                <w:bCs w:val="false"/>
                <w:i w:val="false"/>
                <w:iCs w:val="false"/>
                <w:sz w:val="21"/>
                <w:szCs w:val="21"/>
              </w:rPr>
              <w:t xml:space="preserve">business_price</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软超时与硬超时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软超时 5 个自然日撤单，硬超时 30 个自然日强制摘除</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初始资金</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10,000,000 元</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单笔仓位</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总资产 0.1%</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持仓数量限制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不设硬性上限，受可用现金隐式约束</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止损规则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 风险价位（1R）</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止盈规则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1.5R 目标价</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趋势反转退出</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盈利状态下 Sell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最大持仓天数</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400 个交易日，达到则强制平仓</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权益事件处理</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送股与转增调整持仓数量与成本，现金分红计入完整 trade 收益</w:t>
            </w:r>
          </w:p>
        </w:tc>
      </w:tr>
      <w:tr>
        <w:trPr>
          <w:cantSplit/>
          <w:tblHeader w:val="false"/>
        </w:trPr>
        <w:tc>
          <w:tcPr>
            <w:tcW w:type="dxa" w:w="184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交易成本</w:t>
            </w:r>
          </w:p>
        </w:tc>
        <w:tc>
          <w:tcPr>
            <w:tcW w:type="dxa" w:w="7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佣金万分之三（最低 5 元）、印花税千分之一、单边滑点千分之一</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86"/>
        <w:gridCol w:w="721"/>
        <w:gridCol w:w="720"/>
        <w:gridCol w:w="871"/>
        <w:gridCol w:w="1800"/>
        <w:gridCol w:w="1341"/>
        <w:gridCol w:w="1343"/>
        <w:gridCol w:w="1488"/>
      </w:tblGrid>
      <w:tr>
        <w:trPr>
          <w:cantSplit/>
          <w:tblHeader/>
        </w:trPr>
        <w:tc>
          <w:tcPr>
            <w:tcW w:type="dxa" w:w="7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策略口径</w:t>
            </w:r>
          </w:p>
        </w:tc>
        <w:tc>
          <w:tcPr>
            <w:tcW w:type="dxa" w:w="72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胜率</w:t>
            </w:r>
          </w:p>
        </w:tc>
        <w:tc>
          <w:tcPr>
            <w:tcW w:type="dxa" w:w="8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平均盈亏比</w:t>
            </w:r>
          </w:p>
        </w:tc>
        <w:tc>
          <w:tcPr>
            <w:tcW w:type="dxa" w:w="18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累计盈亏（折合初始资金）</w:t>
            </w:r>
          </w:p>
        </w:tc>
        <w:tc>
          <w:tcPr>
            <w:tcW w:type="dxa" w:w="134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交易序列最大回撤</w:t>
            </w:r>
          </w:p>
        </w:tc>
        <w:tc>
          <w:tcPr>
            <w:tcW w:type="dxa" w:w="13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交易序列夏普比率</w:t>
            </w:r>
          </w:p>
        </w:tc>
        <w:tc>
          <w:tcPr>
            <w:tcW w:type="dxa" w:w="14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结论</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Buy Countdown</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32,780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36.55%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+86.90%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33.99%</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1.755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加入风控后形成显著正收益，单笔胜率仍低于 50%</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Setup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26,092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36.77%</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+71.80%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24.95%</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1.805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交易数减少 20%，回撤同步下降，夏普略升</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Countdown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22,691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35.25%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2.48</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+47.09%</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21.46%</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1.559</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收益密度下降，最大回撤进一步收敛</w:t>
            </w:r>
          </w:p>
        </w:tc>
      </w:tr>
      <w:tr>
        <w:trPr>
          <w:cantSplit/>
          <w:tblHeader w:val="false"/>
        </w:trPr>
        <w:tc>
          <w:tcPr>
            <w:tcW w:type="dxa" w:w="7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双完美 Setup + Countdown</w:t>
            </w:r>
          </w:p>
        </w:tc>
        <w:tc>
          <w:tcPr>
            <w:tcW w:type="dxa" w:w="72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17,979</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35.65%</w:t>
            </w:r>
          </w:p>
        </w:tc>
        <w:tc>
          <w:tcPr>
            <w:tcW w:type="dxa" w:w="8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2.49</w:t>
            </w:r>
          </w:p>
        </w:tc>
        <w:tc>
          <w:tcPr>
            <w:tcW w:type="dxa" w:w="18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+40.61%</w:t>
            </w:r>
          </w:p>
        </w:tc>
        <w:tc>
          <w:tcPr>
            <w:tcW w:type="dxa" w:w="134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15.63%</w:t>
            </w:r>
          </w:p>
        </w:tc>
        <w:tc>
          <w:tcPr>
            <w:tcW w:type="dxa" w:w="13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1.664</w:t>
            </w:r>
          </w:p>
        </w:tc>
        <w:tc>
          <w:tcPr>
            <w:tcW w:type="dxa" w:w="14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风险最低但收益规模最小</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5-6，本次基于 SimTradeLab 全市场长周期回测显示，TD 序列在加入下一可交易日入场、TD 风险价位 1R 止损、1.5R 止盈、最大持仓 400 日与 Sell Countdown 趋势反转退出等风控规则后，全部 Buy Countdown 口径下共形成 32,780 笔完整交易，胜率为 36.55%，平均盈亏比 2.42，累计交易盈亏 8,690,421 元，按初始资金 10,000,000 元口径折合 +86.90%，交易序列最大回撤 33.99%，交易序列夏普比率为 1.755。该结果与"胜率低于 50%、但盈亏比显著大于 1"的非对称回报结构一致，验证了 1R 止损 1.5R 止盈的风控配比对 TD 信号有较强的适配性。此处"交易序列夏普比率"基于单笔交易收益率序列计算，不等同于资金曲线层面的组合夏普比率，仅用于跨过滤口径的相对比较；组合层面的资金曲线统计将在 5.5 节给出。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进一步对四种信号质量过滤口径进行比较可以发现：仅以"完美 Setup"作为过滤条件时，交易数下降至 26,092 笔（减少约 20%），胜率与盈亏比与全样本基本一致，但最大回撤从 33.99% 收敛到 24.95%，交易序列夏普比率从 1.755 提升到 1.805，是四种口径中风险调整后表现最优的方案；继续叠加"完美 Countdown"过滤后，交易数与累计收益按比例下降，夏普反而回落到 1.664，说明完美 Countdown 在排除部分非完美信号的同时也排除了一部分对回报贡献较高的中段信号，过滤价值有限。这意味着完美 Setup 是性价比最高的可选过滤层，而完美 Countdown 更适合用于事件研究层面的状态精细化，而不是直接作为交易过滤条件。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退出原因分布同样可以对上述结果给出经济上的解释。32,780 笔完整交易中，21,456 笔（65.5%）以止损 1R 退出，平均单笔盈亏 -966.9 元；7,487 笔（22.8%）以 1.5R 止盈退出，平均单笔盈亏 +2,799.9 元；1,790 笔（5.5%）以 Sell Countdown 趋势反转盈利退出，平均单笔盈亏 +3,114.8 元；2,047 笔（6.2%）触发最大持仓天数后强制平仓，平均单笔盈亏 +1,415.3 元。可以看到，止损与止盈/趋势反转的笔数比约为 2.7:1，但盈亏金额比近似 1:1.2，说明 TD 信号配合 1R 止损 1.5R 止盈的"小亏多次、大胜偶发"结构在 A 股长周期样本中是可持续的。这一结论也与 5.3 节事件层"短期方向性弱、中期均值显著为正、波动空间约 ±7%"的结论自洽：事件层显示信号本身只打开了一定的波动空间，能否将其转化为盈利由风控对最大有利波动与最大不利波动的截断方式决定。</w:t>
      </w:r>
    </w:p>
    <w:p>
      <w:pPr>
        <w:pStyle w:val="BUPTHeading2"/>
        <w:spacing w:after="120" w:before="120" w:line="360" w:lineRule="auto"/>
        <w:ind w:left="0" w:right="0" w:hanging="0" w:firstLine="0" w:leftChars="0" w:rightChars="0" w:firstLineChars="0" w:hangingChars="0"/>
        <w:jc w:val="left"/>
      </w:pPr>
      <w:r>
        <w:bookmarkStart w:id="76" w:name="heading_5_u2e5_u20_u9002_u7528_u6027_u5206_u5c42_u5206_u6790_u65b9_u6cd5"/>
      </w:r>
      <w:r>
        <w:t xml:space="preserve">5.5 适用性分层分析方法</w:t>
      </w:r>
      <w:r>
        <w:bookmarkEnd w:id="7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序列规则与交易规则，只按照事件发生时的市场状态、股票特征与信号质量对完整交易样本重新分组，并比较各组交易笔数、胜率、平均盈亏比、累计盈亏与平均单笔交易收益率。Kothari 和 Warner 指出事件研究方法的性质可能受样本公司特征和波动水平影响</w:t>
      </w:r>
      <w:r>
        <w:bookmarkStart w:id="77" w:name="cite_28_3"/>
      </w:r>
      <w:r>
        <w:rPr>
          <w:rFonts w:ascii="Times New Roman" w:eastAsia="宋体" w:hAnsi="Times New Roman"/>
          <w:b w:val="false"/>
          <w:bCs w:val="false"/>
          <w:i w:val="false"/>
          <w:iCs w:val="false"/>
          <w:sz w:val="24"/>
          <w:szCs w:val="24"/>
        </w:rPr>
        <w:t xml:space="preserve"/>
      </w:r>
      <w:r>
        <w:bookmarkEnd w:id="77"/>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序列在不同市场环境与股票特征下是否存在适用边界。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分层口径采用 Buy Countdown 完成事件日前 20 个交易日的个股状态作为分组依据：若事件标的前 20 日收益率大于 5%，定义为上涨阶段；小于 -5% 定义为下跌阶段；其余为震荡阶段。流动性分组使用事件日前 20 个交易日的平均成交额，其中高成交额为不低于 3 亿元，低成交额为不高于 5000 万元，其余为中成交额。波动率分组使用事件日前 20 个交易日日收益率标准差，其中高波动组为不低于 3.5%，低波动组为不高于 1.5%，其余为中波动组。信号质量分组按照是否完美 Setup 与是否完美 Countdown 进一步交叉划分。每笔完整交易仅按其入场对应的 Buy Countdown 事件特征归入唯一桶内，避免同一交易在不同事件下被重复计入造成口径不一致。</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15"/>
        <w:gridCol w:w="985"/>
        <w:gridCol w:w="987"/>
        <w:gridCol w:w="720"/>
        <w:gridCol w:w="988"/>
        <w:gridCol w:w="1155"/>
        <w:gridCol w:w="1686"/>
        <w:gridCol w:w="1734"/>
      </w:tblGrid>
      <w:tr>
        <w:trPr>
          <w:cantSplit/>
          <w:tblHeader/>
        </w:trPr>
        <w:tc>
          <w:tcPr>
            <w:tcW w:type="dxa" w:w="8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分层维度</w:t>
            </w:r>
          </w:p>
        </w:tc>
        <w:tc>
          <w:tcPr>
            <w:tcW w:type="dxa" w:w="9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分组</w:t>
            </w:r>
          </w:p>
        </w:tc>
        <w:tc>
          <w:tcPr>
            <w:tcW w:type="dxa" w:w="9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完整交易数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胜率</w:t>
            </w:r>
          </w:p>
        </w:tc>
        <w:tc>
          <w:tcPr>
            <w:tcW w:type="dxa" w:w="9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平均盈亏比</w:t>
            </w:r>
          </w:p>
        </w:tc>
        <w:tc>
          <w:tcPr>
            <w:tcW w:type="dxa" w:w="115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累计盈亏（元）</w:t>
            </w:r>
          </w:p>
        </w:tc>
        <w:tc>
          <w:tcPr>
            <w:tcW w:type="dxa" w:w="16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平均单笔交易收益率</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分层结论</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上涨阶段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2,246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44.43%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1.96</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+1,334,497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顺势补充入场机会，胜率最高但密度低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下跌阶段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17,154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36.69%</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+4,551,573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+2.86%</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信号最密集，反弹机会与回撤压力并存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震荡阶段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13,356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34.97%</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2.38</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+2,682,463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+1.87%</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胜率最低，靠盈亏比维持正贡献</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34.31%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2.17</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+352,947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可交易性最好，但收益密度最低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中成交额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16,023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36.54%</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+3,966,138</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样本最多，表现接近全样本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低成交额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13,481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37.11%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2.62</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+4,371,336</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收益密度高，但需警惕成交约束与容量问题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4,268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49.60%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+4,374,194</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+10.62%</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信号方向性最强、回撤最低，是适用边界的核心区间</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中波动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21,821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36.03%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+4,536,730</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+2.13%</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主要信号区间，表现接近全样本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低波动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6,667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29.71%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-342,391</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-0.61%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唯一负贡献组，TD 在低波动结构下失效</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完美 Setup + 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17,979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35.65%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+4,061,033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+2.44%</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风险最低但收益规模最小</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Setup</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39.25%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+3,119,079</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完美 Setup 是性价比最高的过滤项</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33.70%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+648,305</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单独的完美 Countdown 提升有限</w:t>
            </w:r>
          </w:p>
        </w:tc>
      </w:tr>
      <w:tr>
        <w:trPr>
          <w:cantSplit/>
          <w:tblHeader w:val="false"/>
        </w:trPr>
        <w:tc>
          <w:tcPr>
            <w:tcW w:type="dxa" w:w="8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非完美信号</w:t>
            </w:r>
          </w:p>
        </w:tc>
        <w:tc>
          <w:tcPr>
            <w:tcW w:type="dxa" w:w="9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1,976</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40.49%</w:t>
            </w:r>
          </w:p>
        </w:tc>
        <w:tc>
          <w:tcPr>
            <w:tcW w:type="dxa" w:w="9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2.25</w:t>
            </w:r>
          </w:p>
        </w:tc>
        <w:tc>
          <w:tcPr>
            <w:tcW w:type="dxa" w:w="115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+862,004</w:t>
            </w:r>
          </w:p>
        </w:tc>
        <w:tc>
          <w:tcPr>
            <w:tcW w:type="dxa" w:w="16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+4.31%</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样本最少，仅作参考</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5-7，TD 序列的适用性在三个维度上呈现差异。第一，</w:t>
      </w:r>
      <w:r>
        <w:rPr>
          <w:rFonts w:ascii="Times New Roman" w:eastAsia="宋体" w:hAnsi="Times New Roman"/>
          <w:b/>
          <w:bCs/>
          <w:i w:val="false"/>
          <w:iCs w:val="false"/>
          <w:sz w:val="24"/>
          <w:szCs w:val="24"/>
        </w:rPr>
        <w:t xml:space="preserve">波动率是最核心的适用边界</w:t>
      </w:r>
      <w:r>
        <w:rPr>
          <w:rFonts w:ascii="Times New Roman" w:eastAsia="宋体" w:hAnsi="Times New Roman"/>
          <w:b w:val="false"/>
          <w:bCs w:val="false"/>
          <w:i w:val="false"/>
          <w:iCs w:val="false"/>
          <w:sz w:val="24"/>
          <w:szCs w:val="24"/>
        </w:rPr>
        <w:t xml:space="preserve">。高波动组（前 20 日日收益率标准差不低于 3.5%）的 4,268 笔交易胜率达到 49.60%、平均单笔交易收益率达到 +10.62%，是唯一胜率接近 50% 的分组；低波动组（标准差不高于 1.5%）则是唯一累计盈亏为负的分组，平均单笔交易收益率 -0.61%。这一结果与 5.3 节事件层"信号打开 ±7% 波动空间"的结论一致：当个股自身波动尚不足以打开止盈空间时，TD 信号的"波动空间假设"无法兑现，1.5R 止盈极难命中而 1R 止损频繁触发。第二，</w:t>
      </w:r>
      <w:r>
        <w:rPr>
          <w:rFonts w:ascii="Times New Roman" w:eastAsia="宋体" w:hAnsi="Times New Roman"/>
          <w:b/>
          <w:bCs/>
          <w:i w:val="false"/>
          <w:iCs w:val="false"/>
          <w:sz w:val="24"/>
          <w:szCs w:val="24"/>
        </w:rPr>
        <w:t xml:space="preserve">市场状态层面，下跌阶段提供最大信号密度，上涨阶段提供最高单笔回报</w:t>
      </w:r>
      <w:r>
        <w:rPr>
          <w:rFonts w:ascii="Times New Roman" w:eastAsia="宋体" w:hAnsi="Times New Roman"/>
          <w:b w:val="false"/>
          <w:bCs w:val="false"/>
          <w:i w:val="false"/>
          <w:iCs w:val="false"/>
          <w:sz w:val="24"/>
          <w:szCs w:val="24"/>
        </w:rPr>
        <w:t xml:space="preserve">。下跌阶段 17,154 笔交易（占总数 52.3%）累计盈亏 +455 万、单笔平均收益 +2.86%，验证了 TD 是"下跌耗竭后买入"信号；上涨阶段交易仅 2,246 笔但胜率 44.43%、平均单笔回报 +6.08%，体现了顺势补充入场的特征。第三，</w:t>
      </w:r>
      <w:r>
        <w:rPr>
          <w:rFonts w:ascii="Times New Roman" w:eastAsia="宋体" w:hAnsi="Times New Roman"/>
          <w:b/>
          <w:bCs/>
          <w:i w:val="false"/>
          <w:iCs w:val="false"/>
          <w:sz w:val="24"/>
          <w:szCs w:val="24"/>
        </w:rPr>
        <w:t xml:space="preserve">信号质量上完美 Setup 是最有效的可选过滤</w:t>
      </w:r>
      <w:r>
        <w:rPr>
          <w:rFonts w:ascii="Times New Roman" w:eastAsia="宋体" w:hAnsi="Times New Roman"/>
          <w:b w:val="false"/>
          <w:bCs w:val="false"/>
          <w:i w:val="false"/>
          <w:iCs w:val="false"/>
          <w:sz w:val="24"/>
          <w:szCs w:val="24"/>
        </w:rPr>
        <w:t xml:space="preserve">。仅完美 Setup 组胜率 39.25%、平均单笔回报 +3.71%，均高于全样本（36.55% / +2.72%）；而仅完美 Countdown 组胜率 33.70%、反而低于全样本，意味着完美 Countdown 不能单独作为充分过滤器。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需要指出的是，低成交额组累计盈亏 +437 万、单笔回报 +3.30%，相对高成交额组（+0.35 万 / +1.30%）确实存在收益密度优势，但该现象与冲击成本、最低交易金额约束、大资金容量上限和样本聚集等问题相关。本文的回测以单笔仓位 0.1% 与最低 1000 元交易门槛为约束，原则上能在小样本上落地；但若放大到机构资金量级，低成交额组的结论需要在加入更严格的可交易性约束（如成交额占比、价格冲击模型）后重新评估。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考虑到 TD 序列在 A 股日线下事件密度有限——单股 Buy Countdown 完成事件中位数为 8 次、最高 19 次，单股完整交易中位数为 7 次、最高 19 次——本文不再尝试通过设置单股事件阈值将"适用股票集合"固化为明确名单，因为这种做法在小样本下容易产生选择性偏差且统计意义不足。本文改为以探索性视角呈现单股表现：在完整交易数不少于 10 笔的 1175 支股票候选池中，分别按 20 日方向收益中位数与交易胜率给出前 20 名作为代表性参考；其中表 5-8 直接按 20 日方向收益中位数从大到小排序取前 20，表 5-9 在表 5-8 基础上进一步限定 20 日方向收益中位数为正以排除路径异常样本后再按交易胜率从大到小排序取前 20。两个排名共出现 36 支不重复股票（部分股票在两个维度同时入榜），说明在小样本下"事件方向收益最高"与"交易胜率最高"并不指向同一组股票，单股结果存在较大随机性。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单股 20 日方向收益中位数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770"/>
        <w:gridCol w:w="799"/>
        <w:gridCol w:w="1388"/>
        <w:gridCol w:w="1106"/>
        <w:gridCol w:w="1109"/>
        <w:gridCol w:w="720"/>
        <w:gridCol w:w="801"/>
        <w:gridCol w:w="937"/>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排名</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股票代码</w:t>
            </w:r>
          </w:p>
        </w:tc>
        <w:tc>
          <w:tcPr>
            <w:tcW w:type="dxa" w:w="7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BCC 事件数</w:t>
            </w:r>
          </w:p>
        </w:tc>
        <w:tc>
          <w:tcPr>
            <w:tcW w:type="dxa" w:w="79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完整交易数</w:t>
            </w:r>
          </w:p>
        </w:tc>
        <w:tc>
          <w:tcPr>
            <w:tcW w:type="dxa" w:w="13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 日方向收益中位数</w:t>
            </w:r>
          </w:p>
        </w:tc>
        <w:tc>
          <w:tcPr>
            <w:tcW w:type="dxa" w:w="11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 日 MFE 中位数</w:t>
            </w:r>
          </w:p>
        </w:tc>
        <w:tc>
          <w:tcPr>
            <w:tcW w:type="dxa" w:w="110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 日 MAE 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交易胜率</w:t>
            </w:r>
          </w:p>
        </w:tc>
        <w:tc>
          <w:tcPr>
            <w:tcW w:type="dxa" w:w="80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平均盈亏比</w:t>
            </w:r>
          </w:p>
        </w:tc>
        <w:tc>
          <w:tcPr>
            <w:tcW w:type="dxa" w:w="9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601001.SS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16.85%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23.68%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5.13</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600348.SS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12.72%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21.45%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-6.51%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8.89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002149.SZ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20.97%</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-6.58%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36.4%</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603068.SS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11.14%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15.56%</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002036.SZ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11.12%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12.70%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1.86</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603036.SS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10.92%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15.32%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600546.SS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46.62%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300049.SZ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10.39%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14.33%</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002141.SZ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10.13%</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-9.35%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002016.SZ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10.09%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21.21%</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000586.SZ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9.69%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-7.72%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27.3%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002664.SZ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12.65%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000030.SZ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8.88%</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12.44%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300554.SZ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8.79%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12.40%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000807.SZ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15.64%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5.21</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000576.SZ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8.42%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15.49%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0.99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300047.SZ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8.36%</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11.58%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-6.29%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0.87</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600521.SS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8.30%</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-3.88%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2.82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600522.SS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11.82%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002284.SZ</w:t>
            </w:r>
          </w:p>
        </w:tc>
        <w:tc>
          <w:tcPr>
            <w:tcW w:type="dxa" w:w="7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8.14%</w:t>
            </w:r>
          </w:p>
        </w:tc>
        <w:tc>
          <w:tcPr>
            <w:tcW w:type="dxa" w:w="11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12.20%</w:t>
            </w:r>
          </w:p>
        </w:tc>
        <w:tc>
          <w:tcPr>
            <w:tcW w:type="dxa" w:w="110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-4.72%</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66.7%</w:t>
            </w:r>
          </w:p>
        </w:tc>
        <w:tc>
          <w:tcPr>
            <w:tcW w:type="dxa" w:w="80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1.81</w:t>
            </w:r>
          </w:p>
        </w:tc>
        <w:tc>
          <w:tcPr>
            <w:tcW w:type="dxa" w:w="9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表5-9  单股交易胜率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917"/>
        <w:gridCol w:w="1063"/>
        <w:gridCol w:w="1105"/>
        <w:gridCol w:w="918"/>
        <w:gridCol w:w="1942"/>
        <w:gridCol w:w="1107"/>
        <w:gridCol w:w="1298"/>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排名</w:t>
            </w:r>
          </w:p>
        </w:tc>
        <w:tc>
          <w:tcPr>
            <w:tcW w:type="dxa" w:w="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股票代码</w:t>
            </w:r>
          </w:p>
        </w:tc>
        <w:tc>
          <w:tcPr>
            <w:tcW w:type="dxa" w:w="106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BCC 事件数</w:t>
            </w:r>
          </w:p>
        </w:tc>
        <w:tc>
          <w:tcPr>
            <w:tcW w:type="dxa" w:w="11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完整交易数</w:t>
            </w:r>
          </w:p>
        </w:tc>
        <w:tc>
          <w:tcPr>
            <w:tcW w:type="dxa" w:w="91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交易胜率</w:t>
            </w:r>
          </w:p>
        </w:tc>
        <w:tc>
          <w:tcPr>
            <w:tcW w:type="dxa" w:w="19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20 日方向收益中位数</w:t>
            </w:r>
          </w:p>
        </w:tc>
        <w:tc>
          <w:tcPr>
            <w:tcW w:type="dxa" w:w="110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平均盈亏比</w:t>
            </w:r>
          </w:p>
        </w:tc>
        <w:tc>
          <w:tcPr>
            <w:tcW w:type="dxa" w:w="129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000720.SZ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0.47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002636.SZ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002162.SZ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76.9%</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5.90%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600114.SS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4.60</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002439.SZ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2.91%</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0.89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300554.SZ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8.79%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002241.SZ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000520.SZ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600601.SS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600593.SS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0.76%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002510.SZ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71.4%</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2.63%</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002036.SZ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11.12%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1.86</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603036.SS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10.92%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002246.SZ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4.86%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2.97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300143.SZ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300170.SZ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0.95%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300180.SZ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69.2%</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w:t>
            </w:r>
          </w:p>
        </w:tc>
        <w:tc>
          <w:tcPr>
            <w:tcW w:type="dxa" w:w="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300222.SZ</w:t>
            </w:r>
          </w:p>
        </w:tc>
        <w:tc>
          <w:tcPr>
            <w:tcW w:type="dxa" w:w="106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11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66.7%</w:t>
            </w:r>
          </w:p>
        </w:tc>
        <w:tc>
          <w:tcPr>
            <w:tcW w:type="dxa" w:w="19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3.20%</w:t>
            </w:r>
          </w:p>
        </w:tc>
        <w:tc>
          <w:tcPr>
            <w:tcW w:type="dxa" w:w="110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0.99</w:t>
            </w:r>
          </w:p>
        </w:tc>
        <w:tc>
          <w:tcPr>
            <w:tcW w:type="dxa" w:w="129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需要再次强调，表 5-8 与表 5-9 列出的股票均为单股完整交易数 10 至 14 次量级，统计意义有限，不能视为"TD 序列在这些股票上具有稳定适用性"的结论。从两张表可以观察到：第一，前 20 名股票分布在不同的板块代码段（沪市主板、深市主板、创业板、中小板均有出现），并未集中于某一类板块或行业；第二，子期间一致性（即将该股票样本以 2021-01-01 为界划分前后两段后两段方向均为正）在前 20 名中只有约一半为 True，进一步说明小样本下的方向收益不能稳健外推；第三，方向收益中位数最高的股票其交易胜率并不一定最高，例如排名第 11 的 000586.SZ 方向收益中位数 9.69%，但交易胜率仅 27.3%，说明高方向收益更多反映了样本期内少数大幅反弹事件，而不是稳健的入场胜率。基于以上观察，本文不将单股层面作为 TD 序列适用性的结论性证据，而是把适用边界定位在"波动率不低于 3.5% 的中高波动结构 + 完美 Setup 过滤"的二维区间内。</w:t>
      </w:r>
    </w:p>
    <w:p>
      <w:pPr>
        <w:pStyle w:val="BUPTHeading2"/>
        <w:spacing w:after="120" w:before="120" w:line="360" w:lineRule="auto"/>
        <w:ind w:left="0" w:right="0" w:hanging="0" w:firstLine="0" w:leftChars="0" w:rightChars="0" w:firstLineChars="0" w:hangingChars="0"/>
        <w:jc w:val="left"/>
      </w:pPr>
      <w:r>
        <w:bookmarkStart w:id="78" w:name="heading_5_u2e6_u20_u7a33_u5065_u6027_u68c0_u9a8c"/>
      </w:r>
      <w:r>
        <w:t xml:space="preserve">5.6 稳健性检验</w:t>
      </w:r>
      <w:r>
        <w:bookmarkEnd w:id="7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为验证结论不依赖单一观察口径，本文进行了五组稳健性检验。第一，将事件窗口从 20 个交易日扩展到 5、60 与 120 个交易日，观察事件方向收益的均值与中位数是否保持一致；第二，比较全部 Buy Countdown、仅完美 Setup、仅完美 Countdown 与双完美信号四种质量过滤口径下的交易结果，观察交易结论是否依赖单一信号筛选条件；第三，按照流动性、波动率与市场状态三个维度重新计算交易回测结果，观察盈利是否集中在不可交易或不可放大资金量的样本上；第四，将样本以 2021-01-01 为界分为 P1（2016-2020）与 P2（2021-2025）两段，分别计算两段的事件方向收益与交易回测指标，检验结论是否在不同市场环境下都成立；第五，将组合资金曲线层面的指标与交易序列层面的指标进行比对，避免使用单一指标得出不平衡的结论。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9" w:name="cite_13_2"/>
      </w:r>
      <w:r>
        <w:rPr>
          <w:rFonts w:ascii="Times New Roman" w:eastAsia="宋体" w:hAnsi="Times New Roman"/>
          <w:b w:val="false"/>
          <w:bCs w:val="false"/>
          <w:i w:val="false"/>
          <w:iCs w:val="false"/>
          <w:sz w:val="24"/>
          <w:szCs w:val="24"/>
        </w:rPr>
        <w:t xml:space="preserve"/>
      </w:r>
      <w:r>
        <w:bookmarkEnd w:id="7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80" w:name="cite_30_1"/>
      </w:r>
      <w:r>
        <w:rPr>
          <w:rFonts w:ascii="Times New Roman" w:eastAsia="宋体" w:hAnsi="Times New Roman"/>
          <w:b w:val="false"/>
          <w:bCs w:val="false"/>
          <w:i w:val="false"/>
          <w:iCs w:val="false"/>
          <w:sz w:val="24"/>
          <w:szCs w:val="24"/>
        </w:rPr>
        <w:t xml:space="preserve"/>
      </w:r>
      <w:r>
        <w:bookmarkEnd w:id="80"/>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81" w:name="cite_31_1"/>
      </w:r>
      <w:r>
        <w:rPr>
          <w:rFonts w:ascii="Times New Roman" w:eastAsia="宋体" w:hAnsi="Times New Roman"/>
          <w:b w:val="false"/>
          <w:bCs w:val="false"/>
          <w:i w:val="false"/>
          <w:iCs w:val="false"/>
          <w:sz w:val="24"/>
          <w:szCs w:val="24"/>
        </w:rPr>
        <w:t xml:space="preserve"/>
      </w:r>
      <w:r>
        <w:bookmarkEnd w:id="81"/>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82" w:name="cite_32_1"/>
      </w:r>
      <w:r>
        <w:rPr>
          <w:rFonts w:ascii="Times New Roman" w:eastAsia="宋体" w:hAnsi="Times New Roman"/>
          <w:b w:val="false"/>
          <w:bCs w:val="false"/>
          <w:i w:val="false"/>
          <w:iCs w:val="false"/>
          <w:sz w:val="24"/>
          <w:szCs w:val="24"/>
        </w:rPr>
        <w:t xml:space="preserve"/>
      </w:r>
      <w:r>
        <w:bookmarkEnd w:id="82"/>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3" w:name="cite_33_1"/>
      </w:r>
      <w:r>
        <w:rPr>
          <w:rFonts w:ascii="Times New Roman" w:eastAsia="宋体" w:hAnsi="Times New Roman"/>
          <w:b w:val="false"/>
          <w:bCs w:val="false"/>
          <w:i w:val="false"/>
          <w:iCs w:val="false"/>
          <w:sz w:val="24"/>
          <w:szCs w:val="24"/>
        </w:rPr>
        <w:t xml:space="preserve"/>
      </w:r>
      <w:r>
        <w:bookmarkEnd w:id="83"/>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表5-10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185"/>
        <w:gridCol w:w="2485"/>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检验项目</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对照口径</w:t>
            </w:r>
          </w:p>
        </w:tc>
        <w:tc>
          <w:tcPr>
            <w:tcW w:type="dxa" w:w="4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结果摘要</w:t>
            </w:r>
          </w:p>
        </w:tc>
        <w:tc>
          <w:tcPr>
            <w:tcW w:type="dxa" w:w="24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1"/>
                <w:szCs w:val="21"/>
              </w:rPr>
              <w:t xml:space="preserve">是否支持主结论</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 日 / 20 日 / 60 日 / 120 日</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方向收益均值依次为 +0.48% / +1.31% / +5.41% / +7.57%（95% 置信区间均显著大于 0）；Sell Countdown 方向收益均值依次为 +0.05% / +0.65% / -0.85% / -2.60%（短中期看跌、长期反转）</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支持事件层方向特征在不同窗口下存在结构性差异，且 Buy Countdown 中长期均值显著为正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信号质量过滤</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 仅完美 Setup / 仅完美 Countdown / 双完美</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Buy Countdown 累计盈亏 +86.90%、夏普 1.755；仅完美 Setup +71.80% / 1.805；仅完美 Countdown +47.09% / 1.559；双完美 +40.61% / 1.664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支持仅完美 Setup 是性价比最高的可选过滤；完美 Countdown 单独使用并不增益</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 / 中 / 低成交额</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三组累计盈亏分别为 +35 万 / +397 万 / +437 万，胜率分别为 34.31% / 36.54% / 37.11%；三组均为正贡献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支持盈利不集中于单一流动性桶，但低成交额组的实盘容量需要在大资金下重新评估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 / 中 / 低波动</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高波动 4,268 笔胜率 49.60%、平均单笔回报 +10.62%；低波动 6,667 笔胜率 29.71%、平均单笔回报 -0.61%（唯一负贡献）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支持波动率是 TD 序列的核心适用边界，低波动结构下信号失效</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子期间一致性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P1（2016-2020）与 P2（2021-2025）</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20 日方向均值 P1=+0.37% / P2=+1.91%，胜率 P1=47.3% / P2=51.2%；交易回测累计盈亏 P1=+11.2 万 / P2=+757 万，胜率 P1=31.0% / P2=40.4%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两段方向同号、胜率同号上升；P2 表现明显强于 P1，2018-2019 熊市段拖低 P1 但未推翻方向结论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 vs 交易序列</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组合资金曲线 / 单笔交易序列</w:t>
            </w:r>
          </w:p>
        </w:tc>
        <w:tc>
          <w:tcPr>
            <w:tcW w:type="dxa" w:w="4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组合层面：总收益 +90.47%、年化 +6.91%、最大回撤 -40.49%、夏普 0.508、Sortino 0.605、Calmar 0.171；交易序列层面：累计盈亏 +86.90%、最大回撤 33.99%、夏普 1.755</w:t>
            </w:r>
          </w:p>
        </w:tc>
        <w:tc>
          <w:tcPr>
            <w:tcW w:type="dxa" w:w="24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两层面结论方向一致；组合夏普低于交易夏普，原因是组合受新建仓资金分批与同时持仓 700 余支个股的相关性约束</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5-10，五组稳健性检验整体支持本文的核心结论。事件窗口方面，Buy Countdown 在 5 日至 120 日窗口的方向收益均值 95% 置信区间均位于零的上方，证明其方向性特征不是只依赖中位数或某一特定窗口；Sell Countdown 则呈现"中短期看跌有效、长期被超卖反弹否定"的结构，与 5.3 节描述一致。信号质量过滤方面，四种口径下交易序列累计盈亏均显著为正，仅完美 Setup 达到风险调整最优，验证了"完美条件不能单独构成充分过滤器，但完美 Setup 是性价比最高的过滤项"的结论。流动性与波动率分层进一步说明，盈利能力主要由波动率而非成交额驱动，波动率是 TD 序列的关键适用边界；子期间一致性检验显示 P1 与 P2 两段在事件层与交易层都给出方向相同的结果，差异主要体现在 P2（2021-2025）信号密度与单笔回报均高于 P1（2016-2020），与该期间 A 股小盘成长板块波动放大的市场背景一致。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最后，组合层面与交易序列层面的指标存在数量级差异需要单独说明。组合层面以 10,000,000 元资金跑全市场 4839 支股票、平均同时持仓 706.2 支，10 年总收益 +90.47%、年化 +6.91%、最大回撤 -40.49%、夏普 0.508、Sortino 0.605、Calmar 0.171，相对沪深 300 实现 +57.01% 的超额收益、Alpha +5.17%、Beta 0.573、信息比率 0.280。组合夏普明显低于交易序列夏普（1.755）的原因有两方面：其一，单笔仓位 0.1% 意味着大量资金长期处于现金状态，资金利用率不高；其二，组合中同时持有 700 余支股票，整体回报率与市场指数呈现 0.573 的 Beta 关系，市场系统性风险并未通过 TD 信号被消除。这一现象表明 TD 序列在 A 股长周期样本中能产生显著的 Alpha，但其策略适用性更接近于"对个股入场点位做有方向性的择时筛选"，而非"独立成形的市场中性策略"。</w:t>
      </w:r>
    </w:p>
    <w:p>
      <w:pPr>
        <w:pStyle w:val="BUPTHeading2"/>
        <w:spacing w:after="120" w:before="120" w:line="360" w:lineRule="auto"/>
        <w:ind w:left="0" w:right="0" w:hanging="0" w:firstLine="0" w:leftChars="0" w:rightChars="0" w:firstLineChars="0" w:hangingChars="0"/>
        <w:jc w:val="left"/>
      </w:pPr>
      <w:r>
        <w:bookmarkStart w:id="84" w:name="heading_5_u2e7_u20_u672c_u7ae0_u5c0f_u7ed3"/>
      </w:r>
      <w:r>
        <w:t xml:space="preserve">5.7 本章小结</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本章给出了本文实际采用的回测分析方法，并基于全市场 4839 支股票、2016-01-04 至 2025-12-31 共 2430 个交易日的回测运行结果形成实证结论。本文先对 TD 信号进行事件研究，再在固定交易规则下进行事件驱动交易回测，并进一步从市场状态、流动性、波动率与信号质量四个维度进行分层分析与稳健性检验。综合结果表明，TD 序列在事件层能够稳定生成大规模可分析样本，且 Buy Countdown 完成在中长期窗口（60 日、120 日）的方向收益均值显著大于 0，Sell Countdown 完成在 20 日窗口具有最明显的方向胜率（58.0%）但长期方向被超卖反弹否定，方向特征与文献中"超卖反弹、超买衰竭"的描述一致。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在交易层面，Buy Countdown 完成事件配合 1R 止损、1.5R 止盈、Sell Countdown 趋势反转退出与最大持仓 400 日的风控规则后，全部 32,780 笔完整交易胜率为 36.55%、平均盈亏比 2.42、累计盈亏 +86.90%、交易序列夏普比率 1.755；组合资金曲线层面 10 年总收益 +90.47%、年化 +6.91%、最大回撤 -40.49%、夏普 0.508、相对沪深 300 实现 Alpha +5.17%、信息比率 0.280。波动率分层表明 TD 序列的核心适用边界是"个股自身波动不低于 3.5% 的中高波动结构"——高波动组胜率 49.60%、单笔平均回报 +10.62%，而低波动组是唯一累计盈亏为负的分组；信号质量分层进一步表明，仅以"完美 Setup"作为过滤是性价比最高的可选过滤，而完美 Countdown 不能单独作为充分过滤器。子期间一致性检验显示 P1（2016-2020）与 P2（2021-2025）两段方向同号、P2 表现优于 P1，结论不依赖单一时段。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因此，本文认为 TD 序列在 A 股长周期样本中具备明确的工程实现价值与可观测的方向性 Alpha，但其策略定位更接近于"对个股入场点位做有方向性择时筛选"的事件驱动信号系统，而不是独立成形的市场中性策略；其稳定盈利能力依赖配套的 1R 止损 1.5R 止盈风控结构与"中高波动 + 完美 Setup"的适用边界。</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5" w:name="heading__u7b2c_u516d_u7ae0_u20_u603b_u7ed3_u4e0e_u5c55_u671b"/>
      </w:r>
      <w:r>
        <w:t xml:space="preserve">第六章 总结与展望</w:t>
      </w:r>
      <w:r>
        <w:bookmarkEnd w:id="85"/>
      </w:r>
    </w:p>
    <w:p>
      <w:pPr>
        <w:pStyle w:val="BUPTHeading2"/>
        <w:spacing w:after="120" w:before="120" w:line="360" w:lineRule="auto"/>
        <w:ind w:left="0" w:right="0" w:hanging="0" w:firstLine="0" w:leftChars="0" w:rightChars="0" w:firstLineChars="0" w:hangingChars="0"/>
        <w:jc w:val="left"/>
      </w:pPr>
      <w:r>
        <w:bookmarkStart w:id="86" w:name="heading_6_u2e1_u20_u7814_u7a76_u5de5_u4f5c_u603b_u7ed3"/>
      </w:r>
      <w:r>
        <w:t xml:space="preserve">6.1 研究工作总结</w:t>
      </w:r>
      <w:r>
        <w:bookmarkEnd w:id="8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完成大规模本地回测。为保证本地回测环境的可信度，本文还设计了 PTrade 与 SimTradeLab 的小样本一致性验证流程。该实现体现了软件工程中模块化、低耦合、配置显式化和异常可定位的原则。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在回测分析方面，本文采用事件研究和事件驱动交易回测结合的方案，对 TD 序列在 A 股市场中的适用性进行了检验。回测覆盖 2016-2025 共 10 年、4839 支股票，共输出 2,013,247 条 TD 事件、1,664,187 条成熟事件窗口记录与 113,806 条交易生命周期记录，其中 32,780 笔为完整成交闭环。结果显示：第一，Buy Countdown 完成在中长期窗口（60 日、120 日）的方向收益均值分别为 +5.41% 与 +7.57%，均通过 95% 置信区间显著性检验，Sell Countdown 完成在 20 日窗口的方向胜率达到 58.0%、为各类事件中最高，TD 序列在事件层具有可观测的方向性。第二，Buy Countdown 完成配合 1R 止损 1.5R 止盈风控规则后，全部口径下 32,780 笔完整交易胜率 36.55%、平均盈亏比 2.42、累计盈亏 +86.90%、交易序列夏普 1.755；组合层面 10 年总收益 +90.47%、年化 +6.91%、最大回撤 -40.49%、夏普 0.508、相对沪深 300 取得 Alpha +5.17% 与 +57.01% 超额收益。第三，波动率是 TD 序列最核心的适用边界，高波动组胜率近 50%、单笔平均回报 +10.62%；低波动组是唯一负贡献组，单笔平均回报 -0.61%。第四，仅完美 Setup 是性价比最高的可选过滤项（夏普从 1.755 提升到 1.805），而完美 Countdown 单独使用不增益。由此可见，TD 序列在 A 股长周期样本中具有明确的工程实现价值与可观测的方向性 Alpha，但其策略定位更接近于"对个股入场点位做有方向性择时筛选"的事件驱动系统，依赖 1R 止损 1.5R 止盈的非对称风控结构与"中高波动 + 完美 Setup"的适用边界，并非独立成形的市场中性策略。</w:t>
      </w:r>
    </w:p>
    <w:p>
      <w:pPr>
        <w:pStyle w:val="BUPTHeading2"/>
        <w:spacing w:after="120" w:before="120" w:line="360" w:lineRule="auto"/>
        <w:ind w:left="0" w:right="0" w:hanging="0" w:firstLine="0" w:leftChars="0" w:rightChars="0" w:firstLineChars="0" w:hangingChars="0"/>
        <w:jc w:val="left"/>
      </w:pPr>
      <w:r>
        <w:bookmarkStart w:id="87" w:name="heading_6_u2e2_u20_u7814_u7a76_u5c55_u671b"/>
      </w:r>
      <w:r>
        <w:t xml:space="preserve">6.2 研究展望</w:t>
      </w:r>
      <w:r>
        <w:bookmarkEnd w:id="8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未来研究可以从四个方向展开。首先，可以在本文已实现的 Sequence Countdown 基础上，进一步扩展 Intersection、Combo Countdown、Recycle 与更细粒度的 TDST 有效突破确认，从而形成更完整的 DeMark 规则族实现，并通过消融实验定量比较不同 Countdown 规则对事件密度与适用边界的贡献。其次，可以围绕本文识别出的核心适用边界——"前 20 日波动率不低于 3.5% 且完美 Setup 触发"——构建波动率筛选与 TD 信号联动的过滤层，并在大资金量级下加入成交额占比与价格冲击模型，验证低波动组失效与低成交额组收益密度的边界条件能否在实盘资金体量下保持。第三，可以建立独立的研究型回测模块，将事件研究、样本外滚动检验、Bootstrap 置信区间、分位数回归和分层统计自动化，使 TD 序列适用性分析能够在不同参数、不同市场阶段、不同股票池与不同风控配比之间快速复现，并支持对组合层 Beta 0.573 的来源进行进一步分解。最后，可以将 TD 序列与成交量结构、行业景气度、宏观波动率或基本面过滤条件结合，并通过严格消融实验分析不同模块对结果的贡献，避免简单叠加指标后无法判断 TD 序列本身作用的问题，从而把"事件层方向性 Alpha"转化为可解释、可外推的策略组件。</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8" w:name="heading__u53c2_u8003_u6587_u732e"/>
      </w:r>
      <w:r>
        <w:t xml:space="preserve">参考文献</w:t>
      </w:r>
      <w:r>
        <w:bookmarkEnd w:id="88"/>
      </w:r>
    </w:p>
    <w:p>
      <w:pPr>
        <w:pStyle w:val="ReferenceEntry"/>
        <w:spacing w:after="0" w:before="0" w:line="360" w:lineRule="auto"/>
        <w:ind w:left="340" w:right="0" w:hanging="340" w:firstLine="0"/>
        <w:jc w:val="both"/>
      </w:pPr>
      <w:r>
        <w:bookmarkStart w:id="89" w:name="ref_1"/>
      </w:r>
      <w:r>
        <w:rPr>
          <w:rFonts w:ascii="Times New Roman" w:eastAsia="宋体" w:hAnsi="Times New Roman"/>
          <w:b w:val="false"/>
          <w:bCs w:val="false"/>
          <w:i w:val="false"/>
          <w:iCs w:val="false"/>
          <w:sz w:val="21"/>
          <w:szCs w:val="21"/>
        </w:rPr>
        <w:t xml:space="preserve">[1] </w:t>
      </w:r>
      <w:r>
        <w:bookmarkEnd w:id="89"/>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2"/>
      </w:r>
      <w:r>
        <w:rPr>
          <w:rFonts w:ascii="Times New Roman" w:eastAsia="宋体" w:hAnsi="Times New Roman"/>
          <w:b w:val="false"/>
          <w:bCs w:val="false"/>
          <w:i w:val="false"/>
          <w:iCs w:val="false"/>
          <w:sz w:val="21"/>
          <w:szCs w:val="21"/>
        </w:rPr>
        <w:t xml:space="preserve">[2] </w:t>
      </w:r>
      <w:r>
        <w:bookmarkEnd w:id="90"/>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3"/>
      </w:r>
      <w:r>
        <w:rPr>
          <w:rFonts w:ascii="Times New Roman" w:eastAsia="宋体" w:hAnsi="Times New Roman"/>
          <w:b w:val="false"/>
          <w:bCs w:val="false"/>
          <w:i w:val="false"/>
          <w:iCs w:val="false"/>
          <w:sz w:val="21"/>
          <w:szCs w:val="21"/>
        </w:rPr>
        <w:t xml:space="preserve">[3] </w:t>
      </w:r>
      <w:r>
        <w:bookmarkEnd w:id="91"/>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4"/>
      </w:r>
      <w:r>
        <w:rPr>
          <w:rFonts w:ascii="Times New Roman" w:eastAsia="宋体" w:hAnsi="Times New Roman"/>
          <w:b w:val="false"/>
          <w:bCs w:val="false"/>
          <w:i w:val="false"/>
          <w:iCs w:val="false"/>
          <w:sz w:val="21"/>
          <w:szCs w:val="21"/>
        </w:rPr>
        <w:t xml:space="preserve">[4] </w:t>
      </w:r>
      <w:r>
        <w:bookmarkEnd w:id="92"/>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5"/>
      </w:r>
      <w:r>
        <w:rPr>
          <w:rFonts w:ascii="Times New Roman" w:eastAsia="宋体" w:hAnsi="Times New Roman"/>
          <w:b w:val="false"/>
          <w:bCs w:val="false"/>
          <w:i w:val="false"/>
          <w:iCs w:val="false"/>
          <w:sz w:val="21"/>
          <w:szCs w:val="21"/>
        </w:rPr>
        <w:t xml:space="preserve">[5] </w:t>
      </w:r>
      <w:r>
        <w:bookmarkEnd w:id="93"/>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6"/>
      </w:r>
      <w:r>
        <w:rPr>
          <w:rFonts w:ascii="Times New Roman" w:eastAsia="宋体" w:hAnsi="Times New Roman"/>
          <w:b w:val="false"/>
          <w:bCs w:val="false"/>
          <w:i w:val="false"/>
          <w:iCs w:val="false"/>
          <w:sz w:val="21"/>
          <w:szCs w:val="21"/>
        </w:rPr>
        <w:t xml:space="preserve">[6] </w:t>
      </w:r>
      <w:r>
        <w:bookmarkEnd w:id="94"/>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7"/>
      </w:r>
      <w:r>
        <w:rPr>
          <w:rFonts w:ascii="Times New Roman" w:eastAsia="宋体" w:hAnsi="Times New Roman"/>
          <w:b w:val="false"/>
          <w:bCs w:val="false"/>
          <w:i w:val="false"/>
          <w:iCs w:val="false"/>
          <w:sz w:val="21"/>
          <w:szCs w:val="21"/>
        </w:rPr>
        <w:t xml:space="preserve">[7] </w:t>
      </w:r>
      <w:r>
        <w:bookmarkEnd w:id="95"/>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8"/>
      </w:r>
      <w:r>
        <w:rPr>
          <w:rFonts w:ascii="Times New Roman" w:eastAsia="宋体" w:hAnsi="Times New Roman"/>
          <w:b w:val="false"/>
          <w:bCs w:val="false"/>
          <w:i w:val="false"/>
          <w:iCs w:val="false"/>
          <w:sz w:val="21"/>
          <w:szCs w:val="21"/>
        </w:rPr>
        <w:t xml:space="preserve">[8] </w:t>
      </w:r>
      <w:r>
        <w:bookmarkEnd w:id="96"/>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9"/>
      </w:r>
      <w:r>
        <w:rPr>
          <w:rFonts w:ascii="Times New Roman" w:eastAsia="宋体" w:hAnsi="Times New Roman"/>
          <w:b w:val="false"/>
          <w:bCs w:val="false"/>
          <w:i w:val="false"/>
          <w:iCs w:val="false"/>
          <w:sz w:val="21"/>
          <w:szCs w:val="21"/>
        </w:rPr>
        <w:t xml:space="preserve">[9] </w:t>
      </w:r>
      <w:r>
        <w:bookmarkEnd w:id="97"/>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0"/>
      </w:r>
      <w:r>
        <w:rPr>
          <w:rFonts w:ascii="Times New Roman" w:eastAsia="宋体" w:hAnsi="Times New Roman"/>
          <w:b w:val="false"/>
          <w:bCs w:val="false"/>
          <w:i w:val="false"/>
          <w:iCs w:val="false"/>
          <w:sz w:val="21"/>
          <w:szCs w:val="21"/>
        </w:rPr>
        <w:t xml:space="preserve">[10] </w:t>
      </w:r>
      <w:r>
        <w:bookmarkEnd w:id="98"/>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1"/>
      </w:r>
      <w:r>
        <w:rPr>
          <w:rFonts w:ascii="Times New Roman" w:eastAsia="宋体" w:hAnsi="Times New Roman"/>
          <w:b w:val="false"/>
          <w:bCs w:val="false"/>
          <w:i w:val="false"/>
          <w:iCs w:val="false"/>
          <w:sz w:val="21"/>
          <w:szCs w:val="21"/>
        </w:rPr>
        <w:t xml:space="preserve">[11] </w:t>
      </w:r>
      <w:r>
        <w:bookmarkEnd w:id="99"/>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2"/>
      </w:r>
      <w:r>
        <w:rPr>
          <w:rFonts w:ascii="Times New Roman" w:eastAsia="宋体" w:hAnsi="Times New Roman"/>
          <w:b w:val="false"/>
          <w:bCs w:val="false"/>
          <w:i w:val="false"/>
          <w:iCs w:val="false"/>
          <w:sz w:val="21"/>
          <w:szCs w:val="21"/>
        </w:rPr>
        <w:t xml:space="preserve">[12] </w:t>
      </w:r>
      <w:r>
        <w:bookmarkEnd w:id="100"/>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3"/>
      </w:r>
      <w:r>
        <w:rPr>
          <w:rFonts w:ascii="Times New Roman" w:eastAsia="宋体" w:hAnsi="Times New Roman"/>
          <w:b w:val="false"/>
          <w:bCs w:val="false"/>
          <w:i w:val="false"/>
          <w:iCs w:val="false"/>
          <w:sz w:val="21"/>
          <w:szCs w:val="21"/>
        </w:rPr>
        <w:t xml:space="preserve">[13] </w:t>
      </w:r>
      <w:r>
        <w:bookmarkEnd w:id="101"/>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4"/>
      </w:r>
      <w:r>
        <w:rPr>
          <w:rFonts w:ascii="Times New Roman" w:eastAsia="宋体" w:hAnsi="Times New Roman"/>
          <w:b w:val="false"/>
          <w:bCs w:val="false"/>
          <w:i w:val="false"/>
          <w:iCs w:val="false"/>
          <w:sz w:val="21"/>
          <w:szCs w:val="21"/>
        </w:rPr>
        <w:t xml:space="preserve">[14] </w:t>
      </w:r>
      <w:r>
        <w:bookmarkEnd w:id="102"/>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5"/>
      </w:r>
      <w:r>
        <w:rPr>
          <w:rFonts w:ascii="Times New Roman" w:eastAsia="宋体" w:hAnsi="Times New Roman"/>
          <w:b w:val="false"/>
          <w:bCs w:val="false"/>
          <w:i w:val="false"/>
          <w:iCs w:val="false"/>
          <w:sz w:val="21"/>
          <w:szCs w:val="21"/>
        </w:rPr>
        <w:t xml:space="preserve">[15] </w:t>
      </w:r>
      <w:r>
        <w:bookmarkEnd w:id="103"/>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6"/>
      </w:r>
      <w:r>
        <w:rPr>
          <w:rFonts w:ascii="Times New Roman" w:eastAsia="宋体" w:hAnsi="Times New Roman"/>
          <w:b w:val="false"/>
          <w:bCs w:val="false"/>
          <w:i w:val="false"/>
          <w:iCs w:val="false"/>
          <w:sz w:val="21"/>
          <w:szCs w:val="21"/>
        </w:rPr>
        <w:t xml:space="preserve">[16] </w:t>
      </w:r>
      <w:r>
        <w:bookmarkEnd w:id="104"/>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17"/>
      </w:r>
      <w:r>
        <w:rPr>
          <w:rFonts w:ascii="Times New Roman" w:eastAsia="宋体" w:hAnsi="Times New Roman"/>
          <w:b w:val="false"/>
          <w:bCs w:val="false"/>
          <w:i w:val="false"/>
          <w:iCs w:val="false"/>
          <w:sz w:val="21"/>
          <w:szCs w:val="21"/>
        </w:rPr>
        <w:t xml:space="preserve">[17] </w:t>
      </w:r>
      <w:r>
        <w:bookmarkEnd w:id="105"/>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18"/>
      </w:r>
      <w:r>
        <w:rPr>
          <w:rFonts w:ascii="Times New Roman" w:eastAsia="宋体" w:hAnsi="Times New Roman"/>
          <w:b w:val="false"/>
          <w:bCs w:val="false"/>
          <w:i w:val="false"/>
          <w:iCs w:val="false"/>
          <w:sz w:val="21"/>
          <w:szCs w:val="21"/>
        </w:rPr>
        <w:t xml:space="preserve">[18] </w:t>
      </w:r>
      <w:r>
        <w:bookmarkEnd w:id="106"/>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19"/>
      </w:r>
      <w:r>
        <w:rPr>
          <w:rFonts w:ascii="Times New Roman" w:eastAsia="宋体" w:hAnsi="Times New Roman"/>
          <w:b w:val="false"/>
          <w:bCs w:val="false"/>
          <w:i w:val="false"/>
          <w:iCs w:val="false"/>
          <w:sz w:val="21"/>
          <w:szCs w:val="21"/>
        </w:rPr>
        <w:t xml:space="preserve">[19] </w:t>
      </w:r>
      <w:r>
        <w:bookmarkEnd w:id="107"/>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0"/>
      </w:r>
      <w:r>
        <w:rPr>
          <w:rFonts w:ascii="Times New Roman" w:eastAsia="宋体" w:hAnsi="Times New Roman"/>
          <w:b w:val="false"/>
          <w:bCs w:val="false"/>
          <w:i w:val="false"/>
          <w:iCs w:val="false"/>
          <w:sz w:val="21"/>
          <w:szCs w:val="21"/>
        </w:rPr>
        <w:t xml:space="preserve">[20] </w:t>
      </w:r>
      <w:r>
        <w:bookmarkEnd w:id="108"/>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1"/>
      </w:r>
      <w:r>
        <w:rPr>
          <w:rFonts w:ascii="Times New Roman" w:eastAsia="宋体" w:hAnsi="Times New Roman"/>
          <w:b w:val="false"/>
          <w:bCs w:val="false"/>
          <w:i w:val="false"/>
          <w:iCs w:val="false"/>
          <w:sz w:val="21"/>
          <w:szCs w:val="21"/>
        </w:rPr>
        <w:t xml:space="preserve">[21] </w:t>
      </w:r>
      <w:r>
        <w:bookmarkEnd w:id="109"/>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2"/>
      </w:r>
      <w:r>
        <w:rPr>
          <w:rFonts w:ascii="Times New Roman" w:eastAsia="宋体" w:hAnsi="Times New Roman"/>
          <w:b w:val="false"/>
          <w:bCs w:val="false"/>
          <w:i w:val="false"/>
          <w:iCs w:val="false"/>
          <w:sz w:val="21"/>
          <w:szCs w:val="21"/>
        </w:rPr>
        <w:t xml:space="preserve">[22] </w:t>
      </w:r>
      <w:r>
        <w:bookmarkEnd w:id="110"/>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3"/>
      </w:r>
      <w:r>
        <w:rPr>
          <w:rFonts w:ascii="Times New Roman" w:eastAsia="宋体" w:hAnsi="Times New Roman"/>
          <w:b w:val="false"/>
          <w:bCs w:val="false"/>
          <w:i w:val="false"/>
          <w:iCs w:val="false"/>
          <w:sz w:val="21"/>
          <w:szCs w:val="21"/>
        </w:rPr>
        <w:t xml:space="preserve">[23] </w:t>
      </w:r>
      <w:r>
        <w:bookmarkEnd w:id="111"/>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4"/>
      </w:r>
      <w:r>
        <w:rPr>
          <w:rFonts w:ascii="Times New Roman" w:eastAsia="宋体" w:hAnsi="Times New Roman"/>
          <w:b w:val="false"/>
          <w:bCs w:val="false"/>
          <w:i w:val="false"/>
          <w:iCs w:val="false"/>
          <w:sz w:val="21"/>
          <w:szCs w:val="21"/>
        </w:rPr>
        <w:t xml:space="preserve">[24] </w:t>
      </w:r>
      <w:r>
        <w:bookmarkEnd w:id="112"/>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5"/>
      </w:r>
      <w:r>
        <w:rPr>
          <w:rFonts w:ascii="Times New Roman" w:eastAsia="宋体" w:hAnsi="Times New Roman"/>
          <w:b w:val="false"/>
          <w:bCs w:val="false"/>
          <w:i w:val="false"/>
          <w:iCs w:val="false"/>
          <w:sz w:val="21"/>
          <w:szCs w:val="21"/>
        </w:rPr>
        <w:t xml:space="preserve">[25] </w:t>
      </w:r>
      <w:r>
        <w:bookmarkEnd w:id="113"/>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6"/>
      </w:r>
      <w:r>
        <w:rPr>
          <w:rFonts w:ascii="Times New Roman" w:eastAsia="宋体" w:hAnsi="Times New Roman"/>
          <w:b w:val="false"/>
          <w:bCs w:val="false"/>
          <w:i w:val="false"/>
          <w:iCs w:val="false"/>
          <w:sz w:val="21"/>
          <w:szCs w:val="21"/>
        </w:rPr>
        <w:t xml:space="preserve">[26] </w:t>
      </w:r>
      <w:r>
        <w:bookmarkEnd w:id="114"/>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27"/>
      </w:r>
      <w:r>
        <w:rPr>
          <w:rFonts w:ascii="Times New Roman" w:eastAsia="宋体" w:hAnsi="Times New Roman"/>
          <w:b w:val="false"/>
          <w:bCs w:val="false"/>
          <w:i w:val="false"/>
          <w:iCs w:val="false"/>
          <w:sz w:val="21"/>
          <w:szCs w:val="21"/>
        </w:rPr>
        <w:t xml:space="preserve">[27] </w:t>
      </w:r>
      <w:r>
        <w:bookmarkEnd w:id="115"/>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28"/>
      </w:r>
      <w:r>
        <w:rPr>
          <w:rFonts w:ascii="Times New Roman" w:eastAsia="宋体" w:hAnsi="Times New Roman"/>
          <w:b w:val="false"/>
          <w:bCs w:val="false"/>
          <w:i w:val="false"/>
          <w:iCs w:val="false"/>
          <w:sz w:val="21"/>
          <w:szCs w:val="21"/>
        </w:rPr>
        <w:t xml:space="preserve">[28] </w:t>
      </w:r>
      <w:r>
        <w:bookmarkEnd w:id="116"/>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29"/>
      </w:r>
      <w:r>
        <w:rPr>
          <w:rFonts w:ascii="Times New Roman" w:eastAsia="宋体" w:hAnsi="Times New Roman"/>
          <w:b w:val="false"/>
          <w:bCs w:val="false"/>
          <w:i w:val="false"/>
          <w:iCs w:val="false"/>
          <w:sz w:val="21"/>
          <w:szCs w:val="21"/>
        </w:rPr>
        <w:t xml:space="preserve">[29] </w:t>
      </w:r>
      <w:r>
        <w:bookmarkEnd w:id="117"/>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0"/>
      </w:r>
      <w:r>
        <w:rPr>
          <w:rFonts w:ascii="Times New Roman" w:eastAsia="宋体" w:hAnsi="Times New Roman"/>
          <w:b w:val="false"/>
          <w:bCs w:val="false"/>
          <w:i w:val="false"/>
          <w:iCs w:val="false"/>
          <w:sz w:val="21"/>
          <w:szCs w:val="21"/>
        </w:rPr>
        <w:t xml:space="preserve">[30] </w:t>
      </w:r>
      <w:r>
        <w:bookmarkEnd w:id="118"/>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9" w:name="ref_31"/>
      </w:r>
      <w:r>
        <w:rPr>
          <w:rFonts w:ascii="Times New Roman" w:eastAsia="宋体" w:hAnsi="Times New Roman"/>
          <w:b w:val="false"/>
          <w:bCs w:val="false"/>
          <w:i w:val="false"/>
          <w:iCs w:val="false"/>
          <w:sz w:val="21"/>
          <w:szCs w:val="21"/>
        </w:rPr>
        <w:t xml:space="preserve">[31] </w:t>
      </w:r>
      <w:r>
        <w:bookmarkEnd w:id="119"/>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0" w:name="ref_32"/>
      </w:r>
      <w:r>
        <w:rPr>
          <w:rFonts w:ascii="Times New Roman" w:eastAsia="宋体" w:hAnsi="Times New Roman"/>
          <w:b w:val="false"/>
          <w:bCs w:val="false"/>
          <w:i w:val="false"/>
          <w:iCs w:val="false"/>
          <w:sz w:val="21"/>
          <w:szCs w:val="21"/>
        </w:rPr>
        <w:t xml:space="preserve">[32] </w:t>
      </w:r>
      <w:r>
        <w:bookmarkEnd w:id="120"/>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1" w:name="ref_33"/>
      </w:r>
      <w:r>
        <w:rPr>
          <w:rFonts w:ascii="Times New Roman" w:eastAsia="宋体" w:hAnsi="Times New Roman"/>
          <w:b w:val="false"/>
          <w:bCs w:val="false"/>
          <w:i w:val="false"/>
          <w:iCs w:val="false"/>
          <w:sz w:val="21"/>
          <w:szCs w:val="21"/>
        </w:rPr>
        <w:t xml:space="preserve">[33] </w:t>
      </w:r>
      <w:r>
        <w:bookmarkEnd w:id="121"/>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22" w:name="heading__u81f4_u8c22"/>
      </w:r>
      <w:r>
        <w:t xml:space="preserve">致谢</w:t>
      </w:r>
      <w:r>
        <w:bookmarkEnd w:id="122"/>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感谢xxx</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1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15BCD" w14:textId="77777777" w:rsidR="00C358D5" w:rsidRDefault="00C358D5">
    <w:pPr>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99E8E9D" w:rsidR="00C5140C" w:rsidRDefault="00C5140C" w:rsidP="008E5DB9">
    <w:pPr>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A9DFD2" w14:textId="77777777" w:rsidR="00C358D5" w:rsidRDefault="00C358D5">
    <w:pPr>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header1_cov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6DA5E9" w14:textId="77777777" w:rsidR="00C358D5" w:rsidRDefault="00C358D5">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C27D6C2" w:rsidR="00C5140C" w:rsidRPr="006F7DAE" w:rsidRDefault="00C5140C" w:rsidP="006F7DAE">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A53A33" w14:textId="77777777" w:rsidR="00C358D5" w:rsidRDefault="00C358D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1"/>
      <w:szCs w:val="21"/>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c">
    <w:name w:val="Subtitle"/>
    <w:basedOn w:val="a"/>
    <w:next w:val="a"/>
    <w:link w:val="ad"/>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d">
    <w:name w:val="副标题 字符"/>
    <w:basedOn w:val="a0"/>
    <w:link w:val="ac"/>
    <w:uiPriority w:val="11"/>
    <w:rsid w:val="00E1701F"/>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
    <w:name w:val="引用 字符"/>
    <w:basedOn w:val="a0"/>
    <w:link w:val="ae"/>
    <w:uiPriority w:val="29"/>
    <w:rsid w:val="00E1701F"/>
    <w:rPr>
      <w:i/>
      <w:iCs/>
      <w:color w:val="404040" w:themeColor="text1" w:themeTint="BF"/>
    </w:rPr>
  </w:style>
  <w:style w:type="character" w:styleId="af0">
    <w:name w:val="Intense Emphasis"/>
    <w:basedOn w:val="a0"/>
    <w:uiPriority w:val="21"/>
    <w:qFormat/>
    <w:rsid w:val="00E1701F"/>
    <w:rPr>
      <w:i/>
      <w:iCs/>
      <w:color w:val="0F4761" w:themeColor="accent1" w:themeShade="BF"/>
    </w:rPr>
  </w:style>
  <w:style w:type="paragraph" w:styleId="af1">
    <w:name w:val="Intense Quote"/>
    <w:basedOn w:val="a"/>
    <w:next w:val="a"/>
    <w:link w:val="af2"/>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2">
    <w:name w:val="明显引用 字符"/>
    <w:basedOn w:val="a0"/>
    <w:link w:val="af1"/>
    <w:uiPriority w:val="30"/>
    <w:rsid w:val="00E1701F"/>
    <w:rPr>
      <w:i/>
      <w:iCs/>
      <w:color w:val="0F4761" w:themeColor="accent1" w:themeShade="BF"/>
    </w:rPr>
  </w:style>
  <w:style w:type="character" w:styleId="af3">
    <w:name w:val="Intense Reference"/>
    <w:basedOn w:val="a0"/>
    <w:uiPriority w:val="32"/>
    <w:qFormat/>
    <w:rsid w:val="00E1701F"/>
    <w:rPr>
      <w:b/>
      <w:bCs/>
      <w:smallCaps/>
      <w:color w:val="0F4761" w:themeColor="accent1" w:themeShade="BF"/>
      <w:spacing w:val="5"/>
    </w:rPr>
  </w:style>
  <w:style w:type="paragraph" w:styleId="af4">
    <w:name w:val="annotation text"/>
    <w:basedOn w:val="a"/>
    <w:link w:val="af5"/>
    <w:uiPriority w:val="99"/>
    <w:semiHidden/>
    <w:unhideWhenUsed/>
    <w:qFormat/>
    <w:rsid w:val="00E1701F"/>
    <w:pPr>
      <w:jc w:val="left"/>
    </w:pPr>
  </w:style>
  <w:style w:type="character" w:customStyle="1" w:styleId="af5">
    <w:name w:val="批注文字 字符"/>
    <w:basedOn w:val="a0"/>
    <w:link w:val="af4"/>
    <w:uiPriority w:val="99"/>
    <w:semiHidden/>
    <w:qFormat/>
    <w:rsid w:val="00E1701F"/>
    <w:rPr>
      <w:rFonts w:ascii="宋体" w:eastAsia="宋体" w:hAnsi="宋体"/>
      <w:sz w:val="24"/>
      <w:szCs w:val="22"/>
      <w14:ligatures w14:val="none"/>
    </w:rPr>
  </w:style>
  <w:style w:type="character" w:styleId="af6">
    <w:name w:val="annotation reference"/>
    <w:basedOn w:val="a0"/>
    <w:uiPriority w:val="99"/>
    <w:semiHidden/>
    <w:unhideWhenUsed/>
    <w:qFormat/>
    <w:rsid w:val="00E1701F"/>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image" Target="media/84893c56c521faec1f415bf9aad930219b2225e5.png"/><Relationship Id="rId13" Type="http://schemas.openxmlformats.org/officeDocument/2006/relationships/image" Target="media/aa578ca9392965687f4829ab380d8e88646edd60.png"/><Relationship Id="rId14" Type="http://schemas.openxmlformats.org/officeDocument/2006/relationships/image" Target="media/0869670e3bd22a1c3b3d634d55d6e007af6c6eec.png"/><Relationship Id="rId15" Type="http://schemas.openxmlformats.org/officeDocument/2006/relationships/image" Target="media/cdc5de084b9ecbbb866bdb245730cc871db747a1.png"/><Relationship Id="rId16" Type="http://schemas.openxmlformats.org/officeDocument/2006/relationships/image" Target="media/c5023ab2158c5dc756f3d4261480ca2bfb0346d5.png"/><Relationship Id="rId17" Type="http://schemas.openxmlformats.org/officeDocument/2006/relationships/fontTable" Target="fontTable.xml"/><Relationship Id="rId18" Type="http://schemas.openxmlformats.org/officeDocument/2006/relationships/image" Target="media/image1.jpeg"/><Relationship Id="rId19" Type="http://schemas.openxmlformats.org/officeDocument/2006/relationships/header" Target="header2.xml"/><Relationship Id="rId20" Type="http://schemas.openxmlformats.org/officeDocument/2006/relationships/header" Target="header1_cover1.xml"/><Relationship Id="rId21" Type="http://schemas.openxmlformats.org/officeDocument/2006/relationships/footer" Target="footer3.xml"/><Relationship Id="rId22" Type="http://schemas.openxmlformats.org/officeDocument/2006/relationships/header" Target="header3.xml"/><Relationship Id="rId23" Type="http://schemas.openxmlformats.org/officeDocument/2006/relationships/image" Target="media/image4.png"/><Relationship Id="rId24" Type="http://schemas.openxmlformats.org/officeDocument/2006/relationships/footer" Target="footer2_cover1.xml"/><Relationship Id="rId25" Type="http://schemas.openxmlformats.org/officeDocument/2006/relationships/image" Target="media/image3.jpeg"/><Relationship Id="rId26" Type="http://schemas.openxmlformats.org/officeDocument/2006/relationships/image" Target="media/image2.jpeg"/><Relationship Id="rId27" Type="http://schemas.openxmlformats.org/officeDocument/2006/relationships/footer" Target="footer1_cov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2026-05-08T06:25:38.858Z</dcterms:created>
  <dcterms:modified xsi:type="dcterms:W3CDTF">2026-05-08T06:25:38.858Z</dcterms:modified>
</cp:coreProperties>
</file>

<file path=docProps/custom.xml><?xml version="1.0" encoding="utf-8"?>
<Properties xmlns="http://schemas.openxmlformats.org/officeDocument/2006/custom-properties" xmlns:vt="http://schemas.openxmlformats.org/officeDocument/2006/docPropsVTypes"/>
</file>