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60" w:before="60" w:line="384.00000000000006" w:lineRule="auto"/>
        <w:rPr>
          <w:b w:val="1"/>
          <w:color w:val="000000"/>
          <w:sz w:val="31"/>
          <w:szCs w:val="31"/>
        </w:rPr>
      </w:pPr>
      <w:bookmarkStart w:colFirst="0" w:colLast="0" w:name="_lju34cmpp068" w:id="0"/>
      <w:bookmarkEnd w:id="0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Natural philosophy</w:t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rPr>
          <w:i w:val="1"/>
          <w:color w:val="3366cc"/>
          <w:sz w:val="21"/>
          <w:szCs w:val="21"/>
        </w:rPr>
      </w:pP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Main article: </w:t>
      </w:r>
      <w:hyperlink r:id="rId6">
        <w:r w:rsidDel="00000000" w:rsidR="00000000" w:rsidRPr="00000000">
          <w:rPr>
            <w:i w:val="1"/>
            <w:color w:val="3366cc"/>
            <w:sz w:val="21"/>
            <w:szCs w:val="21"/>
            <w:rtl w:val="0"/>
          </w:rPr>
          <w:t xml:space="preserve">Natural philosophy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auto" w:space="5" w:sz="0" w:val="none"/>
        </w:pBdr>
        <w:shd w:fill="ffffff" w:val="clear"/>
        <w:spacing w:before="100" w:lineRule="auto"/>
        <w:rPr>
          <w:color w:val="3366cc"/>
          <w:sz w:val="28"/>
          <w:szCs w:val="28"/>
          <w:vertAlign w:val="superscript"/>
        </w:rPr>
      </w:pPr>
      <w:hyperlink r:id="rId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Natural philosophy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has its origins in </w:t>
      </w:r>
      <w:hyperlink r:id="rId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Greece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during the </w:t>
      </w:r>
      <w:hyperlink r:id="rId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Archaic period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(650 BCE – 480 BCE), when </w:t>
      </w:r>
      <w:hyperlink r:id="rId10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pre-Socratic philosophers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like </w:t>
      </w:r>
      <w:hyperlink r:id="rId1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Thales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rejected </w:t>
      </w:r>
      <w:hyperlink r:id="rId12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non-naturalistic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explanations for natural phenomena and proclaimed that every event had a natural cause.</w:t>
      </w:r>
      <w:hyperlink r:id="rId13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[14]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They proposed ideas verified by reason and observation, and many of their hypotheses proved successful in experiment;</w:t>
      </w:r>
      <w:hyperlink r:id="rId14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[15]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for example, </w:t>
      </w:r>
      <w:hyperlink r:id="rId15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atomism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was found to be correct approximately 2000 years after it was proposed by </w:t>
      </w:r>
      <w:hyperlink r:id="rId1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Leucippus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and his pupil </w:t>
      </w:r>
      <w:hyperlink r:id="rId1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Democritus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  <w:hyperlink r:id="rId18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[16]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6" w:sz="0" w:val="none"/>
          <w:bottom w:color="auto" w:space="0" w:sz="0" w:val="none"/>
        </w:pBdr>
        <w:shd w:fill="ffffff" w:val="clear"/>
        <w:spacing w:after="60" w:before="60" w:line="384.00000000000006" w:lineRule="auto"/>
        <w:rPr>
          <w:b w:val="1"/>
          <w:color w:val="000000"/>
          <w:sz w:val="31"/>
          <w:szCs w:val="31"/>
        </w:rPr>
      </w:pPr>
      <w:bookmarkStart w:colFirst="0" w:colLast="0" w:name="_ub74loevqfj" w:id="1"/>
      <w:bookmarkEnd w:id="1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Medieval European and Islamic</w:t>
      </w:r>
    </w:p>
    <w:p w:rsidR="00000000" w:rsidDel="00000000" w:rsidP="00000000" w:rsidRDefault="00000000" w:rsidRPr="00000000" w14:paraId="00000005">
      <w:pPr>
        <w:shd w:fill="ffffff" w:val="clear"/>
        <w:spacing w:after="120" w:lineRule="auto"/>
        <w:rPr>
          <w:i w:val="1"/>
          <w:color w:val="3366cc"/>
          <w:sz w:val="21"/>
          <w:szCs w:val="21"/>
        </w:rPr>
      </w:pP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Main articles: </w:t>
      </w:r>
      <w:hyperlink r:id="rId19">
        <w:r w:rsidDel="00000000" w:rsidR="00000000" w:rsidRPr="00000000">
          <w:rPr>
            <w:i w:val="1"/>
            <w:color w:val="3366cc"/>
            <w:sz w:val="21"/>
            <w:szCs w:val="21"/>
            <w:rtl w:val="0"/>
          </w:rPr>
          <w:t xml:space="preserve">European science in the Middle Ages</w:t>
        </w:r>
      </w:hyperlink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 and </w:t>
      </w:r>
      <w:hyperlink r:id="rId20">
        <w:r w:rsidDel="00000000" w:rsidR="00000000" w:rsidRPr="00000000">
          <w:rPr>
            <w:i w:val="1"/>
            <w:color w:val="3366cc"/>
            <w:sz w:val="21"/>
            <w:szCs w:val="21"/>
            <w:rtl w:val="0"/>
          </w:rPr>
          <w:t xml:space="preserve">Physics in the medieval Islamic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uto" w:space="5" w:sz="0" w:val="none"/>
        </w:pBdr>
        <w:shd w:fill="ffffff" w:val="clear"/>
        <w:spacing w:before="100" w:lineRule="auto"/>
        <w:rPr>
          <w:color w:val="3366cc"/>
          <w:sz w:val="28"/>
          <w:szCs w:val="28"/>
          <w:vertAlign w:val="superscript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The </w:t>
      </w:r>
      <w:hyperlink r:id="rId2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Western Roman Empire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fell in the fifth century, and this resulted in a decline in intellectual pursuits in the western part of Europe. By contrast, the Eastern Roman Empire (usually known as the </w:t>
      </w:r>
      <w:hyperlink r:id="rId22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Byzantine Empire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) resisted the attacks from the barbarians, and continued to advance various fields of learning, including physics.</w:t>
      </w:r>
      <w:hyperlink r:id="rId23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[17]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auto" w:space="5" w:sz="0" w:val="none"/>
        </w:pBdr>
        <w:shd w:fill="ffffff" w:val="clear"/>
        <w:spacing w:before="100" w:lineRule="auto"/>
        <w:rPr>
          <w:color w:val="3366cc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In the sixth century, </w:t>
      </w:r>
      <w:hyperlink r:id="rId24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Isidore of Miletus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created an important compilation of </w:t>
      </w:r>
      <w:hyperlink r:id="rId25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Archimedes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' works that are copied in the </w:t>
      </w:r>
      <w:hyperlink r:id="rId2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Archimedes Palimpsest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Physics_in_the_medieval_Islamic_world" TargetMode="External"/><Relationship Id="rId22" Type="http://schemas.openxmlformats.org/officeDocument/2006/relationships/hyperlink" Target="https://en.wikipedia.org/wiki/Byzantine_Empire" TargetMode="External"/><Relationship Id="rId21" Type="http://schemas.openxmlformats.org/officeDocument/2006/relationships/hyperlink" Target="https://en.wikipedia.org/wiki/Western_Roman_Empire" TargetMode="External"/><Relationship Id="rId24" Type="http://schemas.openxmlformats.org/officeDocument/2006/relationships/hyperlink" Target="https://en.wikipedia.org/wiki/Isidore_of_Miletus" TargetMode="External"/><Relationship Id="rId23" Type="http://schemas.openxmlformats.org/officeDocument/2006/relationships/hyperlink" Target="https://en.wikipedia.org/wiki/Physics#cite_note-FOOTNOTELindberg1992363-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Archaic_Greece" TargetMode="External"/><Relationship Id="rId26" Type="http://schemas.openxmlformats.org/officeDocument/2006/relationships/hyperlink" Target="https://en.wikipedia.org/wiki/Archimedes_Palimpsest" TargetMode="External"/><Relationship Id="rId25" Type="http://schemas.openxmlformats.org/officeDocument/2006/relationships/hyperlink" Target="https://en.wikipedia.org/wiki/Archimedes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Natural_philosophy" TargetMode="External"/><Relationship Id="rId7" Type="http://schemas.openxmlformats.org/officeDocument/2006/relationships/hyperlink" Target="https://en.wikipedia.org/wiki/Natural_philosophy" TargetMode="External"/><Relationship Id="rId8" Type="http://schemas.openxmlformats.org/officeDocument/2006/relationships/hyperlink" Target="https://en.wikipedia.org/wiki/Greece" TargetMode="External"/><Relationship Id="rId11" Type="http://schemas.openxmlformats.org/officeDocument/2006/relationships/hyperlink" Target="https://en.wikipedia.org/wiki/Thales" TargetMode="External"/><Relationship Id="rId10" Type="http://schemas.openxmlformats.org/officeDocument/2006/relationships/hyperlink" Target="https://en.wikipedia.org/wiki/Presocratics" TargetMode="External"/><Relationship Id="rId13" Type="http://schemas.openxmlformats.org/officeDocument/2006/relationships/hyperlink" Target="https://en.wikipedia.org/wiki/Physics#cite_note-singer2008p35-17" TargetMode="External"/><Relationship Id="rId12" Type="http://schemas.openxmlformats.org/officeDocument/2006/relationships/hyperlink" Target="https://en.wikipedia.org/wiki/Methodological_naturalism" TargetMode="External"/><Relationship Id="rId15" Type="http://schemas.openxmlformats.org/officeDocument/2006/relationships/hyperlink" Target="https://en.wikipedia.org/wiki/Atomism" TargetMode="External"/><Relationship Id="rId14" Type="http://schemas.openxmlformats.org/officeDocument/2006/relationships/hyperlink" Target="https://en.wikipedia.org/wiki/Physics#cite_note-lloyd1970pp108-109-18" TargetMode="External"/><Relationship Id="rId17" Type="http://schemas.openxmlformats.org/officeDocument/2006/relationships/hyperlink" Target="https://en.wikipedia.org/wiki/Democritus" TargetMode="External"/><Relationship Id="rId16" Type="http://schemas.openxmlformats.org/officeDocument/2006/relationships/hyperlink" Target="https://en.wikipedia.org/wiki/Leucippus" TargetMode="External"/><Relationship Id="rId19" Type="http://schemas.openxmlformats.org/officeDocument/2006/relationships/hyperlink" Target="https://en.wikipedia.org/wiki/European_science_in_the_Middle_Ages" TargetMode="External"/><Relationship Id="rId18" Type="http://schemas.openxmlformats.org/officeDocument/2006/relationships/hyperlink" Target="https://en.wikipedia.org/wiki/Physics#cite_note-about-atomism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