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FORTICO</w:t>
      </w:r>
    </w:p>
    <w:p>
      <w:pPr>
        <w:spacing w:after="600"/>
        <w:jc w:val="left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Documentation Firmware Embarqué</w:t>
      </w:r>
    </w:p>
    <w:p>
      <w:pPr>
        <w:pBdr>
          <w:bottom w:val="single" w:color="C1571F" w:sz="12" w:space="8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before="800"/>
      </w:pPr>
      <w:r>
        <w:rPr>
          <w:rFonts w:ascii="Calibri" w:cs="Calibri" w:eastAsia="Calibri" w:hAnsi="Calibri"/>
          <w:b/>
          <w:bCs/>
          <w:color w:val="C1571F"/>
          <w:sz w:val="24"/>
          <w:szCs w:val="24"/>
        </w:rPr>
        <w:t xml:space="preserve">Document 03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Coding Standard</w:t>
      </w:r>
    </w:p>
    <w:p>
      <w:pPr>
        <w:spacing w:after="1600"/>
      </w:pPr>
      <w:r>
        <w:rPr>
          <w:rFonts w:ascii="Calibri" w:cs="Calibri" w:eastAsia="Calibri" w:hAnsi="Calibri"/>
          <w:color w:val="3E5C76"/>
          <w:sz w:val="26"/>
          <w:szCs w:val="26"/>
        </w:rPr>
        <w:t xml:space="preserve">Règles de style, nommage, structure de fichiers et gestion d'erreurs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Version : 1.2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Date : 12 juillet 2026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Classification : Usage interne — Équipe Ingénierie Fortico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Source de vérité matérielle : Pinout ESP32 V4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Objet et portée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Ce standard s'applique à l'ensemble du code C++ (Arduino via PlatformIO, framework=arduino — décision du 12/07/2026, voir Sprint 0 v4.0 §2) du firmware Fortico, toutes couches confondues (L0 à L5, document 02). Il est contrôlé en revue de Pull Request — voir document 01, §4.3.</w:t>
      </w:r>
    </w:p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[CHANGEMENT v1.2] Framework Arduino confirmé (pas ESP-IDF natif). FreeRTOS reste identique en dessous (Arduino-ESP32 s'exécute au-dessus d'ESP-IDF) — aucune règle de ce document liée aux tâches/files/mutex n'est affectée. Ce qui change : le point d'entrée (setup()/loop() au lieu d'app_main()), et l'API interne des composants HAL (Document Sprint 1 v2.0).</w:t>
      </w:r>
    </w:p>
    <w:p>
      <w:pPr>
        <w:pStyle w:val="Heading1"/>
        <w:spacing w:after="200" w:before="400"/>
      </w:pPr>
      <w:r>
        <w:t xml:space="preserve">2. Conventions de nommage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0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Classe / structure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PascalCase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RelayManager, class Sim7600Driver, struct GpsData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Fichier d'en-tête / source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snake_case, un dossier par composant (nom = nom de classe en snake_case), .h et .cpp côte à côte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managers/relay_manager/relay_manager.h + .cpp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Méthode publique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camelCase, verbe d'action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engageRelay(), readUid()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Variable membre privée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préfixe _ + camelCase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_lastFixTimestamp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Constante / macro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MAJUSCULES_SNAKE_CASE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RELAY_GPIO, WDT_TIMEOUT_MS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PascalCase pour le type, MAJUSCULES pour les valeurs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 class RelayCmd { ENGAGE, CUT, EMERGENCY_CUT }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Queue FreeRTOS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préfixe q_ + camelCase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q_relayCmd, q_gpsFix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Tâche FreeRTOS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suffixe Task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RelayManagerTask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Mutex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suffixe Mutex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i2cBusMutex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préfixe I + PascalCase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IDriver, IService, IManager, IEventListener</w:t>
            </w:r>
          </w:p>
        </w:tc>
      </w:tr>
    </w:tbl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Convention définitive (12/07/2026, alignée sur l'arborescence de référence — Sprint 0 §4.1) : classes en PascalCase, fichiers en snake_case, un dossier par composant sous drivers/, managers/, services/, app/, core/, hal/.</w:t>
      </w:r>
    </w:p>
    <w:p>
      <w:pPr>
        <w:pStyle w:val="Heading1"/>
        <w:spacing w:after="200" w:before="400"/>
      </w:pPr>
      <w:r>
        <w:t xml:space="preserve">3. Structure d'un fichier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fichier .h par classe, header guard `#pragma once` obligatoire, dans le dossier de son composant (ex. managers/relay_manager/).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fichier .cpp côte à côte pour l'implémentation — jamais de logique dans le .h hors constantes/inline triviaux.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Ordre des inclusions : (1) en-tête associé, (2) bibliothèques standard C++, (3) Arduino.h + bibliothèques Arduino-ESP32 (Wire, SPI, HardwareSerial…), (4) en-têtes internes du projet (config/, interfaces/, types/), chaque groupe séparé par une ligne vide.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Chaque classe implémente l'interface de sa couche (IDriver, IService ou IManager, include/interfaces/) et expose une interface minimale ; les détails d'implémentation sont privés.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#pragma once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#include &lt;cstdint&gt;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#include &lt;Arduino.h&gt;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#include &lt;freertos/FreeRTOS.h&gt;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#include &lt;freertos/queue.h&gt;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#include "config/pin_config.h"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#include "core/event_bus.h"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#include "interfaces/imanager.h"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class RelayManager : public IManager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init() override;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handleCommand(const RelayCmd&amp; cmd);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private: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applyGpio(bool engage);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QueueHandle_t _cmdQueue;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&lt;freertos/FreeRTOS.h&gt; et &lt;freertos/queue.h&gt; restent accessibles tels quels sous Arduino-ESP32 : le cœur Arduino-ESP32 expose directement les en-têtes FreeRTOS d'ESP-IDF sous-jacents, sans changement de chemin d'inclusion.</w:t>
      </w:r>
    </w:p>
    <w:p>
      <w:pPr>
        <w:pStyle w:val="Heading1"/>
        <w:spacing w:after="200" w:before="400"/>
      </w:pPr>
      <w:r>
        <w:t xml:space="preserve">4. Gestion des erreurs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Aucune exception C++ (désactivées par défaut sur cible embarquée) — utiliser des codes de retour ou des `enum class Result` (voir constants::ErrorCode, include/constants/errors.h).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Toute fonction d'accès à un bus (I2C/SPI/UART) retourne un statut explicite et ne bloque jamais indéfiniment (timeout obligatoire, voir document 04, §3).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Les erreurs critiques (relais, watchdog, sécurité) sont journalisées avec la sévérité HIGH via le Logger avant toute action corrective.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 jamais avaler silencieusement une erreur (`if (err) {}` vide est interdit en revue de code).</w:t>
      </w:r>
    </w:p>
    <w:p>
      <w:pPr>
        <w:pStyle w:val="Heading1"/>
        <w:spacing w:after="200" w:before="400"/>
      </w:pPr>
      <w:r>
        <w:t xml:space="preserve">5. Règles temps-réel et concurrence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6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de boucle bloquante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Interdiction de delay() et de while(!condition) sans vTaskDelay ni timeout — voir SOP §3.1. [RAPPEL v1.2] delay() existe nativement en Arduino, contrairement à ESP-IDF pur où elle est absente : l'interdiction doit être activement surveillée en revue de code.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Sections critiques courtes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 prise de mutex (ex. i2cBusMutex) doit être libérée en moins de 20 ms.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d'allocation dynamique en tâche temps-réel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Préférer des buffers statiques ou des pools pré-alloués dans RelayManagerTask et AuthenticationManagerTask.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Feed watchdog explicite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 tâche enregistrée auprès de esp_task_wdt doit appeler le feed à chaque itération de sa boucle — esp_task_wdt.h reste accessible sous Arduino-ESP32.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de Serial.print()/printf en production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Utiliser exclusivement le Logger (niveau configurable, désactivable via CORE_DEBUG_LEVEL=0).</w:t>
            </w:r>
          </w:p>
        </w:tc>
      </w:tr>
    </w:tbl>
    <w:p>
      <w:pPr>
        <w:pStyle w:val="Heading1"/>
        <w:spacing w:after="200" w:before="400"/>
      </w:pPr>
      <w:r>
        <w:t xml:space="preserve">6. Gestion des secrets et de la mémoire sensible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 secret (identifiant Wi-Fi, token MQTT, clé de chiffrement) ne doit apparaître en constante littérale dans le code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Tout secret est lu depuis la NVS chiffrée via CredentialsManager — sous Arduino-ESP32, la bibliothèque Preferences (basée sur NVS) est l'implémentation idiomatique recommandée pour NvsHal (voir document Sprint 1 v2.0 §3.9).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Tout buffer contenant un secret est explicitement effacé (`memset` volatile) immédiatement après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Interdiction absolue de logger un secret, même en niveau debug.</w:t>
      </w:r>
    </w:p>
    <w:p>
      <w:pPr>
        <w:pStyle w:val="Heading1"/>
        <w:spacing w:after="200" w:before="400"/>
      </w:pPr>
      <w:r>
        <w:t xml:space="preserve">7. Commentaires et documentation en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Commentaire d'en-tête de fichier obligatoire : responsabilité de la classe, dépendances matérielles, renvoi vers le document de référence (ex. « voir Pinout V4, GPIO21/22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Toute décision non triviale (timeout, seuil, backoff) est commentée avec sa justification, pas seulement sa valeur.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Les TODO doivent référencer un ticket Trello : `// TODO(TRELLO-123): ...`.</w:t>
      </w:r>
    </w:p>
    <w:p>
      <w:pPr>
        <w:pStyle w:val="Heading1"/>
        <w:spacing w:after="200" w:before="400"/>
      </w:pPr>
      <w:r>
        <w:t xml:space="preserve">8. Workflow Git / GitHub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Branches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branche par fonctionnalité ou correctif, nommée feature/&lt;sujet&gt; ou fix/&lt;sujet&gt;.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Commits</w:t>
            </w:r>
          </w:p>
        </w:tc>
        <w:tc>
          <w:tcPr>
            <w:tcW w:type="dxa" w:w="6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impératif court + corps optionnel expliquant le pourquoi, pas le quoi.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Revue obligatoire avant merge — critères au document 01, §4.3.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 locale minimale</w:t>
            </w:r>
          </w:p>
        </w:tc>
        <w:tc>
          <w:tcPr>
            <w:tcW w:type="dxa" w:w="6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Compilation PlatformIO propre + exécution des tests natifs (document 11) avant toute PR.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binaire signé n'est déposé sur Trello qu'après merge validé sur la branche principale.</w:t>
            </w:r>
          </w:p>
        </w:tc>
      </w:tr>
    </w:tbl>
    <w:p>
      <w:pPr>
        <w:pStyle w:val="Heading1"/>
        <w:spacing w:after="200" w:before="400"/>
      </w:pPr>
      <w:r>
        <w:t xml:space="preserve">9. Style de formatage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Indentation : 4 espaces, pas de tabulations.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Accolades ouvrantes sur la même ligne que la déclaration (style Allman non utilisé).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Longueur de ligne indicative : 100 caractères.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`.clang-format` de référence est fourni à la racine du dépôt et doit être appliqué avant tout commit.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/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FORTICO — Document 03 — Coding 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571F" w:sz="6" w:space="4"/>
      </w:pBdr>
      <w:spacing w:after="200" w:before="40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E5C7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C157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2026-07-24T07:28:49.354Z</dcterms:created>
  <dcterms:modified xsi:type="dcterms:W3CDTF">2026-07-24T07:28:49.354Z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