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jc w:val="left"/>
      </w:pPr>
      <w:r>
        <w:rPr>
          <w:rFonts w:ascii="Calibri" w:cs="Calibri" w:eastAsia="Calibri" w:hAnsi="Calibri"/>
          <w:b/>
          <w:bCs/>
          <w:color w:val="1B2A4A"/>
          <w:sz w:val="30"/>
          <w:szCs w:val="30"/>
        </w:rPr>
        <w:t xml:space="preserve">FORTICO</w:t>
      </w:r>
    </w:p>
    <w:p>
      <w:pPr>
        <w:spacing w:after="600"/>
        <w:jc w:val="left"/>
      </w:pPr>
      <w:r>
        <w:rPr>
          <w:rFonts w:ascii="Calibri" w:cs="Calibri" w:eastAsia="Calibri" w:hAnsi="Calibri"/>
          <w:i/>
          <w:iCs/>
          <w:color w:val="5A5A5A"/>
          <w:sz w:val="22"/>
          <w:szCs w:val="22"/>
        </w:rPr>
        <w:t xml:space="preserve">Documentation Firmware Embarqué</w:t>
      </w:r>
    </w:p>
    <w:p>
      <w:pPr>
        <w:pBdr>
          <w:bottom w:val="single" w:color="C1571F" w:sz="12" w:space="8"/>
        </w:pBdr>
        <w:spacing w:after="400"/>
      </w:pPr>
      <w:r>
        <w:rPr>
          <w:sz w:val="2"/>
          <w:szCs w:val="2"/>
        </w:rPr>
        <w:t xml:space="preserve"/>
      </w:r>
    </w:p>
    <w:p>
      <w:pPr>
        <w:spacing w:before="800"/>
      </w:pPr>
      <w:r>
        <w:rPr>
          <w:rFonts w:ascii="Calibri" w:cs="Calibri" w:eastAsia="Calibri" w:hAnsi="Calibri"/>
          <w:b/>
          <w:bCs/>
          <w:color w:val="C1571F"/>
          <w:sz w:val="24"/>
          <w:szCs w:val="24"/>
        </w:rPr>
        <w:t xml:space="preserve">Sprint 1</w:t>
      </w:r>
    </w:p>
    <w:p>
      <w:pPr>
        <w:spacing w:after="200" w:before="100"/>
      </w:pPr>
      <w:r>
        <w:rPr>
          <w:rFonts w:ascii="Calibri" w:cs="Calibri" w:eastAsia="Calibri" w:hAnsi="Calibri"/>
          <w:b/>
          <w:bCs/>
          <w:color w:val="1B2A4A"/>
          <w:sz w:val="44"/>
          <w:szCs w:val="44"/>
        </w:rPr>
        <w:t xml:space="preserve">HAL — Développement de la couche d'abstraction matérielle</w:t>
      </w:r>
    </w:p>
    <w:p>
      <w:pPr>
        <w:spacing w:after="1600"/>
      </w:pPr>
      <w:r>
        <w:rPr>
          <w:rFonts w:ascii="Calibri" w:cs="Calibri" w:eastAsia="Calibri" w:hAnsi="Calibri"/>
          <w:color w:val="3E5C76"/>
          <w:sz w:val="26"/>
          <w:szCs w:val="26"/>
        </w:rPr>
        <w:t xml:space="preserve">GPIO, UART, SPI, I2C, ADC, PWM, Timer, Flash, NVS, RTC interne — implémentation Arduino-ESP32</w:t>
      </w:r>
    </w:p>
    <w:p>
      <w:r>
        <w:rPr>
          <w:rFonts w:ascii="Calibri" w:cs="Calibri" w:eastAsia="Calibri" w:hAnsi="Calibri"/>
          <w:color w:val="1A1A1A"/>
          <w:sz w:val="20"/>
          <w:szCs w:val="20"/>
        </w:rPr>
        <w:t xml:space="preserve">Version : 2.0</w:t>
      </w:r>
    </w:p>
    <w:p>
      <w:r>
        <w:rPr>
          <w:rFonts w:ascii="Calibri" w:cs="Calibri" w:eastAsia="Calibri" w:hAnsi="Calibri"/>
          <w:color w:val="1A1A1A"/>
          <w:sz w:val="20"/>
          <w:szCs w:val="20"/>
        </w:rPr>
        <w:t xml:space="preserve">Date : 12 juillet 2026</w:t>
      </w:r>
    </w:p>
    <w:p>
      <w:r>
        <w:rPr>
          <w:rFonts w:ascii="Calibri" w:cs="Calibri" w:eastAsia="Calibri" w:hAnsi="Calibri"/>
          <w:color w:val="1A1A1A"/>
          <w:sz w:val="20"/>
          <w:szCs w:val="20"/>
        </w:rPr>
        <w:t xml:space="preserve">Classification : Usage interne — Équipe Ingénierie Fortico</w:t>
      </w:r>
    </w:p>
    <w:p>
      <w:r>
        <w:rPr>
          <w:rFonts w:ascii="Calibri" w:cs="Calibri" w:eastAsia="Calibri" w:hAnsi="Calibri"/>
          <w:color w:val="1A1A1A"/>
          <w:sz w:val="20"/>
          <w:szCs w:val="20"/>
        </w:rPr>
        <w:t xml:space="preserve">Source de vérité matérielle : Pinout ESP32 V4</w:t>
      </w:r>
    </w:p>
    <w:p>
      <w:r>
        <w:br w:type="page"/>
      </w:r>
    </w:p>
    <w:p>
      <w:pPr>
        <w:pStyle w:val="Heading1"/>
      </w:pPr>
      <w:r>
        <w:t xml:space="preserve">Table des matières</w:t>
      </w:r>
    </w:p>
    <w:sdt>
      <w:sdtPr>
        <w:alias w:val="Table des matière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400"/>
      </w:pPr>
      <w:r>
        <w:t xml:space="preserve">1. Objet et objectifs du sprint</w:t>
      </w:r>
    </w:p>
    <w:p>
      <w:pPr>
        <w:spacing w:after="160"/>
      </w:pPr>
      <w:r>
        <w:rPr>
          <w:rFonts w:ascii="Calibri" w:cs="Calibri" w:eastAsia="Calibri" w:hAnsi="Calibri"/>
          <w:sz w:val="21"/>
          <w:szCs w:val="21"/>
        </w:rPr>
        <w:t xml:space="preserve">Le Sprint 0 a figé l'environnement, l'arborescence et les fichiers de configuration. Le Sprint 1 construit la couche L1 — HAL (Hardware Abstraction Layer) : des wrappers génériques et réutilisables autour des périphériques, sans aucune connaissance du périphérique métier final (GPS, RFID, relais…).</w:t>
      </w:r>
    </w:p>
    <w:p>
      <w:pPr>
        <w:pBdr>
          <w:left w:val="single" w:color="3E5C76" w:sz="24"/>
        </w:pBdr>
        <w:shd w:fill="EAF1F8" w:val="clear"/>
        <w:spacing w:after="200" w:before="150"/>
        <w:ind w:left="200"/>
      </w:pPr>
      <w:r>
        <w:rPr>
          <w:rFonts w:ascii="Calibri" w:cs="Calibri" w:eastAsia="Calibri" w:hAnsi="Calibri"/>
          <w:b/>
          <w:bCs/>
          <w:color w:val="3E5C76"/>
          <w:sz w:val="20"/>
          <w:szCs w:val="20"/>
        </w:rPr>
        <w:t xml:space="preserve">NOTE —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Révision 2.0 — Framework Arduino confirmé (12/07/2026, Sprint 0 v4.0). Les signatures des 10 composants HAL définies en v1.0 restent IDENTIQUES ; seule change l'implémentation interne (.cpp), qui s'appuie désormais sur l'API Arduino-ESP32 plutôt que sur les drivers ESP-IDF natifs. Un driver L2 écrit contre ces signatures HAL n'a rien à changer.</w:t>
      </w:r>
    </w:p>
    <w:p>
      <w:pPr>
        <w:spacing w:after="160"/>
      </w:pPr>
      <w:r>
        <w:rPr>
          <w:rFonts w:ascii="Calibri" w:cs="Calibri" w:eastAsia="Calibri" w:hAnsi="Calibri"/>
          <w:sz w:val="21"/>
          <w:szCs w:val="21"/>
        </w:rPr>
        <w:t xml:space="preserve">Durée indicative : 1 à 2 semaines selon la répartition entre les 3 stagiaires. Responsable : Lead Firmware.</w:t>
      </w:r>
    </w:p>
    <w:p>
      <w:pPr>
        <w:pStyle w:val="Heading1"/>
        <w:spacing w:after="200" w:before="400"/>
      </w:pPr>
      <w:r>
        <w:t xml:space="preserve">2. Clarifications préalables (ambiguïtés levées)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3200"/>
      </w:tblGrid>
      <w:tr>
        <w:trPr>
          <w:tblHeader/>
        </w:trPr>
        <w:tc>
          <w:tcPr>
            <w:tcW w:type="dxa" w:w="2000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Point</w:t>
            </w:r>
          </w:p>
        </w:tc>
        <w:tc>
          <w:tcPr>
            <w:tcW w:type="dxa" w:w="3200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Ambiguïté</w:t>
            </w:r>
          </w:p>
        </w:tc>
        <w:tc>
          <w:tcPr>
            <w:tcW w:type="dxa" w:w="3200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Résolution retenue</w:t>
            </w:r>
          </w:p>
        </w:tc>
      </w:tr>
      <w:tr>
        <w:tc>
          <w:tcPr>
            <w:tcW w:type="dxa" w:w="20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RtcHal — portée fonctionnelle</w:t>
            </w:r>
          </w:p>
        </w:tc>
        <w:tc>
          <w:tcPr>
            <w:tcW w:type="dxa" w:w="3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L'UML source donne à RtcHal les mêmes méthodes que RtcDriver (init/getTime/setTime), ce qui laisse penser à un doublon avec le driver DS3231 (L2)</w:t>
            </w:r>
          </w:p>
        </w:tc>
        <w:tc>
          <w:tcPr>
            <w:tcW w:type="dxa" w:w="3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RtcHal encapsule UNIQUEMENT le temps interne de l'ESP32 (millis()/micros() natifs Arduino — voir §3.10). RtcDriver (L2) reste seul responsable de l'heure murale (DateTime complet) via la puce externe DS3231.</w:t>
            </w:r>
          </w:p>
        </w:tc>
      </w:tr>
      <w:tr>
        <w:tc>
          <w:tcPr>
            <w:tcW w:type="dxa" w:w="20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NvsHal — signature read() incohérente</w:t>
            </w:r>
          </w:p>
        </w:tc>
        <w:tc>
          <w:tcPr>
            <w:tcW w:type="dxa" w:w="32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L'UML montre set(ns,key,data,len) mais read(addr,buf,len) — paramètres non alignés</w:t>
            </w:r>
          </w:p>
        </w:tc>
        <w:tc>
          <w:tcPr>
            <w:tcW w:type="dxa" w:w="32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Corrigé en read(ns,key,buf,len) par symétrie avec set() ; voir §3.9. [v2.0] Implémentation via la bibliothèque Preferences (Arduino-ESP32), pas nvs.h directement.</w:t>
            </w:r>
          </w:p>
        </w:tc>
      </w:tr>
    </w:tbl>
    <w:p>
      <w:pPr>
        <w:pStyle w:val="Heading1"/>
        <w:spacing w:after="200" w:before="400"/>
      </w:pPr>
      <w:r>
        <w:t xml:space="preserve">3. Composants HAL à livrer</w:t>
      </w:r>
    </w:p>
    <w:p>
      <w:pPr>
        <w:spacing w:after="160"/>
      </w:pPr>
      <w:r>
        <w:rPr>
          <w:rFonts w:ascii="Calibri" w:cs="Calibri" w:eastAsia="Calibri" w:hAnsi="Calibri"/>
          <w:sz w:val="21"/>
          <w:szCs w:val="21"/>
        </w:rPr>
        <w:t xml:space="preserve">Chaque composant vit dans hal/&lt;nom&gt;/&lt;nom&gt;_hal.h + .cpp (Sprint 0 §4.1). Contrairement aux drivers L2 (qui implémentent tous IDriver), les composants HAL n'ont pas d'interface commune : leurs opérations sont trop spécifiques à chaque type de bus pour qu'un contrat unique ait du sens. Chaque HAL expose au minimum un `init()` retournant un statut, et ne lève jamais d'exception (SOP §3.1/§3.2, cohérent avec le reste du firmware).</w:t>
      </w:r>
    </w:p>
    <w:p>
      <w:pPr>
        <w:pStyle w:val="Heading2"/>
        <w:spacing w:after="150" w:before="300"/>
      </w:pPr>
      <w:r>
        <w:t xml:space="preserve">3.1 GpioHal (hal/gpio/)</w:t>
      </w:r>
    </w:p>
    <w:p>
      <w:pPr>
        <w:pBdr>
          <w:top w:val="single" w:color="1E1E1E" w:sz="2"/>
          <w:bottom w:val="single" w:color="1E1E1E" w:sz="2"/>
          <w:left w:val="single" w:color="1E1E1E" w:sz="2"/>
          <w:right w:val="single" w:color="1E1E1E" w:sz="2"/>
        </w:pBdr>
        <w:shd w:fill="1E1E1E" w:val="clear"/>
        <w:spacing w:after="200" w:before="12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class GpioHal {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public: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    bool init(uint8_t pin, GpioMode mode);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    void write(uint8_t pin, bool value);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    bool read(uint8_t pin);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    bool attachInterrupt(uint8_t pin, GpioIsr isr, GpioIntrType type);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};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[v2.0] S'appuie sur l'API Arduino-ESP32 core : pinMode(), digitalWrite(), digitalRead(), attachInterrupt()/attachInterruptArg().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Consommateurs directs : RelayDriver, ButtonDriver, LedDriver (mode simple), FuelDriver (si sortie d'activation capteur).</w:t>
      </w:r>
    </w:p>
    <w:p>
      <w:pPr>
        <w:pStyle w:val="Heading2"/>
        <w:spacing w:after="150" w:before="300"/>
      </w:pPr>
      <w:r>
        <w:t xml:space="preserve">3.2 UartHal (hal/uart/)</w:t>
      </w:r>
    </w:p>
    <w:p>
      <w:pPr>
        <w:pBdr>
          <w:top w:val="single" w:color="1E1E1E" w:sz="2"/>
          <w:bottom w:val="single" w:color="1E1E1E" w:sz="2"/>
          <w:left w:val="single" w:color="1E1E1E" w:sz="2"/>
          <w:right w:val="single" w:color="1E1E1E" w:sz="2"/>
        </w:pBdr>
        <w:shd w:fill="1E1E1E" w:val="clear"/>
        <w:spacing w:after="200" w:before="12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class UartHal {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public: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    bool init(uint8_t uartNum, uint32_t baud, int txPin, int rxPin);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    size_t write(const uint8_t* data, size_t len);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    size_t read(uint8_t* buf, size_t maxLen, uint32_t timeoutMs);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    int available();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};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[v2.0] S'appuie sur HardwareSerial (Arduino-ESP32 expose Serial1/Serial2 sur les UART matériels 1 et 2 ; .begin(baud, config, rxPin, txPin), .write(), .read(), .available()).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timeoutMs géré via HardwareSerial::setTimeout() avant chaque lecture bloquante bornée, ou lecture non bloquante avec available() en boucle courte sous vTaskDelay — jamais un readBytes() sans timeout configuré.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Consommateur unique : Sim7600Driver (canal AT partagé cellulaire+GNSS, document 04 §5).</w:t>
      </w:r>
    </w:p>
    <w:p>
      <w:pPr>
        <w:pStyle w:val="Heading2"/>
        <w:spacing w:after="150" w:before="300"/>
      </w:pPr>
      <w:r>
        <w:t xml:space="preserve">3.3 SpiHal (hal/spi/)</w:t>
      </w:r>
    </w:p>
    <w:p>
      <w:pPr>
        <w:pBdr>
          <w:top w:val="single" w:color="1E1E1E" w:sz="2"/>
          <w:bottom w:val="single" w:color="1E1E1E" w:sz="2"/>
          <w:left w:val="single" w:color="1E1E1E" w:sz="2"/>
          <w:right w:val="single" w:color="1E1E1E" w:sz="2"/>
        </w:pBdr>
        <w:shd w:fill="1E1E1E" w:val="clear"/>
        <w:spacing w:after="200" w:before="12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class SpiHal {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public: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    bool init(int clkPin, int mosiPin, int misoPin, int csPin);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    bool transfer(const uint8_t* tx, uint8_t* rx, size_t len);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    bool write(const uint8_t* tx, size_t len);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    bool read(uint8_t* rx, size_t len);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};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[v2.0] S'appuie sur la bibliothèque SPI (classe SPIClass, .begin(clk,miso,mosi,cs), .beginTransaction()/.transfer()/.endTransaction()).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Consommateur unique : SdDriver (bus SPI exclusif, document 04 §1 — aucun partage à gérer ici, contrairement à I2cHal).</w:t>
      </w:r>
    </w:p>
    <w:p>
      <w:pPr>
        <w:pStyle w:val="Heading2"/>
        <w:spacing w:after="150" w:before="300"/>
      </w:pPr>
      <w:r>
        <w:t xml:space="preserve">3.4 I2cHal (hal/i2c/)</w:t>
      </w:r>
    </w:p>
    <w:p>
      <w:pPr>
        <w:pBdr>
          <w:top w:val="single" w:color="1E1E1E" w:sz="2"/>
          <w:bottom w:val="single" w:color="1E1E1E" w:sz="2"/>
          <w:left w:val="single" w:color="1E1E1E" w:sz="2"/>
          <w:right w:val="single" w:color="1E1E1E" w:sz="2"/>
        </w:pBdr>
        <w:shd w:fill="1E1E1E" w:val="clear"/>
        <w:spacing w:after="200" w:before="12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class I2cHal {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public: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    bool init(int sdaPin, int sclPin, uint32_t speedHz);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    bool write(uint8_t addr, const uint8_t* buf, size_t len, uint32_t timeoutMs);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    bool read(uint8_t addr, uint8_t* buf, size_t len, uint32_t timeoutMs);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    bool scan(uint8_t* foundAddrs, size_t maxAddrs, size_t* foundCount);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};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[v2.0] S'appuie sur la bibliothèque Wire (TwoWire, .begin(sda,scl,freq), .beginTransmission()/.write()/.endTransmission(), .requestFrom()/.read()).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timeoutMs géré via Wire.setTimeOut() (Arduino-ESP32 core expose cette méthode depuis les versions récentes) — à vérifier disponible sur la version de cœur figée en Sprint 0 ; sinon fallback sur une boucle bornée avec Timer::timeout() (utils/timer_utils.h).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Consommateurs : RtcDriver et RfidDriver (PN532), bus partagé sous i2cBusMutex — la prise/libération du mutex reste de la responsabilité du DRIVER (L2), pas d'I2cHal lui-même (document 04 §4).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scan() est un utilitaire de mise au point (Sprint 1, capture d'écran attendue montrant la détection des adresses 0x68 RTC et 0x24 PN532 sur le bus réel) — pas utilisé en production.</w:t>
      </w:r>
    </w:p>
    <w:p>
      <w:pPr>
        <w:pStyle w:val="Heading2"/>
        <w:spacing w:after="150" w:before="300"/>
      </w:pPr>
      <w:r>
        <w:t xml:space="preserve">3.5 AdcHal (hal/adc/)</w:t>
      </w:r>
    </w:p>
    <w:p>
      <w:pPr>
        <w:pBdr>
          <w:top w:val="single" w:color="1E1E1E" w:sz="2"/>
          <w:bottom w:val="single" w:color="1E1E1E" w:sz="2"/>
          <w:left w:val="single" w:color="1E1E1E" w:sz="2"/>
          <w:right w:val="single" w:color="1E1E1E" w:sz="2"/>
        </w:pBdr>
        <w:shd w:fill="1E1E1E" w:val="clear"/>
        <w:spacing w:after="200" w:before="12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class AdcHal {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public: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    bool init(uint8_t pin, uint8_t attenuationDb);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    uint16_t readRaw();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    uint32_t readMv();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    float readAvg(uint8_t samples);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};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[v2.0] S'appuie sur analogRead() (valeur brute) et analogReadMilliVolts() (Arduino-ESP32 core, conversion calibrée eFuse intégrée) — plus simple que l'API ESP-IDF adc_oneshot équivalente, aucune perte de précision (même calibration matérielle sous-jacente).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analogSetAttenuation()/analogSetPinAttenuation() pour configurer l'atténuation (ADC_ATTENUATION_DB, hardware_config.h).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readAvg() implémente le sur-échantillonnage ×16 requis par hardware_config.h (ADC_OVERSAMPLE_COUNT) — la logique de moyenne est ici, dans le HAL, pas dupliquée dans chaque driver ADC.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Consommateurs : BatteryDriver, TemperatureDriver, FuelDriver.</w:t>
      </w:r>
    </w:p>
    <w:p>
      <w:pPr>
        <w:pStyle w:val="Heading2"/>
        <w:spacing w:after="150" w:before="300"/>
      </w:pPr>
      <w:r>
        <w:t xml:space="preserve">3.6 PwmHal (hal/pwm/)</w:t>
      </w:r>
    </w:p>
    <w:p>
      <w:pPr>
        <w:pBdr>
          <w:top w:val="single" w:color="1E1E1E" w:sz="2"/>
          <w:bottom w:val="single" w:color="1E1E1E" w:sz="2"/>
          <w:left w:val="single" w:color="1E1E1E" w:sz="2"/>
          <w:right w:val="single" w:color="1E1E1E" w:sz="2"/>
        </w:pBdr>
        <w:shd w:fill="1E1E1E" w:val="clear"/>
        <w:spacing w:after="200" w:before="12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class PwmHal {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public: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    bool init(uint8_t pin, uint32_t freqHz, uint8_t resolutionBits);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    void setDuty(uint8_t pin, uint32_t duty);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    void stop(uint8_t pin);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};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[v2.0] S'appuie sur ledcSetup()/ledcAttachPin()/ledcWrite() — ces fonctions LEDC sont exposées TELLES QUELLES par le cœur Arduino-ESP32 (ce ne sont pas des fonctions Arduino portables standard, mais des extensions ESP32 déjà présentes nativement dans arduino-esp32, sans changement par rapport à ce qui aurait été fait sous ESP-IDF pur).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Consommateur : BuzzerDriver (génération de tonalité), LedDriver si un effet de gradation est requis au-delà du simple on/off.</w:t>
      </w:r>
    </w:p>
    <w:p>
      <w:pPr>
        <w:pStyle w:val="Heading2"/>
        <w:spacing w:after="150" w:before="300"/>
      </w:pPr>
      <w:r>
        <w:t xml:space="preserve">3.7 TimerHal (hal/timer/)</w:t>
      </w:r>
    </w:p>
    <w:p>
      <w:pPr>
        <w:pBdr>
          <w:top w:val="single" w:color="1E1E1E" w:sz="2"/>
          <w:bottom w:val="single" w:color="1E1E1E" w:sz="2"/>
          <w:left w:val="single" w:color="1E1E1E" w:sz="2"/>
          <w:right w:val="single" w:color="1E1E1E" w:sz="2"/>
        </w:pBdr>
        <w:shd w:fill="1E1E1E" w:val="clear"/>
        <w:spacing w:after="200" w:before="12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class TimerHal {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public: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    TimerHandle_t create(uint32_t periodMs, TimerCallback cb, bool autoReload);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    void start(TimerHandle_t timer);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    void stop(TimerHandle_t timer);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};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Inchangé par rapport à v1.0 : s'appuie sur les timers logiciels FreeRTOS (xTimerCreate/xTimerStart/xTimerStop), disponibles à l'identique sous Arduino-ESP32 (même FreeRTOS sous-jacent).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Consommateur principal : Scheduler (L0) pour les timers logiciels génériques.</w:t>
      </w:r>
    </w:p>
    <w:p>
      <w:pPr>
        <w:pStyle w:val="Heading2"/>
        <w:spacing w:after="150" w:before="300"/>
      </w:pPr>
      <w:r>
        <w:t xml:space="preserve">3.8 FlashHal (hal/flash/)</w:t>
      </w:r>
    </w:p>
    <w:p>
      <w:pPr>
        <w:pBdr>
          <w:top w:val="single" w:color="1E1E1E" w:sz="2"/>
          <w:bottom w:val="single" w:color="1E1E1E" w:sz="2"/>
          <w:left w:val="single" w:color="1E1E1E" w:sz="2"/>
          <w:right w:val="single" w:color="1E1E1E" w:sz="2"/>
        </w:pBdr>
        <w:shd w:fill="1E1E1E" w:val="clear"/>
        <w:spacing w:after="200" w:before="12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class FlashHal {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public: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    bool write(uint32_t addr, const uint8_t* data, size_t len);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    bool read(uint32_t addr, uint8_t* buf, size_t len);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    bool erase(uint32_t sectorAddr);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};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Inchangé par rapport à v1.0 : esp_partition.h reste accessible sous Arduino-ESP32 (le cœur Arduino expose les en-têtes ESP-IDF sous-jacents pour les besoins avancés comme celui-ci, sans équivalent Arduino portable de plus haut niveau pour l'accès partition brute).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Usage prévu : voir document Sprint 1 v1.0 — inchangé.</w:t>
      </w:r>
    </w:p>
    <w:p>
      <w:pPr>
        <w:pStyle w:val="Heading2"/>
        <w:spacing w:after="150" w:before="300"/>
      </w:pPr>
      <w:r>
        <w:t xml:space="preserve">3.9 NvsHal (hal/nvs/)</w:t>
      </w:r>
    </w:p>
    <w:p>
      <w:pPr>
        <w:pBdr>
          <w:top w:val="single" w:color="1E1E1E" w:sz="2"/>
          <w:bottom w:val="single" w:color="1E1E1E" w:sz="2"/>
          <w:left w:val="single" w:color="1E1E1E" w:sz="2"/>
          <w:right w:val="single" w:color="1E1E1E" w:sz="2"/>
        </w:pBdr>
        <w:shd w:fill="1E1E1E" w:val="clear"/>
        <w:spacing w:after="200" w:before="12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class NvsHal {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public: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    bool set(const char* ns, const char* key, const uint8_t* data, size_t len);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    bool read(const char* ns, const char* key, uint8_t* buf, size_t* len);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    bool erase(const char* ns, const char* key);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};</w:t>
      </w:r>
    </w:p>
    <w:p>
      <w:pPr>
        <w:pBdr>
          <w:left w:val="single" w:color="C1571F" w:sz="24"/>
        </w:pBdr>
        <w:shd w:fill="FBEAE5" w:val="clear"/>
        <w:spacing w:after="200" w:before="150"/>
        <w:ind w:left="200"/>
      </w:pPr>
      <w:r>
        <w:rPr>
          <w:rFonts w:ascii="Calibri" w:cs="Calibri" w:eastAsia="Calibri" w:hAnsi="Calibri"/>
          <w:b/>
          <w:bCs/>
          <w:color w:val="C1571F"/>
          <w:sz w:val="20"/>
          <w:szCs w:val="20"/>
        </w:rPr>
        <w:t xml:space="preserve">ATTENTION —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[CHANGÉ v2.0] Implémentation basculée sur la bibliothèque Preferences (Arduino-ESP32, construite sur NVS) plutôt que nvs_flash.h/nvs.h directement — Preferences.begin(ns)/.putBytes()/.getBytes()/.remove() est l'approche idiomatique sous Arduino et simplifie l'implémentation par rapport à l'API NVS brute. La signature de NvsHal ne change pas : seul le .cpp est concerné.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Namespace NVS utilisé : NVS_NAMESPACE (security_config.h, = "fortico").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Consommateurs : CredentialsManager, RelayManager (persistance relayState), tout composant lisant une clé de security_config.h.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NvsHal ne chiffre rien lui-même — le chiffrement de la partition NVS est une configuration au niveau sdkconfig/menuconfig (Flash Encryption, R-08), accessible sous Arduino-ESP32 via les mêmes options de build PlatformIO (board_build.*), pas une responsabilité de ce wrapper.</w:t>
      </w:r>
    </w:p>
    <w:p>
      <w:pPr>
        <w:pStyle w:val="Heading2"/>
        <w:spacing w:after="150" w:before="300"/>
      </w:pPr>
      <w:r>
        <w:t xml:space="preserve">3.10 RtcHal (hal/rtc_hal/)</w:t>
      </w:r>
    </w:p>
    <w:p>
      <w:pPr>
        <w:pBdr>
          <w:top w:val="single" w:color="1E1E1E" w:sz="2"/>
          <w:bottom w:val="single" w:color="1E1E1E" w:sz="2"/>
          <w:left w:val="single" w:color="1E1E1E" w:sz="2"/>
          <w:right w:val="single" w:color="1E1E1E" w:sz="2"/>
        </w:pBdr>
        <w:shd w:fill="1E1E1E" w:val="clear"/>
        <w:spacing w:after="200" w:before="12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class RtcHal {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public: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    bool init();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    uint64_t getMonotonicUs();   // survit au deep sleep, PAS un calendrier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};</w:t>
      </w:r>
    </w:p>
    <w:p>
      <w:pPr>
        <w:pBdr>
          <w:left w:val="single" w:color="C1571F" w:sz="24"/>
        </w:pBdr>
        <w:shd w:fill="FBEAE5" w:val="clear"/>
        <w:spacing w:after="200" w:before="150"/>
        <w:ind w:left="200"/>
      </w:pPr>
      <w:r>
        <w:rPr>
          <w:rFonts w:ascii="Calibri" w:cs="Calibri" w:eastAsia="Calibri" w:hAnsi="Calibri"/>
          <w:b/>
          <w:bCs/>
          <w:color w:val="C1571F"/>
          <w:sz w:val="20"/>
          <w:szCs w:val="20"/>
        </w:rPr>
        <w:t xml:space="preserve">ATTENTION —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Périmètre volontairement réduit (inchangé depuis v1.0) : pas de getTime()/setTime() retournant un DateTime ici. L'horloge murale est portée exclusivement par RtcDriver (L2, puce DS3231 externe). [v2.0] Implémentation la plus simple sous Arduino : micros()/millis() natifs directement (voir utils/timer_utils.h) ; pour la survie en deep sleep spécifiquement, utiliser des variables RTC_DATA_ATTR (extension Arduino-ESP32) plutôt qu'un mécanisme ESP-IDF bas niveau séparé.</w:t>
      </w:r>
    </w:p>
    <w:p>
      <w:pPr>
        <w:pStyle w:val="Heading1"/>
        <w:spacing w:after="200" w:before="400"/>
      </w:pPr>
      <w:r>
        <w:t xml:space="preserve">4. Règles communes à tout composant HAL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Timeout obligatoire sur toute opération bus bloquante par nature (I2C, SPI, UART) — jamais d'attente infinie, conformément à R-01/R-03 (SOP). [RAPPEL v2.0] Les bibliothèques Arduino (Wire, HardwareSerial) ont des timeouts par défaut parfois longs ou absents selon la méthode utilisée — vérifier explicitement chaque appel, ne pas supposer un comportement non bloquant par défaut.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Retour de statut explicite (bool ou taille effective) sur toute opération, jamais de valeur ambiguë en cas d'échec silencieux.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Aucune connaissance d'un périphérique métier : AdcHal ne sait pas qu'il lit une batterie, I2cHal ne sait pas qu'il parle à un PN532 — cette interprétation appartient exclusivement au driver L2 appelant (document 04 §1).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Aucun HAL ne gère un mutex de partage inter-driver (ex. i2cBusMutex) — cette responsabilité reste au driver L2, le HAL est un simple exécutant de la transaction bus.</w:t>
      </w:r>
    </w:p>
    <w:p>
      <w:pPr>
        <w:pStyle w:val="Heading1"/>
        <w:spacing w:after="200" w:before="400"/>
      </w:pPr>
      <w:r>
        <w:t xml:space="preserve">5. Tests</w:t>
      </w:r>
    </w:p>
    <w:p>
      <w:pPr>
        <w:spacing w:after="160"/>
      </w:pPr>
      <w:r>
        <w:rPr>
          <w:rFonts w:ascii="Calibri" w:cs="Calibri" w:eastAsia="Calibri" w:hAnsi="Calibri"/>
          <w:sz w:val="21"/>
          <w:szCs w:val="21"/>
        </w:rPr>
        <w:t xml:space="preserve">Le HAL est, par nature, très proche du matériel — la majorité de sa validation se fait en HIL (document 11), pas en test unitaire natif. Exceptions notables où un test natif reste possible et attendu 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AdcHal::readAvg() : la logique de moyenne/sur-échantillonnage peut être testée nativement en injectant des échantillons bruts simulés.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TimerHal : la logique de création/démarrage/arrêt peut être testée avec un mock FreeRTOS si le harnais de test natif le permet (voir test/mocks/).</w:t>
      </w:r>
    </w:p>
    <w:p>
      <w:pPr>
        <w:spacing w:after="160"/>
      </w:pPr>
      <w:r>
        <w:rPr>
          <w:rFonts w:ascii="Calibri" w:cs="Calibri" w:eastAsia="Calibri" w:hAnsi="Calibri"/>
          <w:sz w:val="21"/>
          <w:szCs w:val="21"/>
        </w:rPr>
        <w:t xml:space="preserve">Pour tout le reste (GpioHal, UartHal, SpiHal, I2cHal, PwmHal, FlashHal, NvsHal, RtcHal) : test HIL obligatoire sur banc de laboratoire avant merge, avec capture d'écran ou log de sortie joint à la Pull Request.</w:t>
      </w:r>
    </w:p>
    <w:p>
      <w:pPr>
        <w:pStyle w:val="Heading1"/>
        <w:spacing w:after="200" w:before="400"/>
      </w:pPr>
      <w:r>
        <w:t xml:space="preserve">6. Répartition suggérée entre les 3 stagiaires (inchangée)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600"/>
        <w:gridCol w:w="3400"/>
      </w:tblGrid>
      <w:tr>
        <w:trPr>
          <w:tblHeader/>
        </w:trPr>
        <w:tc>
          <w:tcPr>
            <w:tcW w:type="dxa" w:w="1400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Lot</w:t>
            </w:r>
          </w:p>
        </w:tc>
        <w:tc>
          <w:tcPr>
            <w:tcW w:type="dxa" w:w="3600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Composants</w:t>
            </w:r>
          </w:p>
        </w:tc>
        <w:tc>
          <w:tcPr>
            <w:tcW w:type="dxa" w:w="3400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Complexité</w:t>
            </w:r>
          </w:p>
        </w:tc>
      </w:tr>
      <w:tr>
        <w:tc>
          <w:tcPr>
            <w:tcW w:type="dxa" w:w="14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Lot A</w:t>
            </w:r>
          </w:p>
        </w:tc>
        <w:tc>
          <w:tcPr>
            <w:tcW w:type="dxa" w:w="36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GpioHal, PwmHal, TimerHal</w:t>
            </w:r>
          </w:p>
        </w:tc>
        <w:tc>
          <w:tcPr>
            <w:tcW w:type="dxa" w:w="34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Faible à moyenne</w:t>
            </w:r>
          </w:p>
        </w:tc>
      </w:tr>
      <w:tr>
        <w:tc>
          <w:tcPr>
            <w:tcW w:type="dxa" w:w="14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Lot B</w:t>
            </w:r>
          </w:p>
        </w:tc>
        <w:tc>
          <w:tcPr>
            <w:tcW w:type="dxa" w:w="36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UartHal, SpiHal, I2cHal</w:t>
            </w:r>
          </w:p>
        </w:tc>
        <w:tc>
          <w:tcPr>
            <w:tcW w:type="dxa" w:w="34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Moyenne à élevée (bus partagés/protocoles)</w:t>
            </w:r>
          </w:p>
        </w:tc>
      </w:tr>
      <w:tr>
        <w:tc>
          <w:tcPr>
            <w:tcW w:type="dxa" w:w="14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Lot C</w:t>
            </w:r>
          </w:p>
        </w:tc>
        <w:tc>
          <w:tcPr>
            <w:tcW w:type="dxa" w:w="36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AdcHal, FlashHal, NvsHal, RtcHal</w:t>
            </w:r>
          </w:p>
        </w:tc>
        <w:tc>
          <w:tcPr>
            <w:tcW w:type="dxa" w:w="34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Moyenne (RtcHal nécessite la clarification §2)</w:t>
            </w:r>
          </w:p>
        </w:tc>
      </w:tr>
    </w:tbl>
    <w:p>
      <w:pPr>
        <w:pBdr>
          <w:left w:val="single" w:color="3E5C76" w:sz="24"/>
        </w:pBdr>
        <w:shd w:fill="EAF1F8" w:val="clear"/>
        <w:spacing w:after="200" w:before="150"/>
        <w:ind w:left="200"/>
      </w:pPr>
      <w:r>
        <w:rPr>
          <w:rFonts w:ascii="Calibri" w:cs="Calibri" w:eastAsia="Calibri" w:hAnsi="Calibri"/>
          <w:b/>
          <w:bCs/>
          <w:color w:val="3E5C76"/>
          <w:sz w:val="20"/>
          <w:szCs w:val="20"/>
        </w:rPr>
        <w:t xml:space="preserve">NOTE —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Répartition en 3 lots validée le 12/07/2026, inchangée par le passage à Arduino — les lots sont organisés par bus, pas par framework.</w:t>
      </w:r>
    </w:p>
    <w:p>
      <w:pPr>
        <w:pStyle w:val="Heading1"/>
        <w:spacing w:after="200" w:before="400"/>
      </w:pPr>
      <w:r>
        <w:t xml:space="preserve">7. Workflow</w:t>
      </w:r>
    </w:p>
    <w:p>
      <w:pPr>
        <w:spacing w:after="160"/>
      </w:pPr>
      <w:r>
        <w:rPr>
          <w:rFonts w:ascii="Calibri" w:cs="Calibri" w:eastAsia="Calibri" w:hAnsi="Calibri"/>
          <w:sz w:val="21"/>
          <w:szCs w:val="21"/>
        </w:rPr>
        <w:t xml:space="preserve">Inchangé depuis le Sprint 0 (document 01 §4.2-4.3, Sprint 0 §6) : une branche feature/hal-&lt;composant&gt; par lot, Pull Request avec résumé + preuve de test HIL + lien Trello, validation par le Lead Firmware avant merge sur develop.</w:t>
      </w:r>
    </w:p>
    <w:p>
      <w:pPr>
        <w:pStyle w:val="Heading1"/>
        <w:spacing w:after="200" w:before="400"/>
      </w:pPr>
      <w:r>
        <w:t xml:space="preserve">8. Critères de validation du Sprint 1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Les 10 composants HAL créés dans hal/&lt;nom&gt;/&lt;nom&gt;_hal.h + .cpp, conformes aux signatures du §3 (identiques à la v1.0) — implémentation interne Arduino-ESP32.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RtcHal limité au temps monotone interne — aucune méthode DateTime qui empiéterait sur RtcDriver (L2).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Aucune boucle bloquante (delay() interdit, voir Sprint 0 §6.4), timeout systématique sur toute opération bus.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Aucune référence à un périphérique métier (GPS, RFID, relais…) dans le code HAL.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I2cHal::scan() validé sur banc, capture jointe montrant la détection RTC (0x68) et PN532 (0x24).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Tests natifs pour AdcHal::readAvg() (et TimerHal si mock disponible) exécutés et verts.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Compilation propre du projet avec les 10 composants HAL intégrés et un setup()/loop() qui les initialise tous sans erreur (toujours aucun driver/manager/service à ce stade).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Toutes les Pull Requests du sprint validées par le Lead Firmware.</w:t>
      </w:r>
    </w:p>
    <w:sectPr>
      <w:headerReference w:type="default" r:id="rId7"/>
      <w:footerReference w:type="default" r:id="rId8"/>
      <w:pgSz w:w="12240" w:h="15840" w:orient="portrait"/>
      <w:pgMar w:top="1440" w:right="1350" w:bottom="1440" w:left="13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A5A5A"/>
        <w:sz w:val="16"/>
        <w:szCs w:val="16"/>
      </w:rPr>
      <w:t xml:space="preserve">Page </w:t>
    </w:r>
    <w:r>
      <w:rPr>
        <w:rFonts w:ascii="Calibri" w:cs="Calibri" w:eastAsia="Calibri" w:hAnsi="Calibri"/>
        <w:color w:val="5A5A5A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A5A5A"/>
        <w:sz w:val="16"/>
        <w:szCs w:val="16"/>
      </w:rPr>
      <w:t xml:space="preserve"> / </w:t>
    </w:r>
    <w:r>
      <w:rPr>
        <w:rFonts w:ascii="Calibri" w:cs="Calibri" w:eastAsia="Calibri" w:hAnsi="Calibri"/>
        <w:color w:val="5A5A5A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4"/>
      </w:pBdr>
      <w:jc w:val="right"/>
    </w:pPr>
    <w:r>
      <w:rPr>
        <w:rFonts w:ascii="Calibri" w:cs="Calibri" w:eastAsia="Calibri" w:hAnsi="Calibri"/>
        <w:color w:val="5A5A5A"/>
        <w:sz w:val="16"/>
        <w:szCs w:val="16"/>
      </w:rPr>
      <w:t xml:space="preserve">FORTICO — Sprint 1 — HAL — Développement de la couche d'abstraction matérielle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  <w:lvl w:ilvl="1" w15:tentative="1">
      <w:start w:val="1"/>
      <w:numFmt w:val="bullet"/>
      <w:lvlText w:val="◦"/>
      <w:lvlJc w:val="left"/>
      <w:pPr>
        <w:ind w:left="9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C1571F" w:sz="6" w:space="4"/>
      </w:pBdr>
      <w:spacing w:after="200" w:before="400"/>
    </w:pPr>
    <w:rPr>
      <w:rFonts w:ascii="Calibri" w:cs="Calibri" w:eastAsia="Calibri" w:hAnsi="Calibri"/>
      <w:b/>
      <w:bCs/>
      <w:color w:val="1B2A4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50" w:before="300"/>
    </w:pPr>
    <w:rPr>
      <w:rFonts w:ascii="Calibri" w:cs="Calibri" w:eastAsia="Calibri" w:hAnsi="Calibri"/>
      <w:b/>
      <w:bCs/>
      <w:color w:val="3E5C76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100" w:before="200"/>
    </w:pPr>
    <w:rPr>
      <w:rFonts w:ascii="Calibri" w:cs="Calibri" w:eastAsia="Calibri" w:hAnsi="Calibri"/>
      <w:b/>
      <w:bCs/>
      <w:color w:val="C1571F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2026-07-24T07:30:04.814Z</dcterms:created>
  <dcterms:modified xsi:type="dcterms:W3CDTF">2026-07-24T07:30:04.815Z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