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left"/>
      </w:pPr>
      <w:r>
        <w:rPr>
          <w:rFonts w:ascii="Calibri" w:cs="Calibri" w:eastAsia="Calibri" w:hAnsi="Calibri"/>
          <w:b/>
          <w:bCs/>
          <w:color w:val="1B2A4A"/>
          <w:sz w:val="30"/>
          <w:szCs w:val="30"/>
        </w:rPr>
        <w:t xml:space="preserve">FORTICO</w:t>
      </w:r>
    </w:p>
    <w:p>
      <w:pPr>
        <w:spacing w:after="600"/>
        <w:jc w:val="left"/>
      </w:pPr>
      <w:r>
        <w:rPr>
          <w:rFonts w:ascii="Calibri" w:cs="Calibri" w:eastAsia="Calibri" w:hAnsi="Calibri"/>
          <w:i/>
          <w:iCs/>
          <w:color w:val="5A5A5A"/>
          <w:sz w:val="22"/>
          <w:szCs w:val="22"/>
        </w:rPr>
        <w:t xml:space="preserve">Documentation Firmware Embarqué</w:t>
      </w:r>
    </w:p>
    <w:p>
      <w:pPr>
        <w:pBdr>
          <w:bottom w:val="single" w:color="C1571F" w:sz="12" w:space="8"/>
        </w:pBdr>
        <w:spacing w:after="400"/>
      </w:pPr>
      <w:r>
        <w:rPr>
          <w:sz w:val="2"/>
          <w:szCs w:val="2"/>
        </w:rPr>
        <w:t xml:space="preserve"/>
      </w:r>
    </w:p>
    <w:p>
      <w:pPr>
        <w:spacing w:before="800"/>
      </w:pPr>
      <w:r>
        <w:rPr>
          <w:rFonts w:ascii="Calibri" w:cs="Calibri" w:eastAsia="Calibri" w:hAnsi="Calibri"/>
          <w:b/>
          <w:bCs/>
          <w:color w:val="C1571F"/>
          <w:sz w:val="24"/>
          <w:szCs w:val="24"/>
        </w:rPr>
        <w:t xml:space="preserve">Document 11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1B2A4A"/>
          <w:sz w:val="44"/>
          <w:szCs w:val="44"/>
        </w:rPr>
        <w:t xml:space="preserve">Test &amp; Validation Guide</w:t>
      </w:r>
    </w:p>
    <w:p>
      <w:pPr>
        <w:spacing w:after="1600"/>
      </w:pPr>
      <w:r>
        <w:rPr>
          <w:rFonts w:ascii="Calibri" w:cs="Calibri" w:eastAsia="Calibri" w:hAnsi="Calibri"/>
          <w:color w:val="3E5C76"/>
          <w:sz w:val="26"/>
          <w:szCs w:val="26"/>
        </w:rPr>
        <w:t xml:space="preserve">Stratégie de test, scénarios HIL et critères de conformité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Version : 1.1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Date : 12 juillet 2026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Classification : Usage interne — Équipe Ingénierie Fortico</w:t>
      </w:r>
    </w:p>
    <w:p>
      <w:r>
        <w:rPr>
          <w:rFonts w:ascii="Calibri" w:cs="Calibri" w:eastAsia="Calibri" w:hAnsi="Calibri"/>
          <w:color w:val="1A1A1A"/>
          <w:sz w:val="20"/>
          <w:szCs w:val="20"/>
        </w:rPr>
        <w:t xml:space="preserve">Source de vérité matérielle : Pinout ESP32 V4</w:t>
      </w:r>
    </w:p>
    <w:p>
      <w:r>
        <w:br w:type="page"/>
      </w:r>
    </w:p>
    <w:p>
      <w:pPr>
        <w:pStyle w:val="Heading1"/>
      </w:pPr>
      <w:r>
        <w:t xml:space="preserve">Table des matières</w:t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1. Portée et philosophie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Ce guide définit la stratégie de test du firmware Fortico à tous les niveaux : unitaire natif, intégration matérielle (HIL), robustesse réseau, charge mémoire, sûreté relais et sécurité. Il formalise les critères globaux de validation déjà exigés par la SOP Lead Firmware (§5).</w:t>
      </w:r>
    </w:p>
    <w:p>
      <w:pPr>
        <w:pStyle w:val="Heading1"/>
        <w:spacing w:after="200" w:before="400"/>
      </w:pPr>
      <w:r>
        <w:t xml:space="preserve">2. Niveaux de test</w:t>
      </w:r>
    </w:p>
    <w:tbl>
      <w:tblPr>
        <w:tblW w:type="dxa" w:w="8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2200"/>
        <w:gridCol w:w="1600"/>
      </w:tblGrid>
      <w:tr>
        <w:trPr>
          <w:tblHeader/>
        </w:trPr>
        <w:tc>
          <w:tcPr>
            <w:tcW w:type="dxa" w:w="1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2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Méthode</w:t>
            </w:r>
          </w:p>
        </w:tc>
        <w:tc>
          <w:tcPr>
            <w:tcW w:type="dxa" w:w="22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Outils</w:t>
            </w:r>
          </w:p>
        </w:tc>
        <w:tc>
          <w:tcPr>
            <w:tcW w:type="dxa" w:w="16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Cible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Unitaire (natif)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Logique pure sans matériel (parsing NMEA, filtrage ADC, transitions FSM, construction JSON)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PlatformIO Unity, environnement native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TrackingManager (parsing), SystemController (FSM), EncryptionModule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Intégration on-target (HIL)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 réels sur banc de laboratoire (Toamasina) : I2C RTC/PN532, SPI SD, UART GPS/SIM7600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PlatformIO test_embedded, analyseur logique/oscilloscope pour le timing bus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Drivers L0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Robustesse réseau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Coupure/rétablissement Wi-Fi/4G simulés, vérification du non-blocage et de la reprise du backlog SD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Cage de Faraday ou coupure APN contrôlée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NetworkService, MqttService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Charge mémoire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Stress MQTT/TLS soutenu, mesure du heap libre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esp_get_free_heap_size() en monitoring continu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Conformité R-10 (&gt;20 % heap libre)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Sûreté relais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Injection de fautes (I2C débranché, SD retirée, batterie hors plage) en vérifiant qu'aucune ne coupe le relais en roulage simulé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Scénarios HIL dédiés, vitesse GPS mockée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RelayManager, règle de sûreté (document 06, §2.2)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Sécurité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Fuzzing des commandes MQTT entrantes, tentative de rejeu, rejet d'OTA non signé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Scripts Python + broker de test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R-05, R-06, R-13</w:t>
            </w:r>
          </w:p>
        </w:tc>
      </w:tr>
      <w:tr>
        <w:tc>
          <w:tcPr>
            <w:tcW w:type="dxa" w:w="1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Watchdog</w:t>
            </w:r>
          </w:p>
        </w:tc>
        <w:tc>
          <w:tcPr>
            <w:tcW w:type="dxa" w:w="2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Blocage volontaire d'une tâche (boucle infinie de test)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Vérification du reset &lt; 8 s</w:t>
            </w:r>
          </w:p>
        </w:tc>
        <w:tc>
          <w:tcPr>
            <w:tcW w:type="dxa" w:w="16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Conformité R-02</w:t>
            </w:r>
          </w:p>
        </w:tc>
      </w:tr>
      <w:tr>
        <w:tc>
          <w:tcPr>
            <w:tcW w:type="dxa" w:w="1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Non-régression boîte noire</w:t>
            </w:r>
          </w:p>
        </w:tc>
        <w:tc>
          <w:tcPr>
            <w:tcW w:type="dxa" w:w="2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Coupure secteur brutale mi-écriture SD, vérification de l'intégrité JSON Lines</w:t>
            </w:r>
          </w:p>
        </w:tc>
        <w:tc>
          <w:tcPr>
            <w:tcW w:type="dxa" w:w="22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Coupure d'alimentation contrôlée sur banc</w:t>
            </w:r>
          </w:p>
        </w:tc>
        <w:tc>
          <w:tcPr>
            <w:tcW w:type="dxa" w:w="16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Conformité document 09, §7</w:t>
            </w:r>
          </w:p>
        </w:tc>
      </w:tr>
    </w:tbl>
    <w:p>
      <w:pPr>
        <w:pStyle w:val="Heading1"/>
        <w:spacing w:after="200" w:before="400"/>
      </w:pPr>
      <w:r>
        <w:t xml:space="preserve">3. Scénarios de test HIL prioritaires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Démarrage à froid complet : vérifier que le relais reste en CUT jusqu'à authentification valide.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Authentification badge valide → engagement du relais → vérification de la persistance NVS de l'état.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Retrait du badge en roulage simulé (vitesse GPS &gt; 0) → vérifier absence de coupure moteur, présence d'une alerte progressive.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Appui long du bouton SOS à l'arrêt (vitesse GPS = 0) → coupure d'urgence effective.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Déconnexion du bus I2C (RTC/PN532 débranchés physiquement) → aucun freeze, mode dégradé correctement signalé.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Retrait de la carte SD en cours de fonctionnement → aucun crash, bit SD_MOUNTED abaissé, reprise normale à la réinsertion.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Coupure 4G prolongée (&gt; plusieurs minutes) → bascule TRACKING_OFFLINE, accumulation correcte du backlog SD, purge complète à la reconnexion.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Réception d'une commande OTA avec signature invalide → rejet, aucun flash, transition FAULT_SAFE.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Coupure secteur brutale pendant une écriture SD → fichier JSON Lines valide à l'exception éventuelle de la dernière ligne tronquée.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Blocage volontaire d'une tâche enregistrée au watchdog → reset automatique mesuré sous 8 s.</w:t>
      </w:r>
    </w:p>
    <w:p>
      <w:pPr>
        <w:pStyle w:val="Heading1"/>
        <w:spacing w:after="200" w:before="400"/>
      </w:pPr>
      <w:r>
        <w:t xml:space="preserve">4. Critères globaux de validation (Definition of Done)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2700"/>
      </w:tblGrid>
      <w:tr>
        <w:trPr>
          <w:tblHeader/>
        </w:trPr>
        <w:tc>
          <w:tcPr>
            <w:tcW w:type="dxa" w:w="20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Vérification</w:t>
            </w:r>
          </w:p>
        </w:tc>
        <w:tc>
          <w:tcPr>
            <w:tcW w:type="dxa" w:w="38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Exigence et seuil</w:t>
            </w:r>
          </w:p>
        </w:tc>
        <w:tc>
          <w:tcPr>
            <w:tcW w:type="dxa" w:w="2700"/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 en cas d'échec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Stabilité RAM (heap)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Plus de 20 % de mémoire libre constante sous charge Wi-Fi/MQTT soutenue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Refuser le code, rechercher les fuites mémoire, optimiser les variables globales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Persistance d'état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Sauvegarde immédiate de l'état du relais en NVS chiffrée, reprise après coupure secteur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Corriger le code pour garantir la reprise d'état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Stockage des secrets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Identifiants et tokens en NVS chiffrée, aucun secret en clair dans le code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Refus immédiat de la release, refactorisation du provisioning</w:t>
            </w:r>
          </w:p>
        </w:tc>
      </w:tr>
      <w:tr>
        <w:tc>
          <w:tcPr>
            <w:tcW w:type="dxa" w:w="20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Mises à jour OTA</w:t>
            </w:r>
          </w:p>
        </w:tc>
        <w:tc>
          <w:tcPr>
            <w:tcW w:type="dxa" w:w="38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Toute mise à jour distante signée numériquement</w:t>
            </w:r>
          </w:p>
        </w:tc>
        <w:tc>
          <w:tcPr>
            <w:tcW w:type="dxa" w:w="2700"/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Blocage de la fonctionnalité OTA — jamais d'exécution de binaire non signé</w:t>
            </w:r>
          </w:p>
        </w:tc>
      </w:tr>
      <w:tr>
        <w:tc>
          <w:tcPr>
            <w:tcW w:type="dxa" w:w="20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Ports de débogage</w:t>
            </w:r>
          </w:p>
        </w:tc>
        <w:tc>
          <w:tcPr>
            <w:tcW w:type="dxa" w:w="38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Logs UART verbeux et JTAG désactivés en production</w:t>
            </w:r>
          </w:p>
        </w:tc>
        <w:tc>
          <w:tcPr>
            <w:tcW w:type="dxa" w:w="2700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Recompilation avec CORE_DEBUG_LEVEL=0</w:t>
            </w:r>
          </w:p>
        </w:tc>
      </w:tr>
    </w:tbl>
    <w:p>
      <w:pPr>
        <w:pStyle w:val="Heading1"/>
        <w:spacing w:after="200" w:before="400"/>
      </w:pPr>
      <w:r>
        <w:t xml:space="preserve">5. Processus de qualification avant release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Tests unitaires natifs exécutés localement par le développeur avant ouverture de la Pull Request (document 03, §8).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Revue de code selon les critères du document 01, §4.3.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Merge sur la branche principale après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Compilation du binaire release (flags de production, document 03, §5).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Exécution du jeu de scénarios HIL prioritaires (§3) sur banc de laboratoire.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Vérification des critères globaux de validation (§4) avant dépôt du binaire sur Trello (document 01, §4.2).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En cas d'échec de terrain remonté par le laboratoire : analyse par le Lead Firmware pour déterminer l'origine (logicielle, matérielle, sécurité) avant correctif.</w:t>
      </w:r>
    </w:p>
    <w:p>
      <w:pPr>
        <w:pStyle w:val="Heading1"/>
        <w:spacing w:after="200" w:before="400"/>
      </w:pPr>
      <w:r>
        <w:t xml:space="preserve">6. Traçabilité des tests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Chaque scénario HIL exécuté doit être consigné (date, version firmware testée, résultat, opérateur) dans le registre de test du laboratoire de Toamasina, afin de constituer un historique de non-régression exploitable en cas d'incident terrain ultérieur.</w:t>
      </w:r>
    </w:p>
    <w:sectPr>
      <w:headerReference w:type="default" r:id="rId7"/>
      <w:footerReference w:type="default" r:id="rId8"/>
      <w:pgSz w:w="12240" w:h="15840" w:orient="portrait"/>
      <w:pgMar w:top="1440" w:right="1350" w:bottom="1440" w:left="13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5A5A"/>
        <w:sz w:val="16"/>
        <w:szCs w:val="16"/>
      </w:rPr>
      <w:t xml:space="preserve"> /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FORTICO — Document 11 — Test &amp; Validation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1571F" w:sz="6" w:space="4"/>
      </w:pBdr>
      <w:spacing w:after="200" w:before="400"/>
    </w:pPr>
    <w:rPr>
      <w:rFonts w:ascii="Calibri" w:cs="Calibri" w:eastAsia="Calibri" w:hAnsi="Calibri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Calibri" w:cs="Calibri" w:eastAsia="Calibri" w:hAnsi="Calibri"/>
      <w:b/>
      <w:bCs/>
      <w:color w:val="3E5C7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C1571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2026-07-12T11:08:28.948Z</dcterms:created>
  <dcterms:modified xsi:type="dcterms:W3CDTF">2026-07-12T11:08:28.948Z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