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Интерактивная карта гражданской активности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условиях цифровизации и ускоренного развития информационно-коммуникационных технологий формируется широкий спектр цифровых инструментов мониторинга, оценки и прогнозирования развития гражданского сектора. К числу таких инструментов относятся интерактивные карты, индексы, аналитические дэшборды и иные онлайн-платформы, ориентированные на повышение прозрачности, публичности и оперативной доступности данных, в том числе в режиме, приближенном к реальному времени. Их внедрение способствует переходу к управлению, основанному на данных (data-driven governance), а также расширяет возможности участия граждан в общественных и управленческих процессах.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Интерактивные карты и цифровые платформы выполняют одновременно аналитическую, коммуникативную и управленческую функции. Они позволяют отслеживать пространственное распределение реализуемых проектов, оценивать масштабы и характер их социального воздействия, а также обеспечивают наглядную визуализацию сложных массивов данных, делая их доступными для широкой аудитории. Использование подобных инструментов повышает адаптивность гражданских институтов и организаций, усиливает их способность оперативно реагировать на изменения внешней среды и корректировать свою деятельность на основе актуальной и верифицированной информации.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Между тем обзор и анализ интерактивных карт и цифровых платформ, использующих пространственную визуализацию данных о гражданской активности, показал, что интерактивная карта в большинстве случаев выступает ключевым или вспомогательным интерфейсом представления информации. При этом существующие решения существенно различаются по типу используемых данных, уровню аналитической обработки и функциональному назначению. В рамках исследования изученные платформы были систематизированы по нескольким основным типам.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Первая группа представлена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реестровыми картами и порталами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ориентированными на структурированное размещение информации об организациях, инициативах и проектах гражданского общества. Примером такого подхода является российская платформа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Данные НКО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содержащая наборы данных о некоммерческих организациях и гражданских инициативах, дополненные картографическим интерфейсом для территориальной навигации. 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187" w:dyaOrig="3326">
          <v:rect xmlns:o="urn:schemas-microsoft-com:office:office" xmlns:v="urn:schemas-microsoft-com:vml" id="rectole0000000000" style="width:209.350000pt;height:166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4230" w:dyaOrig="3338">
          <v:rect xmlns:o="urn:schemas-microsoft-com:office:office" xmlns:v="urn:schemas-microsoft-com:vml" id="rectole0000000001" style="width:211.500000pt;height:166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ПЛАТФОРМА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ДАННЫЕ НКО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Аналогичные решения реализованы на ряде национальных и региональных ресурсов, включая базы данных неправительственных организаций и гражданских объединений. В частности, в гражданском центре города Алматы функционирует база данных НПО, сопровождаемая отдельными индикаторами, отражающими деятельность неправительственного сектора. 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Однако следует отметить, что аналитический потенциал подобных платформ, как правило, ограничен возможностями поиска, фильтрации и сортировки данных без их интерпретации и агрегирования.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170" w:dyaOrig="3554">
          <v:rect xmlns:o="urn:schemas-microsoft-com:office:office" xmlns:v="urn:schemas-microsoft-com:vml" id="rectole0000000002" style="width:208.500000pt;height:177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4299" w:dyaOrig="3529">
          <v:rect xmlns:o="urn:schemas-microsoft-com:office:office" xmlns:v="urn:schemas-microsoft-com:vml" id="rectole0000000003" style="width:214.950000pt;height:176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ГРАЖДАНСКИЙ ЦЕНТР Г. АЛМАТЫ</w: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Вторая группа включает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аналитические дэшборды и индексные карты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в которых пространственная визуализация используется для представления агрегированных показателей и результатов расчетов. К числу таких решений относится The Civic Information Index, визуализирующий состояние гражданского пространства посредством системы индикаторов, представленных в виде карт и аналитических панелей.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960" w:dyaOrig="3190">
          <v:rect xmlns:o="urn:schemas-microsoft-com:office:office" xmlns:v="urn:schemas-microsoft-com:vml" id="rectole0000000004" style="width:198.000000pt;height:159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4397" w:dyaOrig="3187">
          <v:rect xmlns:o="urn:schemas-microsoft-com:office:office" xmlns:v="urn:schemas-microsoft-com:vml" id="rectole0000000005" style="width:219.850000pt;height:159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CIVIC INFORMATION INDEX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Схожие принципы реализованы в интерактивных картах Global State of Democracy Initiative, Social Capital Atlas и других платформах, где карта служит инструментом сравнительного анализа территорий по заранее заданным параметрам. В данном случае пространственное представление не отражает первичные данные, а используется для демонстрации итоговых оценок и индексов.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107" w:dyaOrig="2976">
          <v:rect xmlns:o="urn:schemas-microsoft-com:office:office" xmlns:v="urn:schemas-microsoft-com:vml" id="rectole0000000006" style="width:205.350000pt;height:148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object w:dxaOrig="4063" w:dyaOrig="2938">
          <v:rect xmlns:o="urn:schemas-microsoft-com:office:office" xmlns:v="urn:schemas-microsoft-com:vml" id="rectole0000000007" style="width:203.150000pt;height:146.9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 STATE OF DEMOCRACY INITIATIVE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071" w:dyaOrig="4067">
          <v:rect xmlns:o="urn:schemas-microsoft-com:office:office" xmlns:v="urn:schemas-microsoft-com:vml" id="rectole0000000008" style="width:353.550000pt;height:203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SOCIAL CAPITAL ATLAS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Третью группу составляют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интерактивные карты гражданского участия локального уровня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ориентированные на отображение общественных инициатив, проектов и общественных пространств в конкретных городах или регионах. Такие карты позволяют визуализировать территориальное распределение форм гражданской активности и дают пользователям представление о локальных точках вовлечения. Основной акцент в этих решениях делается на наглядность и прикладную ориентацию, при этом аналитическая составляющая, как правило, остается ограниченной.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254" w:dyaOrig="3554">
          <v:rect xmlns:o="urn:schemas-microsoft-com:office:office" xmlns:v="urn:schemas-microsoft-com:vml" id="rectole0000000009" style="width:262.700000pt;height:177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object w:dxaOrig="4284" w:dyaOrig="3084">
          <v:rect xmlns:o="urn:schemas-microsoft-com:office:office" xmlns:v="urn:schemas-microsoft-com:vml" id="rectole0000000010" style="width:214.200000pt;height:154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object w:dxaOrig="4015" w:dyaOrig="3031">
          <v:rect xmlns:o="urn:schemas-microsoft-com:office:office" xmlns:v="urn:schemas-microsoft-com:vml" id="rectole0000000011" style="width:200.750000pt;height:151.5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CIVIO</w: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636" w:dyaOrig="5339">
          <v:rect xmlns:o="urn:schemas-microsoft-com:office:office" xmlns:v="urn:schemas-microsoft-com:vml" id="rectole0000000012" style="width:281.800000pt;height:266.9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INTERACTIVE CIVICS MAP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783" w:dyaOrig="3927">
          <v:rect xmlns:o="urn:schemas-microsoft-com:office:office" xmlns:v="urn:schemas-microsoft-com:vml" id="rectole0000000013" style="width:389.150000pt;height:196.3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567" w:dyaOrig="3436">
          <v:rect xmlns:o="urn:schemas-microsoft-com:office:office" xmlns:v="urn:schemas-microsoft-com:vml" id="rectole0000000014" style="width:178.350000pt;height:171.8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  <w:r>
        <w:object w:dxaOrig="3804" w:dyaOrig="3428">
          <v:rect xmlns:o="urn:schemas-microsoft-com:office:office" xmlns:v="urn:schemas-microsoft-com:vml" id="rectole0000000015" style="width:190.200000pt;height:171.4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DELIB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Отдельно выделяется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группа тематических интерактивных карт, фокусирующихся на отдельных аспектах гражданской активности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К ним относятся платформы, посвященные политическому участию, волонтерству и гражданскому вовлечению (The International Initiative for Impact Evaluation, AmeriCorps Civic Engagement and Volunteering Dashboard), состоянию гражданского пространства (Civic Space Monitor), деятельности диаспор (Diaspora Engagement Map), а также судебному и электоральному гражданскому образованию. Эти решения используют пространственную визуализацию в рамках одной предметной области и не ориентированы на комплексное представление гражданской активности.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384" w:dyaOrig="4283">
          <v:rect xmlns:o="urn:schemas-microsoft-com:office:office" xmlns:v="urn:schemas-microsoft-com:vml" id="rectole0000000016" style="width:369.200000pt;height:214.1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INTERNATIONAL INITIATIVE FOR IMPACT EVALUATION</w:t>
      </w:r>
    </w:p>
    <w:p>
      <w:pPr>
        <w:spacing w:before="0" w:after="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266" w:dyaOrig="3889">
          <v:rect xmlns:o="urn:schemas-microsoft-com:office:office" xmlns:v="urn:schemas-microsoft-com:vml" id="rectole0000000017" style="width:363.300000pt;height:194.4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DIASPORA ENGAGEMENT MAP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151" w:dyaOrig="3233">
          <v:rect xmlns:o="urn:schemas-microsoft-com:office:office" xmlns:v="urn:schemas-microsoft-com:vml" id="rectole0000000018" style="width:207.550000pt;height:161.6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  <w:r>
        <w:object w:dxaOrig="4109" w:dyaOrig="3209">
          <v:rect xmlns:o="urn:schemas-microsoft-com:office:office" xmlns:v="urn:schemas-microsoft-com:vml" id="rectole0000000019" style="width:205.450000pt;height:160.4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0" w:line="240"/>
        <w:ind w:right="0" w:left="0" w:firstLine="567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AMERICORPS CIVIC ENGAGEMENT AND VOLUNTEERING DASHBOARD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целом анализ показывает, что интерактивные карты во всех рассмотренных случаях повышают доступность и наглядность данных, однако степень их аналитической интеграции существенно варьируется. Часть платформ ограничивается визуализацией пространственного распределения структурированных данных, тогда как другие используют карту как элемент аналитического дэшборда для демонстрации агрегированных показателей и межтерриториальных сравнений.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Казахстана подобные цифровые инструменты приобретают особую значимость в контексте реализации концепции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Слышащего государства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повышения прозрачности государственного управления и расширения участия граждан в общественной жизни. Несмотря на наличие отдельных порталов открытых данных и инструментов бюджетной прозрачности, в том числе платформы PublicBudget.kz, в стране отсутствует комплексное цифровое решение, объединяющее пространственные, статистические и институциональные данные о гражданской активности, деятельности некоммерческих организаций, волонтерстве и иных формах общественного участия. Таким образом,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отсутствует единая платформа, сочетающая пространственную визуализацию с системой аналитических показателей и сопоставимыми региональными срезами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Вместе с тем анализ зарубежных платформ гражданской активности Европейского союза, США и стран Центральной Азии свидетельствует о том, что наибольшей устойчивостью и востребованностью обладают гибридные модели. В рамках таких моделей интерактивная карта дополняется аналитическими панелями, базами данных организаций и системой индикаторов, позволяющих осуществлять межрегиональные и динамические сравнения. Как правило, индикаторы формируются на основе ограниченного, но репрезентативного набора параметров, отражающих ключевые аспекты гражданской активности: участие в общественных инициативах, волонтерство, развитие неправительственного сектора, доступ к информации и взаимодействие с органами государственной власти.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казахстанском контексте важным преимуществом является наличие функционирующих источников открытых данных, прежде всего в сфере государственных финансов. Платформа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«PublicBudget.kz»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аккумулирует значительный массив информации о бюджетных расходах и проектах, потенциально связанных с гражданской активностью на местном уровне. Однако в настоящее время данные бюджетной прозрачности слабо интегрированы с информацией о деятельности НПО, общественных инициативах и формах гражданского участия. В результате формируется методологический и практический разрыв между распределением финансовых ресурсов и социальной активностью, направленной на решение общественно значимых проблем.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527" w:dyaOrig="3698">
          <v:rect xmlns:o="urn:schemas-microsoft-com:office:office" xmlns:v="urn:schemas-microsoft-com:vml" id="rectole0000000020" style="width:326.350000pt;height:184.9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Интерактивная карта открытых бюджетов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основании проведенного анализа обоснована целесообразность разработки для Казахстана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интегрированной интерактивной карты гражданской активности, объединяющей различные типы данных в едином цифровом пространстве.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Ключевым элементом такой системы должна стать геоинформационная карта, отображающая данные о проектах НПО, волонтерской и благотворительной деятельности, а также об общественных пространствах. Карта предполагается к дополнению аналитическим дэшбордом, позволяющим оценивать уровень гражданской активности по регионам на основе эмпирических данных.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Предлагаемая модель не предполагает прямого заимствования зарубежных решений, а основывается на адаптации лучших международных практик с учетом правовых, институциональных и социально-культурных особенностей Казахстана. Важным принципом является интеграция с национальными порталами открытых данных и поэтапное расширение функционала системы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аналитического мониторинга к инструментам обратной связи и вовлечения граждан.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интерактивной карты гражданской активности рассматривается не только как технический проект, но и как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комплексная научно-исследовательская задача, направленная на формирование нового инструмента анализа и осмысления процессов развития гражданского общества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в Казахстане. Реализация данного подхода создает основу для дальнейших прикладных и академических исследований, а также для практического использования полученных результатов в сфере государственной политики и общественного развития.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styles.xml" Id="docRId43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numbering.xml" Id="docRId42" Type="http://schemas.openxmlformats.org/officeDocument/2006/relationships/numbering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/Relationships>
</file>