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60"/>
        <w:jc w:val="center"/>
        <w:rPr/>
      </w:pPr>
      <w:r>
        <w:rPr>
          <w:rFonts w:eastAsia="Calibri" w:cs="Calibri"/>
          <w:b/>
          <w:bCs/>
          <w:color w:val="1F3864"/>
          <w:sz w:val="40"/>
          <w:szCs w:val="40"/>
        </w:rPr>
        <w:t>Ryan Connelly</w:t>
      </w:r>
    </w:p>
    <w:p>
      <w:pPr>
        <w:pStyle w:val="normal1"/>
        <w:spacing w:lineRule="auto" w:line="240" w:before="0" w:after="40"/>
        <w:jc w:val="center"/>
        <w:rPr/>
      </w:pPr>
      <w:r>
        <w:rPr>
          <w:rFonts w:eastAsia="Calibri" w:cs="Calibri"/>
          <w:color w:val="444444"/>
          <w:sz w:val="20"/>
          <w:szCs w:val="20"/>
        </w:rPr>
        <w:t>Cartersville, VA  |  ryanjayconnelly@gmail.com  |  (804) 400-8989  |  linkedin.com/in/ryanjayconnelly</w:t>
      </w:r>
    </w:p>
    <w:p>
      <w:pPr>
        <w:pStyle w:val="normal1"/>
        <w:spacing w:lineRule="auto" w:line="240" w:before="0" w:after="160"/>
        <w:jc w:val="center"/>
        <w:rPr/>
      </w:pPr>
      <w:r>
        <w:rPr>
          <w:rFonts w:eastAsia="Calibri" w:cs="Calibri"/>
          <w:i/>
          <w:iCs/>
          <w:color w:val="444444"/>
          <w:sz w:val="20"/>
          <w:szCs w:val="20"/>
        </w:rPr>
        <w:t>Open to Remote, Hybrid, and Relocation</w:t>
      </w:r>
    </w:p>
    <w:p>
      <w:pPr>
        <w:pStyle w:val="normal1"/>
        <w:pBdr>
          <w:bottom w:val="single" w:sz="6" w:space="1" w:color="2E5696"/>
        </w:pBdr>
        <w:spacing w:lineRule="auto" w:line="240" w:before="0" w:after="160"/>
        <w:rPr/>
      </w:pPr>
      <w:r>
        <w:rPr/>
      </w:r>
    </w:p>
    <w:p>
      <w:pPr>
        <w:pStyle w:val="Heading1"/>
        <w:rPr/>
      </w:pPr>
      <w:r>
        <w:rPr>
          <w:rFonts w:eastAsia="Calibri" w:cs="Calibri"/>
          <w:b/>
          <w:bCs/>
          <w:color w:val="1F3864"/>
          <w:sz w:val="28"/>
          <w:szCs w:val="28"/>
        </w:rPr>
        <w:t>Professional Summary</w:t>
      </w:r>
    </w:p>
    <w:p>
      <w:pPr>
        <w:pStyle w:val="normal1"/>
        <w:spacing w:lineRule="auto" w:line="240" w:before="0" w:after="160"/>
        <w:rPr/>
      </w:pPr>
      <w:r>
        <w:rPr>
          <w:rFonts w:eastAsia="Calibri" w:cs="Calibri"/>
          <w:sz w:val="22"/>
          <w:szCs w:val="22"/>
        </w:rPr>
        <w:t>Solutions architect and program evangelist with 20+ years of successfully spotting emerging technology paradigms before industry adoption and building practical frameworks to capture their value early. Core pattern: translate complex technical challenges into human-centered solutions that scale, outlast their original scope, and elevate everyone they touch - from frontline agents to C-suite stakeholders. Demonstrated early calls on SEO, online community as product feedback infrastructure, and workforce automation - each validated by measurable business outcomes. Currently building PolyBox, a local AI inference platform designed around a core conviction: technology should augment human capability, not replace it.</w:t>
      </w:r>
    </w:p>
    <w:p>
      <w:pPr>
        <w:pStyle w:val="normal1"/>
        <w:pBdr>
          <w:bottom w:val="single" w:sz="6" w:space="1" w:color="2E5696"/>
        </w:pBdr>
        <w:spacing w:lineRule="auto" w:line="240" w:before="0" w:after="160"/>
        <w:rPr/>
      </w:pPr>
      <w:r>
        <w:rPr/>
      </w:r>
    </w:p>
    <w:p>
      <w:pPr>
        <w:pStyle w:val="Heading1"/>
        <w:rPr/>
      </w:pPr>
      <w:r>
        <w:rPr>
          <w:rFonts w:eastAsia="Calibri" w:cs="Calibri"/>
          <w:b/>
          <w:bCs/>
          <w:color w:val="1F3864"/>
          <w:sz w:val="28"/>
          <w:szCs w:val="28"/>
        </w:rPr>
        <w:t>Core Competencies</w:t>
      </w:r>
    </w:p>
    <w:p>
      <w:pPr>
        <w:pStyle w:val="normal1"/>
        <w:spacing w:lineRule="auto" w:line="240" w:before="0" w:after="60"/>
        <w:rPr/>
      </w:pPr>
      <w:r>
        <w:rPr>
          <w:rFonts w:eastAsia="Calibri" w:cs="Calibri"/>
          <w:b/>
          <w:bCs/>
          <w:sz w:val="22"/>
          <w:szCs w:val="22"/>
        </w:rPr>
        <w:t xml:space="preserve">Technical: </w:t>
      </w:r>
      <w:r>
        <w:rPr>
          <w:rFonts w:eastAsia="Calibri" w:cs="Calibri"/>
          <w:sz w:val="22"/>
          <w:szCs w:val="22"/>
        </w:rPr>
        <w:t>System Architecture • Data Infrastructure Design • SQL • Python • Rust • Power BI • Advanced Excel • Data Modeling • API Design • Process Automation • HTML/CSS • Agentic AI</w:t>
      </w:r>
    </w:p>
    <w:p>
      <w:pPr>
        <w:pStyle w:val="normal1"/>
        <w:spacing w:lineRule="auto" w:line="240" w:before="0" w:after="60"/>
        <w:rPr/>
      </w:pPr>
      <w:r>
        <w:rPr>
          <w:rFonts w:eastAsia="Calibri" w:cs="Calibri"/>
          <w:b/>
          <w:bCs/>
          <w:sz w:val="22"/>
          <w:szCs w:val="22"/>
        </w:rPr>
        <w:t xml:space="preserve">Product &amp; Strategy: </w:t>
      </w:r>
      <w:r>
        <w:rPr>
          <w:rFonts w:eastAsia="Calibri" w:cs="Calibri"/>
          <w:sz w:val="22"/>
          <w:szCs w:val="22"/>
        </w:rPr>
        <w:t>Technical Product Management • Requirements Translation • Framework Design • Stakeholder Alignment • Cross-Functional Leadership • Community Building • Developer Experience • Multimedia Content Production • Stakeholder-Adaptive Design (Frontline through C-Suite)</w:t>
      </w:r>
    </w:p>
    <w:p>
      <w:pPr>
        <w:pStyle w:val="normal1"/>
        <w:spacing w:lineRule="auto" w:line="240" w:before="0" w:after="60"/>
        <w:rPr/>
      </w:pPr>
      <w:r>
        <w:rPr>
          <w:rFonts w:eastAsia="Calibri" w:cs="Calibri"/>
          <w:b/>
          <w:bCs/>
          <w:sz w:val="22"/>
          <w:szCs w:val="22"/>
        </w:rPr>
        <w:t xml:space="preserve">Analytics: </w:t>
      </w:r>
      <w:r>
        <w:rPr>
          <w:rFonts w:eastAsia="Calibri" w:cs="Calibri"/>
          <w:sz w:val="22"/>
          <w:szCs w:val="22"/>
        </w:rPr>
        <w:t>Workforce Intelligence • Performance Optimization • Anomaly Detection • Real-Time Reporting • KPI Development • Data Visualization</w:t>
      </w:r>
    </w:p>
    <w:p>
      <w:pPr>
        <w:pStyle w:val="normal1"/>
        <w:spacing w:lineRule="auto" w:line="240" w:before="0" w:after="160"/>
        <w:rPr/>
      </w:pPr>
      <w:r>
        <w:rPr>
          <w:rFonts w:eastAsia="Calibri" w:cs="Calibri"/>
          <w:b/>
          <w:bCs/>
          <w:sz w:val="22"/>
          <w:szCs w:val="22"/>
        </w:rPr>
        <w:t xml:space="preserve">Leadership &amp; Community Impact: </w:t>
      </w:r>
      <w:r>
        <w:rPr>
          <w:rFonts w:eastAsia="Calibri" w:cs="Calibri"/>
          <w:sz w:val="22"/>
          <w:szCs w:val="22"/>
        </w:rPr>
        <w:t>Team Transformation • Community Platform Design • Culture Change Management • Stakeholder Engagement • Training &amp; Enablement • Human-Centered Coaching</w:t>
      </w:r>
    </w:p>
    <w:p>
      <w:pPr>
        <w:pStyle w:val="normal1"/>
        <w:pBdr>
          <w:bottom w:val="single" w:sz="6" w:space="1" w:color="2E5696"/>
        </w:pBdr>
        <w:spacing w:lineRule="auto" w:line="240" w:before="0" w:after="160"/>
        <w:rPr/>
      </w:pPr>
      <w:r>
        <w:rPr/>
      </w:r>
    </w:p>
    <w:p>
      <w:pPr>
        <w:pStyle w:val="Heading1"/>
        <w:rPr/>
      </w:pPr>
      <w:r>
        <w:rPr>
          <w:rFonts w:eastAsia="Calibri" w:cs="Calibri"/>
          <w:b/>
          <w:bCs/>
          <w:color w:val="1F3864"/>
          <w:sz w:val="28"/>
          <w:szCs w:val="28"/>
        </w:rPr>
        <w:t>Technical Projects</w:t>
      </w:r>
    </w:p>
    <w:p>
      <w:pPr>
        <w:pStyle w:val="Heading2"/>
        <w:rPr/>
      </w:pPr>
      <w:r>
        <w:rPr>
          <w:rFonts w:eastAsia="Calibri" w:cs="Calibri"/>
          <w:b/>
          <w:bCs/>
          <w:color w:val="2E5696"/>
          <w:sz w:val="24"/>
          <w:szCs w:val="24"/>
        </w:rPr>
        <w:t>PolyBox - Local AI Inference Platform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Professional Development Project | 2025 – Present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sz w:val="22"/>
          <w:szCs w:val="22"/>
        </w:rPr>
        <w:t>Developing production-grade local AI inference platform enabling consumer hardware to efficiently run large language models through automated multi-device layer orchestration and memory optimization. Platform developed using self-designed component-based planning methodology as application of knowledge and proof-of-concept for AI-augmented development workflows.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Architecture: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Rust/Axum backend, Python inference workers (transformers/accelerate), browser-based UI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Technical Focus: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Automated multi-device model-agnostic layer offloading, context window management, model capability detection, database-driven orchestration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Methodology: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Self-developed AI-driven component-based workflow bridging natural language requirements and technical implementation through AI-augmented translation layer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160"/>
        <w:ind w:hanging="180" w:left="360" w:right="0"/>
        <w:jc w:val="left"/>
        <w:rPr/>
      </w:pPr>
      <w:r>
        <w:rPr>
          <w:rFonts w:eastAsia="Calibri" w:cs="Calibri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Philosophy: </w:t>
      </w: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AI tools should enhance and optimize human workflows in a way that realistically improves business ROI and workforce efficiency.</w:t>
      </w:r>
    </w:p>
    <w:p>
      <w:pPr>
        <w:pStyle w:val="normal1"/>
        <w:pBdr>
          <w:bottom w:val="single" w:sz="6" w:space="1" w:color="2E5696"/>
        </w:pBdr>
        <w:spacing w:lineRule="auto" w:line="240" w:before="0" w:after="160"/>
        <w:rPr/>
      </w:pPr>
      <w:r>
        <w:rPr/>
      </w:r>
    </w:p>
    <w:p>
      <w:pPr>
        <w:pStyle w:val="Heading1"/>
        <w:rPr/>
      </w:pPr>
      <w:r>
        <w:rPr>
          <w:rFonts w:eastAsia="Calibri" w:cs="Calibri"/>
          <w:b/>
          <w:bCs/>
          <w:color w:val="1F3864"/>
          <w:sz w:val="28"/>
          <w:szCs w:val="28"/>
        </w:rPr>
        <w:t>Professional Development &amp; AI Research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Self-Directed | 2023 – 2025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sz w:val="22"/>
          <w:szCs w:val="22"/>
        </w:rPr>
        <w:t>Transitioned technical expertise into AI/ML domain through intensive research into architecture fundamentals, developing novel project management methodology validated through complex software implementation.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Created systematic project lifecycle framework bridging business requirements and technical implementation through AI-augmented workflows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Advanced study of transformer architecture, attention mechanisms, multi-device inference optimization, Agentic AI and context window management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Developed semantic compression methodology addressing token efficiency in AI communication systems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1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Analyzed production ML frameworks (transformers, accelerate) and architectural patterns (Mistral, mixture-of-experts)</w:t>
      </w:r>
    </w:p>
    <w:p>
      <w:pPr>
        <w:pStyle w:val="normal1"/>
        <w:pBdr>
          <w:bottom w:val="single" w:sz="6" w:space="1" w:color="2E5696"/>
        </w:pBdr>
        <w:spacing w:lineRule="auto" w:line="240" w:before="0" w:after="160"/>
        <w:rPr/>
      </w:pPr>
      <w:r>
        <w:rPr/>
      </w:r>
    </w:p>
    <w:p>
      <w:pPr>
        <w:pStyle w:val="Heading1"/>
        <w:rPr/>
      </w:pPr>
      <w:r>
        <w:rPr>
          <w:rFonts w:eastAsia="Calibri" w:cs="Calibri"/>
          <w:b/>
          <w:bCs/>
          <w:color w:val="1F3864"/>
          <w:sz w:val="28"/>
          <w:szCs w:val="28"/>
        </w:rPr>
        <w:t>Professional Experience</w:t>
      </w:r>
    </w:p>
    <w:p>
      <w:pPr>
        <w:pStyle w:val="Heading2"/>
        <w:rPr/>
      </w:pPr>
      <w:r>
        <w:rPr>
          <w:rFonts w:eastAsia="Calibri" w:cs="Calibri"/>
          <w:b/>
          <w:bCs/>
          <w:color w:val="2E5696"/>
          <w:sz w:val="24"/>
          <w:szCs w:val="24"/>
        </w:rPr>
        <w:t>Community Planning Analyst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T-Mobile | Richmond, VA | 2021 – 2023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sz w:val="22"/>
          <w:szCs w:val="22"/>
        </w:rPr>
        <w:t>Designed and implemented enterprise-scale analytics infrastructure serving nationwide call center operations while driving consistent team performance improvements.</w:t>
      </w:r>
    </w:p>
    <w:p>
      <w:pPr>
        <w:pStyle w:val="Heading3"/>
        <w:rPr/>
      </w:pPr>
      <w:r>
        <w:rPr>
          <w:rFonts w:eastAsia="Calibri" w:cs="Calibri"/>
          <w:b/>
          <w:bCs/>
          <w:sz w:val="22"/>
          <w:szCs w:val="22"/>
        </w:rPr>
        <w:t>Platform Architecture &amp; Impact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Built unified business intelligence reporting platform with hierarchical drill-down (national → agent level) across distributed SQL databases without performance degradation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Deployed Power BI analytics system adopted by multiple T-Mobile centers nationwide, reducing report generation time 30% with 5-minute refresh cycles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Innovated proprietary metrics including real-time call abandonment and agent behavior profiling exceeding 24-hour delayed national reporting accuracy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 intelligence platform was intentionally designed with forward compatibility with emerging AI tooling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10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System remained in production 18+ months post-departure</w:t>
      </w:r>
    </w:p>
    <w:p>
      <w:pPr>
        <w:pStyle w:val="Heading3"/>
        <w:rPr/>
      </w:pPr>
      <w:r>
        <w:rPr>
          <w:rFonts w:eastAsia="Calibri" w:cs="Calibri"/>
          <w:b/>
          <w:bCs/>
          <w:sz w:val="22"/>
          <w:szCs w:val="22"/>
        </w:rPr>
        <w:t>Operational Excellence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Managed 3-4 communities simultaneously (50% above standard assignment)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Consistently elevated teams to top 1% nationally (top 12 of ~1,200) within 30-day cycles across 12 rotations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Created high-demand internal consulting model where managers competed for assignment rotation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Drove 38% increase in customer satisfaction scores and 21% improvement in agent productivity through data-driven coaching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10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Reduced agent idle time 23% and increased service capacity 18% via workflow optimization</w:t>
      </w:r>
    </w:p>
    <w:p>
      <w:pPr>
        <w:pStyle w:val="Heading3"/>
        <w:rPr/>
      </w:pPr>
      <w:r>
        <w:rPr>
          <w:rFonts w:eastAsia="Calibri" w:cs="Calibri"/>
          <w:b/>
          <w:bCs/>
          <w:sz w:val="22"/>
          <w:szCs w:val="22"/>
        </w:rPr>
        <w:t>Technical &amp; Strategic Leadership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Interfaced directly with executive stakeholders on platform strategy, presenting system capabilities and training to leadership teams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Identified 60% data redundancy across enterprise databases through proactive analysis, contributing to strategic data consolidation planning during Snowflake migration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Created transferable human-centered coaching methodology shifting frontline culture from punitive to supportive - agents actively pursued improvement meetings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1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Served as internal consultant to 200+ managers, analysts, coaches and frontline employees company-wide, enabling adoption of data-driven methodologies and cross-functional efficiency</w:t>
      </w:r>
    </w:p>
    <w:p>
      <w:pPr>
        <w:pStyle w:val="Heading2"/>
        <w:rPr/>
      </w:pPr>
      <w:r>
        <w:rPr>
          <w:rFonts w:eastAsia="Calibri" w:cs="Calibri"/>
          <w:b/>
          <w:bCs/>
          <w:color w:val="2E5696"/>
          <w:sz w:val="24"/>
          <w:szCs w:val="24"/>
        </w:rPr>
        <w:t>TEX Expert / TEX Tech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T-Mobile | Richmond, VA | 2019 – 2021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sz w:val="22"/>
          <w:szCs w:val="22"/>
        </w:rPr>
        <w:t>Provided technical support while identifying systemic issues and designing solutions that scaled nationally.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Delivered actuarial analysis demonstrating $1.2M in cost savings over 3-month device retirement period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Identified Samsung device network card manufacturing defect, traced root cause to BIOS version mismatch between component suppliers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Designed streamlined replacement workflow and tracking system, collaborating directly with Samsung liaison on technical resolution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Assisted in facilitating first ever collaboration between field engineering and technical support teams, identifying 3-year UI gap which prevented effective communication - tool enhancement reduced ticket send-backs and improved resolution times by 39% post roll out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De-siloed geographically distributed technical support teams via Slack-based peer support network - infrastructure proved critical when COVID-19 forced remote work 3 weeks later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1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Created resolution documentation and training materials reducing technician ramp-up time, improving first-contact resolution rates, and enabling users and improved self-service experience</w:t>
      </w:r>
    </w:p>
    <w:p>
      <w:pPr>
        <w:pStyle w:val="Heading2"/>
        <w:rPr/>
      </w:pPr>
      <w:r>
        <w:rPr>
          <w:rFonts w:eastAsia="Calibri" w:cs="Calibri"/>
          <w:b/>
          <w:bCs/>
          <w:color w:val="2E5696"/>
          <w:sz w:val="24"/>
          <w:szCs w:val="24"/>
        </w:rPr>
        <w:t>Owner / Data &amp; Marketing Consultant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Ethical Success | Richmond, VA | 2018 – 2019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sz w:val="22"/>
          <w:szCs w:val="22"/>
        </w:rPr>
        <w:t>Led solo consulting practice delivering end-to-end marketing solutions for small to mid-sized businesses.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Built digital marketing foundation for forex authority Barbara Rockefeller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Translated client performance data into actionable strategy, improving campaign ROI and online visibility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Designed and implemented complete technical marketing infrastructure including website development, CRM integrations, and custom analytics dashboards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Produced video content and training materials using Camtasia Studio to enhance client marketing assets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Managed multi-platform digital advertising campaigns (Google, Facebook, LinkedIn) using data segmentation, geo targeting, and A/B testing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1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Provided strategic coaching and workshop facilitation to improve client operational efficiency and digital literacy</w:t>
      </w:r>
    </w:p>
    <w:p>
      <w:pPr>
        <w:pStyle w:val="Heading2"/>
        <w:rPr/>
      </w:pPr>
      <w:r>
        <w:rPr>
          <w:rFonts w:eastAsia="Calibri" w:cs="Calibri"/>
          <w:b/>
          <w:bCs/>
          <w:color w:val="2E5696"/>
          <w:sz w:val="24"/>
          <w:szCs w:val="24"/>
        </w:rPr>
        <w:t>Project Manager / Marketing Analyst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SuccessWerks LLC | Midlothian, VA | 2016 – 2017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sz w:val="22"/>
          <w:szCs w:val="22"/>
        </w:rPr>
        <w:t>Managed client projects from concept through delivery, ensuring business objectives were met through data-informed marketing strategies.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Utilized analytics and community segment sentiment analysis to optimize 6+ concurrent PPC campaigns through daily update cycles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Partnered with clients to define measurable success metrics and align data reporting with organizational goals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Developed visual dashboards and campaign reports clarifying ROI and performance trends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1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Consulted on CRM and CMS implementations to improve data management and customer retention</w:t>
      </w:r>
    </w:p>
    <w:p>
      <w:pPr>
        <w:pStyle w:val="Heading2"/>
        <w:rPr/>
      </w:pPr>
      <w:r>
        <w:rPr>
          <w:rFonts w:eastAsia="Calibri" w:cs="Calibri"/>
          <w:b/>
          <w:bCs/>
          <w:color w:val="2E5696"/>
          <w:sz w:val="24"/>
          <w:szCs w:val="24"/>
        </w:rPr>
        <w:t>Online Community Evangelist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Volusion Inc. | Austin, TX | 2009 – 2011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sz w:val="22"/>
          <w:szCs w:val="22"/>
        </w:rPr>
        <w:t>Led replacement of e-commerce platform's customer community platform to support online company sentiment shift while advocating for user voice in product development decisions.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Spearheaded full community platform migration with third-party vendor, providing design direction and technical requirements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Implemented feature request system with user voting mechanism during platform's peak growth period, creating feedback loop between e-commerce business community and product team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Strategically migrated users from support channels to community platform, reducing support load while improving sentiment visibility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Produced customer-facing training video library using Camtasia Studio (self-taught same-day), with content remaining live 15+ years later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1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Successfully shifted hostile community sentiment through consistent two-way advocacy</w:t>
      </w:r>
    </w:p>
    <w:p>
      <w:pPr>
        <w:pStyle w:val="Heading2"/>
        <w:rPr/>
      </w:pPr>
      <w:r>
        <w:rPr>
          <w:rFonts w:eastAsia="Calibri" w:cs="Calibri"/>
          <w:b/>
          <w:bCs/>
          <w:color w:val="2E5696"/>
          <w:sz w:val="24"/>
          <w:szCs w:val="24"/>
        </w:rPr>
        <w:t>Online Community Manager / Online Content Producer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Circuit City | Richmond, VA | 2007 – 2009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sz w:val="22"/>
          <w:szCs w:val="22"/>
        </w:rPr>
        <w:t>Built and managed company-wide online community while creating product content that achieved international media coverage.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Partnered with buying team to review pre-release products from suppliers such as Microsoft and Garmin, combining technical analysis with community feedback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Work with Garmin led to product launch delay for feature improvements, resulting in their best-selling GPS unit (at the time) and establishing online sentiment analysis as pre-release product development tool and SOP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Managed network of 20 employee community contributors across company locations, compensating enthusiasts to provide authentic customer engagement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Produced product reviews syndicated across international affiliate network to outlets including Reuters, CNN, and PC Gamer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Co-hosted industry-first podcast (Tech Sandwich) growing listener base 55% over 3-month period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Developed online product training documentation and internal employee resources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Contributed to website SEO architecture initiative improving search indexing and page rankings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Increased community repeat visits 75% and average order value 150% through strategic content and engagement programs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Directly supported online sales teams and initiatives by leveraging community assets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1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Online sales team remained last profitable profit center through company closure</w:t>
      </w:r>
    </w:p>
    <w:p>
      <w:pPr>
        <w:pStyle w:val="Heading2"/>
        <w:rPr/>
      </w:pPr>
      <w:r>
        <w:rPr>
          <w:rFonts w:eastAsia="Calibri" w:cs="Calibri"/>
          <w:b/>
          <w:bCs/>
          <w:color w:val="2E5696"/>
          <w:sz w:val="24"/>
          <w:szCs w:val="24"/>
        </w:rPr>
        <w:t>Firedog Support | Senior Leader | Data Analyst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Circuit City | Richmond, VA | 2006 – 2007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sz w:val="22"/>
          <w:szCs w:val="22"/>
        </w:rPr>
        <w:t>Provided technical leadership and data-driven strategic guidance for specialized customer service program launch supporting 45 phone agents.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Designed Excel-based workforce intelligence system combining customer sentiment tracking with operational metrics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Created deterministic equation measuring relationship between workforce performance and customer satisfaction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Developed training curriculum based on data findings, collaborating weekly with program director on strategic initiatives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1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Influenced tooling decisions, policy adjustments, and customer resolution frameworks through analytical insights</w:t>
      </w:r>
    </w:p>
    <w:p>
      <w:pPr>
        <w:pStyle w:val="Heading2"/>
        <w:rPr/>
      </w:pPr>
      <w:r>
        <w:rPr>
          <w:rFonts w:eastAsia="Calibri" w:cs="Calibri"/>
          <w:b/>
          <w:bCs/>
          <w:color w:val="2E5696"/>
          <w:sz w:val="24"/>
          <w:szCs w:val="24"/>
        </w:rPr>
        <w:t>Provisioning Specialist / Technical Support Representative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i/>
          <w:iCs/>
          <w:color w:val="555555"/>
          <w:sz w:val="20"/>
          <w:szCs w:val="20"/>
        </w:rPr>
        <w:t>Cavalier Telephone | Richmond, VA | 2003 – 2006</w:t>
      </w:r>
    </w:p>
    <w:p>
      <w:pPr>
        <w:pStyle w:val="normal1"/>
        <w:spacing w:lineRule="auto" w:line="240" w:before="0" w:after="80"/>
        <w:rPr/>
      </w:pPr>
      <w:r>
        <w:rPr>
          <w:rFonts w:eastAsia="Calibri" w:cs="Calibri"/>
          <w:sz w:val="22"/>
          <w:szCs w:val="22"/>
        </w:rPr>
        <w:t>Advanced through customer service, technical support, and provisioning roles while creating automation solutions.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Interfaced with Verizon systems to execute customer network switchovers from legacy to Cavalier infrastructure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Built automation systems reducing 4-person workload to single-operator capacity while maintaining documentation for team scalability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40" w:before="0" w:after="160"/>
        <w:ind w:hanging="180" w:left="360" w:right="0"/>
        <w:jc w:val="left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Provided technical support for cutting-edge DSL and dual-ISDN services, training team members on complex technical implementations</w:t>
      </w:r>
    </w:p>
    <w:p>
      <w:pPr>
        <w:pStyle w:val="normal1"/>
        <w:pBdr>
          <w:bottom w:val="single" w:sz="6" w:space="1" w:color="2E5696"/>
        </w:pBdr>
        <w:spacing w:lineRule="auto" w:line="240" w:before="0" w:after="160"/>
        <w:rPr/>
      </w:pPr>
      <w:r>
        <w:rPr/>
      </w:r>
    </w:p>
    <w:p>
      <w:pPr>
        <w:pStyle w:val="Heading1"/>
        <w:rPr/>
      </w:pPr>
      <w:r>
        <w:rPr>
          <w:rFonts w:eastAsia="Calibri" w:cs="Calibri"/>
          <w:b/>
          <w:bCs/>
          <w:color w:val="1F3864"/>
          <w:sz w:val="28"/>
          <w:szCs w:val="28"/>
        </w:rPr>
        <w:t>Education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b/>
          <w:bCs/>
          <w:sz w:val="22"/>
          <w:szCs w:val="22"/>
        </w:rPr>
        <w:t>Bachelor of Science in Information Systems (In Progress)</w:t>
      </w:r>
    </w:p>
    <w:p>
      <w:pPr>
        <w:pStyle w:val="normal1"/>
        <w:spacing w:lineRule="auto" w:line="240" w:before="0" w:after="100"/>
        <w:rPr/>
      </w:pPr>
      <w:r>
        <w:rPr>
          <w:rFonts w:eastAsia="Calibri" w:cs="Calibri"/>
          <w:color w:val="555555"/>
          <w:sz w:val="22"/>
          <w:szCs w:val="22"/>
        </w:rPr>
        <w:t>Virginia Commonwealth University | Richmond, VA | 2014 – 2016</w:t>
      </w:r>
    </w:p>
    <w:p>
      <w:pPr>
        <w:pStyle w:val="normal1"/>
        <w:spacing w:lineRule="auto" w:line="240" w:before="0" w:after="40"/>
        <w:rPr/>
      </w:pPr>
      <w:r>
        <w:rPr>
          <w:rFonts w:eastAsia="Calibri" w:cs="Calibri"/>
          <w:b/>
          <w:bCs/>
          <w:sz w:val="22"/>
          <w:szCs w:val="22"/>
        </w:rPr>
        <w:t>Associate of Science in Business Administration</w:t>
      </w:r>
    </w:p>
    <w:p>
      <w:pPr>
        <w:pStyle w:val="normal1"/>
        <w:spacing w:lineRule="auto" w:line="240" w:before="0" w:after="160"/>
        <w:rPr/>
      </w:pPr>
      <w:r>
        <w:rPr>
          <w:rFonts w:eastAsia="Calibri" w:cs="Calibri"/>
          <w:color w:val="555555"/>
          <w:sz w:val="22"/>
          <w:szCs w:val="22"/>
        </w:rPr>
        <w:t>J. Sargeant Reynolds Community College | Richmond, VA | 2012 – 2013</w:t>
      </w:r>
    </w:p>
    <w:p>
      <w:pPr>
        <w:pStyle w:val="normal1"/>
        <w:pBdr>
          <w:bottom w:val="single" w:sz="6" w:space="1" w:color="2E5696"/>
        </w:pBdr>
        <w:spacing w:lineRule="auto" w:line="240" w:before="0" w:after="160"/>
        <w:rPr/>
      </w:pPr>
      <w:r>
        <w:rPr/>
      </w:r>
    </w:p>
    <w:p>
      <w:pPr>
        <w:pStyle w:val="Heading1"/>
        <w:rPr/>
      </w:pPr>
      <w:r>
        <w:rPr>
          <w:rFonts w:eastAsia="Calibri" w:cs="Calibri"/>
          <w:b/>
          <w:bCs/>
          <w:color w:val="1F3864"/>
          <w:sz w:val="28"/>
          <w:szCs w:val="28"/>
        </w:rPr>
        <w:t>Certifications</w:t>
      </w:r>
    </w:p>
    <w:p>
      <w:pPr>
        <w:pStyle w:val="normal1"/>
        <w:spacing w:lineRule="auto" w:line="240" w:before="0" w:after="160"/>
        <w:rPr/>
      </w:pPr>
      <w:r>
        <w:rPr>
          <w:rFonts w:eastAsia="Calibri" w:cs="Calibri"/>
          <w:sz w:val="22"/>
          <w:szCs w:val="22"/>
        </w:rPr>
        <w:t>SEO Certification | Bruce Clay Academy</w:t>
      </w:r>
    </w:p>
    <w:p>
      <w:pPr>
        <w:pStyle w:val="normal1"/>
        <w:pBdr>
          <w:bottom w:val="single" w:sz="6" w:space="1" w:color="2E5696"/>
        </w:pBdr>
        <w:spacing w:lineRule="auto" w:line="240" w:before="0" w:after="160"/>
        <w:rPr/>
      </w:pPr>
      <w:r>
        <w:rPr/>
      </w:r>
    </w:p>
    <w:p>
      <w:pPr>
        <w:pStyle w:val="Heading1"/>
        <w:rPr/>
      </w:pPr>
      <w:r>
        <w:rPr>
          <w:rFonts w:eastAsia="Calibri" w:cs="Calibri"/>
          <w:b/>
          <w:bCs/>
          <w:color w:val="1F3864"/>
          <w:sz w:val="28"/>
          <w:szCs w:val="28"/>
        </w:rPr>
        <w:t>Additional Information</w:t>
      </w:r>
    </w:p>
    <w:p>
      <w:pPr>
        <w:pStyle w:val="normal1"/>
        <w:spacing w:lineRule="auto" w:line="240" w:before="0" w:after="60"/>
        <w:rPr/>
      </w:pPr>
      <w:r>
        <w:rPr>
          <w:rFonts w:eastAsia="Calibri" w:cs="Calibri"/>
          <w:b/>
          <w:bCs/>
          <w:sz w:val="22"/>
          <w:szCs w:val="22"/>
        </w:rPr>
        <w:t xml:space="preserve">International Experience: </w:t>
      </w:r>
      <w:r>
        <w:rPr>
          <w:rFonts w:eastAsia="Calibri" w:cs="Calibri"/>
          <w:sz w:val="22"/>
          <w:szCs w:val="22"/>
        </w:rPr>
        <w:t>European opera tour (age 16) facilitated immersion-based language learning</w:t>
      </w:r>
    </w:p>
    <w:p>
      <w:pPr>
        <w:pStyle w:val="normal1"/>
        <w:spacing w:lineRule="auto" w:line="240" w:before="0" w:after="60"/>
        <w:rPr/>
      </w:pPr>
      <w:r>
        <w:rPr>
          <w:rFonts w:eastAsia="Calibri" w:cs="Calibri"/>
          <w:b/>
          <w:bCs/>
          <w:sz w:val="22"/>
          <w:szCs w:val="22"/>
        </w:rPr>
        <w:t xml:space="preserve">Continuous Learning: </w:t>
      </w:r>
      <w:r>
        <w:rPr>
          <w:rFonts w:eastAsia="Calibri" w:cs="Calibri"/>
          <w:sz w:val="22"/>
          <w:szCs w:val="22"/>
        </w:rPr>
        <w:t>Self-directed technical skill acquisition including SQL, Power BI/DAX, Camtasia Studio, Python/Rust (ongoing), AI/ML frameworks, Application of AI architecture and concepts to provide measurable ROI</w:t>
      </w:r>
    </w:p>
    <w:sectPr>
      <w:type w:val="nextPage"/>
      <w:pgSz w:w="12240" w:h="15840"/>
      <w:pgMar w:left="1008" w:right="1008" w:gutter="0" w:header="0" w:top="864" w:footer="0" w:bottom="864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9" w:fontKey="{09014A78-CABC-4EF0-12AC-5CD89AEFDE09}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180"/>
      </w:pPr>
      <w:rPr>
        <w:rFonts w:ascii="Symbol" w:hAnsi="Symbol" w:cs="Symbol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2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3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4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5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6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7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  <w:lvl w:ilvl="8">
      <w:start w:val="1"/>
      <w:numFmt w:val="bullet"/>
      <w:lvlText w:val=""/>
      <w:lvlJc w:val="left"/>
      <w:pPr>
        <w:tabs>
          <w:tab w:val="num" w:pos="0"/>
        </w:tabs>
        <w:ind w:left="0" w:hanging="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200" w:after="100"/>
      <w:ind w:hanging="0" w:left="0" w:right="0"/>
      <w:jc w:val="lef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1F3864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160" w:after="80"/>
      <w:ind w:hanging="0" w:left="0" w:right="0"/>
      <w:jc w:val="lef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2E5696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120" w:after="60"/>
      <w:ind w:hanging="0" w:left="0" w:right="0"/>
      <w:jc w:val="left"/>
    </w:pPr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Calibri" w:hAnsi="Calibri" w:eastAsia="Calibri" w:cs="Calibri"/>
      <w:b w:val="false"/>
      <w:bCs w:val="false"/>
      <w:i/>
      <w:iCs/>
      <w:caps w:val="false"/>
      <w:smallCaps w:val="false"/>
      <w:strike w:val="false"/>
      <w:dstrike w:val="false"/>
      <w:color w:val="2E74B5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2E74B5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1F4D78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false"/>
      <w:keepLines w:val="false"/>
      <w:pageBreakBefore w:val="false"/>
      <w:widowControl/>
      <w:shd w:val="clear" w:fill="auto"/>
      <w:spacing w:lineRule="auto" w:line="240" w:before="0" w:after="0"/>
      <w:ind w:hanging="0" w:left="0" w:right="0"/>
      <w:jc w:val="left"/>
    </w:pPr>
    <w:rPr>
      <w:rFonts w:ascii="Calibri" w:hAnsi="Calibri" w:eastAsia="Calibri" w:cs="Calibri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position w:val="0"/>
      <w:sz w:val="56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6</Pages>
  <Words>1617</Words>
  <Characters>11039</Characters>
  <CharactersWithSpaces>12499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2026-03-11T15:06:17Z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