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STHeiti" w:hAnsi="STHeiti" w:eastAsia="STHeiti"/>
          <w:b w:val="0"/>
          <w:color w:val="000000"/>
          <w:sz w:val="52"/>
        </w:rPr>
        <w:t>数字网格员系统使用说明书</w:t>
      </w:r>
    </w:p>
    <w:p>
      <w:pPr>
        <w:jc w:val="left"/>
      </w:pPr>
      <w:r>
        <w:rPr>
          <w:rFonts w:ascii="STHeiti" w:hAnsi="STHeiti" w:eastAsia="STHeiti"/>
          <w:b w:val="0"/>
          <w:color w:val="000000"/>
          <w:sz w:val="22"/>
        </w:rPr>
        <w:t>本说明书面向评审人员、社区网格员和小程序测试人员，说明数字网格员系统的 Windows 一键启动方法、数字网格员网页端操作流程、微信小程序使用方式，以及 Excel 批量导入、适老化灵活登记和 HiAgent 配置方式。</w:t>
      </w:r>
    </w:p>
    <w:p>
      <w:pPr>
        <w:pStyle w:val="Heading1"/>
      </w:pPr>
      <w:r>
        <w:t>一、说明书用途</w:t>
      </w:r>
    </w:p>
    <w:p>
      <w:pPr>
        <w:jc w:val="left"/>
      </w:pPr>
      <w:r>
        <w:rPr>
          <w:rFonts w:ascii="STHeiti" w:hAnsi="STHeiti" w:eastAsia="STHeiti"/>
          <w:b w:val="0"/>
          <w:color w:val="000000"/>
          <w:sz w:val="22"/>
        </w:rPr>
        <w:t>本说明书用于指导测试人员在不修改源码的情况下运行和体验数字网格员系统。测试人员无需准备 HiAgent API Key，也可以直接使用本地模拟模式完成居民登记、对话、工单生成、网格分派和权限验证。</w:t>
      </w:r>
    </w:p>
    <w:p>
      <w:pPr>
        <w:jc w:val="left"/>
      </w:pPr>
      <w:r>
        <w:rPr>
          <w:rFonts w:ascii="STHeiti" w:hAnsi="STHeiti" w:eastAsia="STHeiti"/>
          <w:b w:val="0"/>
          <w:color w:val="000000"/>
          <w:sz w:val="22"/>
        </w:rPr>
        <w:t>如果测试人员需要验证真实 HiAgent 对话，只需在首次启动时填写自己的 HiAgent 接口地址、应用 ID、工作流 ID 和 API Key。API Key 只保存在本机后端运行目录中，不进入微信小程序，也不进入网页端公开配置。</w:t>
      </w:r>
    </w:p>
    <w:p>
      <w:pPr>
        <w:pStyle w:val="Heading1"/>
      </w:pPr>
      <w:r>
        <w:t>二、系统组成</w:t>
      </w:r>
    </w:p>
    <w:tbl>
      <w:tblPr>
        <w:tblW w:type="dxa" w:w="936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bottom w:w="80" w:type="dxa"/>
          <w:start w:w="120" w:type="dxa"/>
          <w:end w:w="120" w:type="dxa"/>
        </w:tblCellMar>
      </w:tblPr>
      <w:tblGrid>
        <w:gridCol w:w="2620"/>
        <w:gridCol w:w="6740"/>
      </w:tblGrid>
      <w:tr>
        <w:tc>
          <w:tcPr>
            <w:tcW w:type="dxa" w:w="2620"/>
            <w:vAlign w:val="center"/>
            <w:shd w:fill="1F4D78" w:val="clear"/>
          </w:tcPr>
          <w:p>
            <w:pPr>
              <w:spacing w:before="0" w:after="0" w:line="264" w:lineRule="auto"/>
            </w:pPr>
            <w:r>
              <w:rPr>
                <w:rFonts w:ascii="STHeiti" w:hAnsi="STHeiti" w:eastAsia="STHeiti"/>
                <w:b/>
                <w:color w:val="FFFFFF"/>
                <w:sz w:val="20"/>
              </w:rPr>
              <w:t>组成部分</w:t>
            </w:r>
          </w:p>
        </w:tc>
        <w:tc>
          <w:tcPr>
            <w:tcW w:type="dxa" w:w="6740"/>
            <w:vAlign w:val="center"/>
            <w:shd w:fill="1F4D78" w:val="clear"/>
          </w:tcPr>
          <w:p>
            <w:pPr>
              <w:spacing w:before="0" w:after="0" w:line="264" w:lineRule="auto"/>
            </w:pPr>
            <w:r>
              <w:rPr>
                <w:rFonts w:ascii="STHeiti" w:hAnsi="STHeiti" w:eastAsia="STHeiti"/>
                <w:b/>
                <w:color w:val="FFFFFF"/>
                <w:sz w:val="20"/>
              </w:rPr>
              <w:t>作用</w:t>
            </w:r>
          </w:p>
        </w:tc>
      </w:tr>
      <w:tr>
        <w:tc>
          <w:tcPr>
            <w:tcW w:type="dxa" w:w="2620"/>
            <w:vAlign w:val="center"/>
          </w:tcPr>
          <w:p>
            <w:pPr>
              <w:spacing w:before="0" w:after="0" w:line="264" w:lineRule="auto"/>
            </w:pPr>
            <w:r>
              <w:rPr>
                <w:rFonts w:ascii="STHeiti" w:hAnsi="STHeiti" w:eastAsia="STHeiti"/>
                <w:b w:val="0"/>
                <w:color w:val="000000"/>
                <w:sz w:val="20"/>
              </w:rPr>
              <w:t>Windows 一键启动程序</w:t>
            </w:r>
          </w:p>
        </w:tc>
        <w:tc>
          <w:tcPr>
            <w:tcW w:type="dxa" w:w="6740"/>
            <w:vAlign w:val="center"/>
          </w:tcPr>
          <w:p>
            <w:pPr>
              <w:spacing w:before="0" w:after="0" w:line="264" w:lineRule="auto"/>
            </w:pPr>
            <w:r>
              <w:rPr>
                <w:rFonts w:ascii="STHeiti" w:hAnsi="STHeiti" w:eastAsia="STHeiti"/>
                <w:b w:val="0"/>
                <w:color w:val="000000"/>
                <w:sz w:val="20"/>
              </w:rPr>
              <w:t>自动检测 Node.js、启动后端、打开网页端并尝试打开微信开发者工具</w:t>
            </w:r>
          </w:p>
        </w:tc>
      </w:tr>
      <w:tr>
        <w:tc>
          <w:tcPr>
            <w:tcW w:type="dxa" w:w="2620"/>
            <w:vAlign w:val="center"/>
            <w:shd w:fill="F2F4F7" w:val="clear"/>
          </w:tcPr>
          <w:p>
            <w:pPr>
              <w:spacing w:before="0" w:after="0" w:line="264" w:lineRule="auto"/>
            </w:pPr>
            <w:r>
              <w:rPr>
                <w:rFonts w:ascii="STHeiti" w:hAnsi="STHeiti" w:eastAsia="STHeiti"/>
                <w:b w:val="0"/>
                <w:color w:val="000000"/>
                <w:sz w:val="20"/>
              </w:rPr>
              <w:t>数字网格员网页端</w:t>
            </w:r>
          </w:p>
        </w:tc>
        <w:tc>
          <w:tcPr>
            <w:tcW w:type="dxa" w:w="6740"/>
            <w:vAlign w:val="center"/>
            <w:shd w:fill="F2F4F7" w:val="clear"/>
          </w:tcPr>
          <w:p>
            <w:pPr>
              <w:spacing w:before="0" w:after="0" w:line="264" w:lineRule="auto"/>
            </w:pPr>
            <w:r>
              <w:rPr>
                <w:rFonts w:ascii="STHeiti" w:hAnsi="STHeiti" w:eastAsia="STHeiti"/>
                <w:b w:val="0"/>
                <w:color w:val="000000"/>
                <w:sz w:val="20"/>
              </w:rPr>
              <w:t>工单中心、居民档案、Excel 批量导入、网格员权限和手动派单</w:t>
            </w:r>
          </w:p>
        </w:tc>
      </w:tr>
      <w:tr>
        <w:tc>
          <w:tcPr>
            <w:tcW w:type="dxa" w:w="2620"/>
            <w:vAlign w:val="center"/>
          </w:tcPr>
          <w:p>
            <w:pPr>
              <w:spacing w:before="0" w:after="0" w:line="264" w:lineRule="auto"/>
            </w:pPr>
            <w:r>
              <w:rPr>
                <w:rFonts w:ascii="STHeiti" w:hAnsi="STHeiti" w:eastAsia="STHeiti"/>
                <w:b w:val="0"/>
                <w:color w:val="000000"/>
                <w:sz w:val="20"/>
              </w:rPr>
              <w:t>微信小程序居民端</w:t>
            </w:r>
          </w:p>
        </w:tc>
        <w:tc>
          <w:tcPr>
            <w:tcW w:type="dxa" w:w="6740"/>
            <w:vAlign w:val="center"/>
          </w:tcPr>
          <w:p>
            <w:pPr>
              <w:spacing w:before="0" w:after="0" w:line="264" w:lineRule="auto"/>
            </w:pPr>
            <w:r>
              <w:rPr>
                <w:rFonts w:ascii="STHeiti" w:hAnsi="STHeiti" w:eastAsia="STHeiti"/>
                <w:b w:val="0"/>
                <w:color w:val="000000"/>
                <w:sz w:val="20"/>
              </w:rPr>
              <w:t>地址登记、地址修改、诉求对话、工单进度查看</w:t>
            </w:r>
          </w:p>
        </w:tc>
      </w:tr>
      <w:tr>
        <w:tc>
          <w:tcPr>
            <w:tcW w:type="dxa" w:w="2620"/>
            <w:vAlign w:val="center"/>
            <w:shd w:fill="F2F4F7" w:val="clear"/>
          </w:tcPr>
          <w:p>
            <w:pPr>
              <w:spacing w:before="0" w:after="0" w:line="264" w:lineRule="auto"/>
            </w:pPr>
            <w:r>
              <w:rPr>
                <w:rFonts w:ascii="STHeiti" w:hAnsi="STHeiti" w:eastAsia="STHeiti"/>
                <w:b w:val="0"/>
                <w:color w:val="000000"/>
                <w:sz w:val="20"/>
              </w:rPr>
              <w:t>数字网格员后端</w:t>
            </w:r>
          </w:p>
        </w:tc>
        <w:tc>
          <w:tcPr>
            <w:tcW w:type="dxa" w:w="6740"/>
            <w:vAlign w:val="center"/>
            <w:shd w:fill="F2F4F7" w:val="clear"/>
          </w:tcPr>
          <w:p>
            <w:pPr>
              <w:spacing w:before="0" w:after="0" w:line="264" w:lineRule="auto"/>
            </w:pPr>
            <w:r>
              <w:rPr>
                <w:rFonts w:ascii="STHeiti" w:hAnsi="STHeiti" w:eastAsia="STHeiti"/>
                <w:b w:val="0"/>
                <w:color w:val="000000"/>
                <w:sz w:val="20"/>
              </w:rPr>
              <w:t>身份认证、居民档案、会话消息、工单落库、分派和权限隔离</w:t>
            </w:r>
          </w:p>
        </w:tc>
      </w:tr>
      <w:tr>
        <w:tc>
          <w:tcPr>
            <w:tcW w:type="dxa" w:w="2620"/>
            <w:vAlign w:val="center"/>
          </w:tcPr>
          <w:p>
            <w:pPr>
              <w:spacing w:before="0" w:after="0" w:line="264" w:lineRule="auto"/>
            </w:pPr>
            <w:r>
              <w:rPr>
                <w:rFonts w:ascii="STHeiti" w:hAnsi="STHeiti" w:eastAsia="STHeiti"/>
                <w:b w:val="0"/>
                <w:color w:val="000000"/>
                <w:sz w:val="20"/>
              </w:rPr>
              <w:t>HiAgent 智能体</w:t>
            </w:r>
          </w:p>
        </w:tc>
        <w:tc>
          <w:tcPr>
            <w:tcW w:type="dxa" w:w="6740"/>
            <w:vAlign w:val="center"/>
          </w:tcPr>
          <w:p>
            <w:pPr>
              <w:spacing w:before="0" w:after="0" w:line="264" w:lineRule="auto"/>
            </w:pPr>
            <w:r>
              <w:rPr>
                <w:rFonts w:ascii="STHeiti" w:hAnsi="STHeiti" w:eastAsia="STHeiti"/>
                <w:b w:val="0"/>
                <w:color w:val="000000"/>
                <w:sz w:val="20"/>
              </w:rPr>
              <w:t>意图识别、政策检索、信息补齐、工单草稿和居民回复</w:t>
            </w:r>
          </w:p>
        </w:tc>
      </w:tr>
    </w:tbl>
    <w:p>
      <w:pPr>
        <w:pStyle w:val="Heading1"/>
      </w:pPr>
      <w:r>
        <w:t>三、Windows 一键启动</w:t>
      </w:r>
    </w:p>
    <w:p>
      <w:pPr>
        <w:pStyle w:val="Heading2"/>
      </w:pPr>
      <w:r>
        <w:t>3.1 准备工作</w:t>
      </w:r>
    </w:p>
    <w:p>
      <w:pPr>
        <w:jc w:val="left"/>
      </w:pPr>
      <w:r>
        <w:rPr>
          <w:rFonts w:ascii="STHeiti" w:hAnsi="STHeiti" w:eastAsia="STHeiti"/>
          <w:b w:val="0"/>
          <w:color w:val="000000"/>
          <w:sz w:val="22"/>
        </w:rPr>
        <w:t>测试电脑需要满足以下条件：</w:t>
      </w:r>
    </w:p>
    <w:p>
      <w:pPr>
        <w:pStyle w:val="ListBullet"/>
      </w:pPr>
      <w:r>
        <w:rPr>
          <w:rFonts w:ascii="STHeiti" w:hAnsi="STHeiti" w:eastAsia="STHeiti"/>
          <w:b w:val="0"/>
          <w:color w:val="000000"/>
          <w:sz w:val="22"/>
        </w:rPr>
        <w:t>Windows 10 或 Windows 11。</w:t>
      </w:r>
    </w:p>
    <w:p>
      <w:pPr>
        <w:pStyle w:val="ListBullet"/>
      </w:pPr>
      <w:r>
        <w:rPr>
          <w:rFonts w:ascii="STHeiti" w:hAnsi="STHeiti" w:eastAsia="STHeiti"/>
          <w:b w:val="0"/>
          <w:color w:val="000000"/>
          <w:sz w:val="22"/>
        </w:rPr>
        <w:t>解压后的项目目录具有写入权限。</w:t>
      </w:r>
    </w:p>
    <w:p>
      <w:pPr>
        <w:pStyle w:val="ListBullet"/>
      </w:pPr>
      <w:r>
        <w:rPr>
          <w:rFonts w:ascii="STHeiti" w:hAnsi="STHeiti" w:eastAsia="STHeiti"/>
          <w:b w:val="0"/>
          <w:color w:val="000000"/>
          <w:sz w:val="22"/>
        </w:rPr>
        <w:t>如需首次自动下载 Node.js，测试电脑需要能够访问互联网。</w:t>
      </w:r>
    </w:p>
    <w:p>
      <w:pPr>
        <w:pStyle w:val="ListBullet"/>
      </w:pPr>
      <w:r>
        <w:rPr>
          <w:rFonts w:ascii="STHeiti" w:hAnsi="STHeiti" w:eastAsia="STHeiti"/>
          <w:b w:val="0"/>
          <w:color w:val="000000"/>
          <w:sz w:val="22"/>
        </w:rPr>
        <w:t>如需查看微信小程序，建议预先安装微信开发者工具。</w:t>
      </w:r>
    </w:p>
    <w:p>
      <w:pPr>
        <w:pStyle w:val="Heading2"/>
      </w:pPr>
      <w:r>
        <w:t>3.2 启动步骤</w:t>
      </w:r>
    </w:p>
    <w:p>
      <w:pPr>
        <w:jc w:val="left"/>
      </w:pPr>
      <w:r>
        <w:rPr>
          <w:rFonts w:ascii="STHeiti" w:hAnsi="STHeiti" w:eastAsia="STHeiti"/>
          <w:b w:val="0"/>
          <w:color w:val="000000"/>
          <w:sz w:val="22"/>
        </w:rPr>
        <w:t>1. 解压提交压缩包。</w:t>
      </w:r>
    </w:p>
    <w:p>
      <w:pPr>
        <w:jc w:val="left"/>
      </w:pPr>
      <w:r>
        <w:rPr>
          <w:rFonts w:ascii="STHeiti" w:hAnsi="STHeiti" w:eastAsia="STHeiti"/>
          <w:b w:val="0"/>
          <w:color w:val="000000"/>
          <w:sz w:val="22"/>
        </w:rPr>
        <w:t>2. 进入解压后的 `DigitalGridWorker` 文件夹。</w:t>
      </w:r>
    </w:p>
    <w:p>
      <w:pPr>
        <w:jc w:val="left"/>
      </w:pPr>
      <w:r>
        <w:rPr>
          <w:rFonts w:ascii="STHeiti" w:hAnsi="STHeiti" w:eastAsia="STHeiti"/>
          <w:b w:val="0"/>
          <w:color w:val="000000"/>
          <w:sz w:val="22"/>
        </w:rPr>
        <w:t>3. 双击 `start-digital-grid-worker.bat`。</w:t>
      </w:r>
    </w:p>
    <w:p>
      <w:pPr>
        <w:jc w:val="left"/>
      </w:pPr>
      <w:r>
        <w:rPr>
          <w:rFonts w:ascii="STHeiti" w:hAnsi="STHeiti" w:eastAsia="STHeiti"/>
          <w:b w:val="0"/>
          <w:color w:val="000000"/>
          <w:sz w:val="22"/>
        </w:rPr>
        <w:t>4. 如果 Windows 防火墙弹出提示，选择“允许访问”。</w:t>
      </w:r>
    </w:p>
    <w:p>
      <w:pPr>
        <w:jc w:val="left"/>
      </w:pPr>
      <w:r>
        <w:rPr>
          <w:rFonts w:ascii="STHeiti" w:hAnsi="STHeiti" w:eastAsia="STHeiti"/>
          <w:b w:val="0"/>
          <w:color w:val="000000"/>
          <w:sz w:val="22"/>
        </w:rPr>
        <w:t>5. 脚本会自动启动后端，并打开浏览器。</w:t>
      </w:r>
    </w:p>
    <w:p>
      <w:pPr>
        <w:jc w:val="left"/>
      </w:pPr>
      <w:r>
        <w:rPr>
          <w:rFonts w:ascii="STHeiti" w:hAnsi="STHeiti" w:eastAsia="STHeiti"/>
          <w:b w:val="0"/>
          <w:color w:val="000000"/>
          <w:sz w:val="22"/>
        </w:rPr>
        <w:t>脚本启动后会自动完成以下操作：</w:t>
      </w:r>
    </w:p>
    <w:p>
      <w:pPr>
        <w:pStyle w:val="ListBullet"/>
      </w:pPr>
      <w:r>
        <w:rPr>
          <w:rFonts w:ascii="STHeiti" w:hAnsi="STHeiti" w:eastAsia="STHeiti"/>
          <w:b w:val="0"/>
          <w:color w:val="000000"/>
          <w:sz w:val="22"/>
        </w:rPr>
        <w:t>检测电脑是否安装 Node.js。</w:t>
      </w:r>
    </w:p>
    <w:p>
      <w:pPr>
        <w:pStyle w:val="ListBullet"/>
      </w:pPr>
      <w:r>
        <w:rPr>
          <w:rFonts w:ascii="STHeiti" w:hAnsi="STHeiti" w:eastAsia="STHeiti"/>
          <w:b w:val="0"/>
          <w:color w:val="000000"/>
          <w:sz w:val="22"/>
        </w:rPr>
        <w:t>如果没有 Node.js，则自动下载便携版到 `.runtime` 目录。</w:t>
      </w:r>
    </w:p>
    <w:p>
      <w:pPr>
        <w:pStyle w:val="ListBullet"/>
      </w:pPr>
      <w:r>
        <w:rPr>
          <w:rFonts w:ascii="STHeiti" w:hAnsi="STHeiti" w:eastAsia="STHeiti"/>
          <w:b w:val="0"/>
          <w:color w:val="000000"/>
          <w:sz w:val="22"/>
        </w:rPr>
        <w:t>检查后端端口是否被占用。</w:t>
      </w:r>
    </w:p>
    <w:p>
      <w:pPr>
        <w:pStyle w:val="ListBullet"/>
      </w:pPr>
      <w:r>
        <w:rPr>
          <w:rFonts w:ascii="STHeiti" w:hAnsi="STHeiti" w:eastAsia="STHeiti"/>
          <w:b w:val="0"/>
          <w:color w:val="000000"/>
          <w:sz w:val="22"/>
        </w:rPr>
        <w:t>启动数字网格员后端。</w:t>
      </w:r>
    </w:p>
    <w:p>
      <w:pPr>
        <w:pStyle w:val="ListBullet"/>
      </w:pPr>
      <w:r>
        <w:rPr>
          <w:rFonts w:ascii="STHeiti" w:hAnsi="STHeiti" w:eastAsia="STHeiti"/>
          <w:b w:val="0"/>
          <w:color w:val="000000"/>
          <w:sz w:val="22"/>
        </w:rPr>
        <w:t>自动打开数字网格员网页端。</w:t>
      </w:r>
    </w:p>
    <w:p>
      <w:pPr>
        <w:pStyle w:val="ListBullet"/>
      </w:pPr>
      <w:r>
        <w:rPr>
          <w:rFonts w:ascii="STHeiti" w:hAnsi="STHeiti" w:eastAsia="STHeiti"/>
          <w:b w:val="0"/>
          <w:color w:val="000000"/>
          <w:sz w:val="22"/>
        </w:rPr>
        <w:t>尝试调用微信开发者工具打开小程序项目。</w:t>
      </w:r>
    </w:p>
    <w:p>
      <w:pPr>
        <w:pStyle w:val="ListBullet"/>
      </w:pPr>
      <w:r>
        <w:rPr>
          <w:rFonts w:ascii="STHeiti" w:hAnsi="STHeiti" w:eastAsia="STHeiti"/>
          <w:b w:val="0"/>
          <w:color w:val="000000"/>
          <w:sz w:val="22"/>
        </w:rPr>
        <w:t>显示管理员和网格员测试账号。</w:t>
      </w:r>
    </w:p>
    <w:p>
      <w:pPr>
        <w:pStyle w:val="Heading2"/>
      </w:pPr>
      <w:r>
        <w:t>3.3 HiAgent 配置选择</w:t>
      </w:r>
    </w:p>
    <w:p>
      <w:pPr>
        <w:jc w:val="left"/>
      </w:pPr>
      <w:r>
        <w:rPr>
          <w:rFonts w:ascii="STHeiti" w:hAnsi="STHeiti" w:eastAsia="STHeiti"/>
          <w:b w:val="0"/>
          <w:color w:val="000000"/>
          <w:sz w:val="22"/>
        </w:rPr>
        <w:t>脚本首次运行时会询问：</w:t>
      </w:r>
    </w:p>
    <w:tbl>
      <w:tblPr>
        <w:tblW w:type="dxa" w:w="936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bottom w:w="80" w:type="dxa"/>
          <w:start w:w="120" w:type="dxa"/>
          <w:end w:w="120" w:type="dxa"/>
        </w:tblCellMar>
      </w:tblPr>
      <w:tblGrid>
        <w:gridCol w:w="2620"/>
        <w:gridCol w:w="6740"/>
      </w:tblGrid>
      <w:tr>
        <w:tc>
          <w:tcPr>
            <w:tcW w:type="dxa" w:w="2620"/>
            <w:vAlign w:val="center"/>
            <w:shd w:fill="1F4D78" w:val="clear"/>
          </w:tcPr>
          <w:p>
            <w:pPr>
              <w:spacing w:before="0" w:after="0" w:line="264" w:lineRule="auto"/>
            </w:pPr>
            <w:r>
              <w:rPr>
                <w:rFonts w:ascii="STHeiti" w:hAnsi="STHeiti" w:eastAsia="STHeiti"/>
                <w:b/>
                <w:color w:val="FFFFFF"/>
                <w:sz w:val="20"/>
              </w:rPr>
              <w:t>选择</w:t>
            </w:r>
          </w:p>
        </w:tc>
        <w:tc>
          <w:tcPr>
            <w:tcW w:type="dxa" w:w="6740"/>
            <w:vAlign w:val="center"/>
            <w:shd w:fill="1F4D78" w:val="clear"/>
          </w:tcPr>
          <w:p>
            <w:pPr>
              <w:spacing w:before="0" w:after="0" w:line="264" w:lineRule="auto"/>
            </w:pPr>
            <w:r>
              <w:rPr>
                <w:rFonts w:ascii="STHeiti" w:hAnsi="STHeiti" w:eastAsia="STHeiti"/>
                <w:b/>
                <w:color w:val="FFFFFF"/>
                <w:sz w:val="20"/>
              </w:rPr>
              <w:t>效果</w:t>
            </w:r>
          </w:p>
        </w:tc>
      </w:tr>
      <w:tr>
        <w:tc>
          <w:tcPr>
            <w:tcW w:type="dxa" w:w="2620"/>
            <w:vAlign w:val="center"/>
          </w:tcPr>
          <w:p>
            <w:pPr>
              <w:spacing w:before="0" w:after="0" w:line="264" w:lineRule="auto"/>
            </w:pPr>
            <w:r>
              <w:rPr>
                <w:rFonts w:ascii="STHeiti" w:hAnsi="STHeiti" w:eastAsia="STHeiti"/>
                <w:b w:val="0"/>
                <w:color w:val="000000"/>
                <w:sz w:val="20"/>
              </w:rPr>
              <w:t>直接回车或输入 N</w:t>
            </w:r>
          </w:p>
        </w:tc>
        <w:tc>
          <w:tcPr>
            <w:tcW w:type="dxa" w:w="6740"/>
            <w:vAlign w:val="center"/>
          </w:tcPr>
          <w:p>
            <w:pPr>
              <w:spacing w:before="0" w:after="0" w:line="264" w:lineRule="auto"/>
            </w:pPr>
            <w:r>
              <w:rPr>
                <w:rFonts w:ascii="STHeiti" w:hAnsi="STHeiti" w:eastAsia="STHeiti"/>
                <w:b w:val="0"/>
                <w:color w:val="000000"/>
                <w:sz w:val="20"/>
              </w:rPr>
              <w:t>使用本地模拟模式，无需 HiAgent API Key</w:t>
            </w:r>
          </w:p>
        </w:tc>
      </w:tr>
      <w:tr>
        <w:tc>
          <w:tcPr>
            <w:tcW w:type="dxa" w:w="2620"/>
            <w:vAlign w:val="center"/>
            <w:shd w:fill="F2F4F7" w:val="clear"/>
          </w:tcPr>
          <w:p>
            <w:pPr>
              <w:spacing w:before="0" w:after="0" w:line="264" w:lineRule="auto"/>
            </w:pPr>
            <w:r>
              <w:rPr>
                <w:rFonts w:ascii="STHeiti" w:hAnsi="STHeiti" w:eastAsia="STHeiti"/>
                <w:b w:val="0"/>
                <w:color w:val="000000"/>
                <w:sz w:val="20"/>
              </w:rPr>
              <w:t>输入 Y</w:t>
            </w:r>
          </w:p>
        </w:tc>
        <w:tc>
          <w:tcPr>
            <w:tcW w:type="dxa" w:w="6740"/>
            <w:vAlign w:val="center"/>
            <w:shd w:fill="F2F4F7" w:val="clear"/>
          </w:tcPr>
          <w:p>
            <w:pPr>
              <w:spacing w:before="0" w:after="0" w:line="264" w:lineRule="auto"/>
            </w:pPr>
            <w:r>
              <w:rPr>
                <w:rFonts w:ascii="STHeiti" w:hAnsi="STHeiti" w:eastAsia="STHeiti"/>
                <w:b w:val="0"/>
                <w:color w:val="000000"/>
                <w:sz w:val="20"/>
              </w:rPr>
              <w:t>填写真实 HiAgent 接口地址、应用 ID、工作流 ID 和 API Key</w:t>
            </w:r>
          </w:p>
        </w:tc>
      </w:tr>
    </w:tbl>
    <w:p>
      <w:pPr>
        <w:jc w:val="left"/>
      </w:pPr>
      <w:r>
        <w:rPr>
          <w:rFonts w:ascii="STHeiti" w:hAnsi="STHeiti" w:eastAsia="STHeiti"/>
          <w:b w:val="0"/>
          <w:color w:val="000000"/>
          <w:sz w:val="22"/>
        </w:rPr>
        <w:t>评审演示建议直接回车使用本地模拟模式。真实 HiAgent 模式的 API Key 只需要填写一次，后端会保存到本机 `data/runtime/hiagent-config.json`，网页端和小程序会共用该配置。</w:t>
      </w:r>
    </w:p>
    <w:p>
      <w:pPr>
        <w:pStyle w:val="Heading2"/>
      </w:pPr>
      <w:r>
        <w:t>3.4 停止服务</w:t>
      </w:r>
    </w:p>
    <w:p>
      <w:pPr>
        <w:jc w:val="left"/>
      </w:pPr>
      <w:r>
        <w:rPr>
          <w:rFonts w:ascii="STHeiti" w:hAnsi="STHeiti" w:eastAsia="STHeiti"/>
          <w:b w:val="0"/>
          <w:color w:val="000000"/>
          <w:sz w:val="22"/>
        </w:rPr>
        <w:t>服务启动后，一键启动窗口会保持运行。关闭该窗口或按任意键即可停止后端服务。</w:t>
      </w:r>
    </w:p>
    <w:p>
      <w:pPr>
        <w:pStyle w:val="Heading1"/>
      </w:pPr>
      <w:r>
        <w:t>四、数字网格员网页端</w:t>
      </w:r>
    </w:p>
    <w:p>
      <w:pPr>
        <w:pStyle w:val="Heading2"/>
      </w:pPr>
      <w:r>
        <w:t>4.1 登录</w:t>
      </w:r>
    </w:p>
    <w:p>
      <w:pPr>
        <w:jc w:val="left"/>
      </w:pPr>
      <w:r>
        <w:rPr>
          <w:rFonts w:ascii="STHeiti" w:hAnsi="STHeiti" w:eastAsia="STHeiti"/>
          <w:b w:val="0"/>
          <w:color w:val="000000"/>
          <w:sz w:val="22"/>
        </w:rPr>
        <w:t>一键启动脚本会自动打开网页端。如果浏览器没有自动打开，可以手动访问启动窗口显示的本地地址，通常为：</w:t>
      </w:r>
    </w:p>
    <w:p>
      <w:pPr>
        <w:spacing w:after="120"/>
        <w:ind w:left="288"/>
      </w:pPr>
      <w:r>
        <w:rPr>
          <w:rFonts w:ascii="Consolas" w:hAnsi="Consolas" w:eastAsia="Microsoft YaHei"/>
          <w:b w:val="0"/>
          <w:color w:val="000000"/>
          <w:sz w:val="20"/>
        </w:rPr>
        <w:t>http://127.0.0.1:3100</w:t>
      </w:r>
    </w:p>
    <w:p>
      <w:pPr>
        <w:jc w:val="left"/>
      </w:pPr>
      <w:r>
        <w:rPr>
          <w:rFonts w:ascii="STHeiti" w:hAnsi="STHeiti" w:eastAsia="STHeiti"/>
          <w:b w:val="0"/>
          <w:color w:val="000000"/>
          <w:sz w:val="22"/>
        </w:rPr>
        <w:t>测试账号如下：</w:t>
      </w:r>
    </w:p>
    <w:tbl>
      <w:tblPr>
        <w:tblW w:type="dxa" w:w="936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bottom w:w="80" w:type="dxa"/>
          <w:start w:w="120" w:type="dxa"/>
          <w:end w:w="120" w:type="dxa"/>
        </w:tblCellMar>
      </w:tblPr>
      <w:tblGrid>
        <w:gridCol w:w="1404"/>
        <w:gridCol w:w="2620"/>
        <w:gridCol w:w="2620"/>
        <w:gridCol w:w="2716"/>
      </w:tblGrid>
      <w:tr>
        <w:tc>
          <w:tcPr>
            <w:tcW w:type="dxa" w:w="1404"/>
            <w:vAlign w:val="center"/>
            <w:shd w:fill="1F4D78" w:val="clear"/>
          </w:tcPr>
          <w:p>
            <w:pPr>
              <w:spacing w:before="0" w:after="0" w:line="264" w:lineRule="auto"/>
            </w:pPr>
            <w:r>
              <w:rPr>
                <w:rFonts w:ascii="STHeiti" w:hAnsi="STHeiti" w:eastAsia="STHeiti"/>
                <w:b/>
                <w:color w:val="FFFFFF"/>
                <w:sz w:val="20"/>
              </w:rPr>
              <w:t>角色</w:t>
            </w:r>
          </w:p>
        </w:tc>
        <w:tc>
          <w:tcPr>
            <w:tcW w:type="dxa" w:w="2620"/>
            <w:vAlign w:val="center"/>
            <w:shd w:fill="1F4D78" w:val="clear"/>
          </w:tcPr>
          <w:p>
            <w:pPr>
              <w:spacing w:before="0" w:after="0" w:line="264" w:lineRule="auto"/>
            </w:pPr>
            <w:r>
              <w:rPr>
                <w:rFonts w:ascii="STHeiti" w:hAnsi="STHeiti" w:eastAsia="STHeiti"/>
                <w:b/>
                <w:color w:val="FFFFFF"/>
                <w:sz w:val="20"/>
              </w:rPr>
              <w:t>账号</w:t>
            </w:r>
          </w:p>
        </w:tc>
        <w:tc>
          <w:tcPr>
            <w:tcW w:type="dxa" w:w="2620"/>
            <w:vAlign w:val="center"/>
            <w:shd w:fill="1F4D78" w:val="clear"/>
          </w:tcPr>
          <w:p>
            <w:pPr>
              <w:spacing w:before="0" w:after="0" w:line="264" w:lineRule="auto"/>
            </w:pPr>
            <w:r>
              <w:rPr>
                <w:rFonts w:ascii="STHeiti" w:hAnsi="STHeiti" w:eastAsia="STHeiti"/>
                <w:b/>
                <w:color w:val="FFFFFF"/>
                <w:sz w:val="20"/>
              </w:rPr>
              <w:t>密码</w:t>
            </w:r>
          </w:p>
        </w:tc>
        <w:tc>
          <w:tcPr>
            <w:tcW w:type="dxa" w:w="2716"/>
            <w:vAlign w:val="center"/>
            <w:shd w:fill="1F4D78" w:val="clear"/>
          </w:tcPr>
          <w:p>
            <w:pPr>
              <w:spacing w:before="0" w:after="0" w:line="264" w:lineRule="auto"/>
            </w:pPr>
            <w:r>
              <w:rPr>
                <w:rFonts w:ascii="STHeiti" w:hAnsi="STHeiti" w:eastAsia="STHeiti"/>
                <w:b/>
                <w:color w:val="FFFFFF"/>
                <w:sz w:val="20"/>
              </w:rPr>
              <w:t>可见范围</w:t>
            </w:r>
          </w:p>
        </w:tc>
      </w:tr>
      <w:tr>
        <w:tc>
          <w:tcPr>
            <w:tcW w:type="dxa" w:w="1404"/>
            <w:vAlign w:val="center"/>
          </w:tcPr>
          <w:p>
            <w:pPr>
              <w:spacing w:before="0" w:after="0" w:line="264" w:lineRule="auto"/>
            </w:pPr>
            <w:r>
              <w:rPr>
                <w:rFonts w:ascii="STHeiti" w:hAnsi="STHeiti" w:eastAsia="STHeiti"/>
                <w:b w:val="0"/>
                <w:color w:val="000000"/>
                <w:sz w:val="20"/>
              </w:rPr>
              <w:t>系统管理员</w:t>
            </w:r>
          </w:p>
        </w:tc>
        <w:tc>
          <w:tcPr>
            <w:tcW w:type="dxa" w:w="2620"/>
            <w:vAlign w:val="center"/>
          </w:tcPr>
          <w:p>
            <w:pPr>
              <w:spacing w:before="0" w:after="0" w:line="264" w:lineRule="auto"/>
            </w:pPr>
            <w:r>
              <w:rPr>
                <w:rFonts w:ascii="STHeiti" w:hAnsi="STHeiti" w:eastAsia="STHeiti"/>
                <w:b w:val="0"/>
                <w:color w:val="000000"/>
                <w:sz w:val="20"/>
              </w:rPr>
              <w:t>admin</w:t>
            </w:r>
          </w:p>
        </w:tc>
        <w:tc>
          <w:tcPr>
            <w:tcW w:type="dxa" w:w="2620"/>
            <w:vAlign w:val="center"/>
          </w:tcPr>
          <w:p>
            <w:pPr>
              <w:spacing w:before="0" w:after="0" w:line="264" w:lineRule="auto"/>
            </w:pPr>
            <w:r>
              <w:rPr>
                <w:rFonts w:ascii="STHeiti" w:hAnsi="STHeiti" w:eastAsia="STHeiti"/>
                <w:b w:val="0"/>
                <w:color w:val="000000"/>
                <w:sz w:val="20"/>
              </w:rPr>
              <w:t>admin123</w:t>
            </w:r>
          </w:p>
        </w:tc>
        <w:tc>
          <w:tcPr>
            <w:tcW w:type="dxa" w:w="2716"/>
            <w:vAlign w:val="center"/>
          </w:tcPr>
          <w:p>
            <w:pPr>
              <w:spacing w:before="0" w:after="0" w:line="264" w:lineRule="auto"/>
            </w:pPr>
            <w:r>
              <w:rPr>
                <w:rFonts w:ascii="STHeiti" w:hAnsi="STHeiti" w:eastAsia="STHeiti"/>
                <w:b w:val="0"/>
                <w:color w:val="000000"/>
                <w:sz w:val="20"/>
              </w:rPr>
              <w:t>全部工单</w:t>
            </w:r>
          </w:p>
        </w:tc>
      </w:tr>
      <w:tr>
        <w:tc>
          <w:tcPr>
            <w:tcW w:type="dxa" w:w="1404"/>
            <w:vAlign w:val="center"/>
            <w:shd w:fill="F2F4F7" w:val="clear"/>
          </w:tcPr>
          <w:p>
            <w:pPr>
              <w:spacing w:before="0" w:after="0" w:line="264" w:lineRule="auto"/>
            </w:pPr>
            <w:r>
              <w:rPr>
                <w:rFonts w:ascii="STHeiti" w:hAnsi="STHeiti" w:eastAsia="STHeiti"/>
                <w:b w:val="0"/>
                <w:color w:val="000000"/>
                <w:sz w:val="20"/>
              </w:rPr>
              <w:t>华林社区负责人</w:t>
            </w:r>
          </w:p>
        </w:tc>
        <w:tc>
          <w:tcPr>
            <w:tcW w:type="dxa" w:w="2620"/>
            <w:vAlign w:val="center"/>
            <w:shd w:fill="F2F4F7" w:val="clear"/>
          </w:tcPr>
          <w:p>
            <w:pPr>
              <w:spacing w:before="0" w:after="0" w:line="264" w:lineRule="auto"/>
            </w:pPr>
            <w:r>
              <w:rPr>
                <w:rFonts w:ascii="STHeiti" w:hAnsi="STHeiti" w:eastAsia="STHeiti"/>
                <w:b w:val="0"/>
                <w:color w:val="000000"/>
                <w:sz w:val="20"/>
              </w:rPr>
              <w:t>hualin_admin</w:t>
            </w:r>
          </w:p>
        </w:tc>
        <w:tc>
          <w:tcPr>
            <w:tcW w:type="dxa" w:w="2620"/>
            <w:vAlign w:val="center"/>
            <w:shd w:fill="F2F4F7" w:val="clear"/>
          </w:tcPr>
          <w:p>
            <w:pPr>
              <w:spacing w:before="0" w:after="0" w:line="264" w:lineRule="auto"/>
            </w:pPr>
            <w:r>
              <w:rPr>
                <w:rFonts w:ascii="STHeiti" w:hAnsi="STHeiti" w:eastAsia="STHeiti"/>
                <w:b w:val="0"/>
                <w:color w:val="000000"/>
                <w:sz w:val="20"/>
              </w:rPr>
              <w:t>123456</w:t>
            </w:r>
          </w:p>
        </w:tc>
        <w:tc>
          <w:tcPr>
            <w:tcW w:type="dxa" w:w="2716"/>
            <w:vAlign w:val="center"/>
            <w:shd w:fill="F2F4F7" w:val="clear"/>
          </w:tcPr>
          <w:p>
            <w:pPr>
              <w:spacing w:before="0" w:after="0" w:line="264" w:lineRule="auto"/>
            </w:pPr>
            <w:r>
              <w:rPr>
                <w:rFonts w:ascii="STHeiti" w:hAnsi="STHeiti" w:eastAsia="STHeiti"/>
                <w:b w:val="0"/>
                <w:color w:val="000000"/>
                <w:sz w:val="20"/>
              </w:rPr>
              <w:t>华林社区工单</w:t>
            </w:r>
          </w:p>
        </w:tc>
      </w:tr>
      <w:tr>
        <w:tc>
          <w:tcPr>
            <w:tcW w:type="dxa" w:w="1404"/>
            <w:vAlign w:val="center"/>
          </w:tcPr>
          <w:p>
            <w:pPr>
              <w:spacing w:before="0" w:after="0" w:line="264" w:lineRule="auto"/>
            </w:pPr>
            <w:r>
              <w:rPr>
                <w:rFonts w:ascii="STHeiti" w:hAnsi="STHeiti" w:eastAsia="STHeiti"/>
                <w:b w:val="0"/>
                <w:color w:val="000000"/>
                <w:sz w:val="20"/>
              </w:rPr>
              <w:t>华林网格员01</w:t>
            </w:r>
          </w:p>
        </w:tc>
        <w:tc>
          <w:tcPr>
            <w:tcW w:type="dxa" w:w="2620"/>
            <w:vAlign w:val="center"/>
          </w:tcPr>
          <w:p>
            <w:pPr>
              <w:spacing w:before="0" w:after="0" w:line="264" w:lineRule="auto"/>
            </w:pPr>
            <w:r>
              <w:rPr>
                <w:rFonts w:ascii="STHeiti" w:hAnsi="STHeiti" w:eastAsia="STHeiti"/>
                <w:b w:val="0"/>
                <w:color w:val="000000"/>
                <w:sz w:val="20"/>
              </w:rPr>
              <w:t>hualin01</w:t>
            </w:r>
          </w:p>
        </w:tc>
        <w:tc>
          <w:tcPr>
            <w:tcW w:type="dxa" w:w="2620"/>
            <w:vAlign w:val="center"/>
          </w:tcPr>
          <w:p>
            <w:pPr>
              <w:spacing w:before="0" w:after="0" w:line="264" w:lineRule="auto"/>
            </w:pPr>
            <w:r>
              <w:rPr>
                <w:rFonts w:ascii="STHeiti" w:hAnsi="STHeiti" w:eastAsia="STHeiti"/>
                <w:b w:val="0"/>
                <w:color w:val="000000"/>
                <w:sz w:val="20"/>
              </w:rPr>
              <w:t>123456</w:t>
            </w:r>
          </w:p>
        </w:tc>
        <w:tc>
          <w:tcPr>
            <w:tcW w:type="dxa" w:w="2716"/>
            <w:vAlign w:val="center"/>
          </w:tcPr>
          <w:p>
            <w:pPr>
              <w:spacing w:before="0" w:after="0" w:line="264" w:lineRule="auto"/>
            </w:pPr>
            <w:r>
              <w:rPr>
                <w:rFonts w:ascii="STHeiti" w:hAnsi="STHeiti" w:eastAsia="STHeiti"/>
                <w:b w:val="0"/>
                <w:color w:val="000000"/>
                <w:sz w:val="20"/>
              </w:rPr>
              <w:t>派给本人且属于华林网格01的工单</w:t>
            </w:r>
          </w:p>
        </w:tc>
      </w:tr>
      <w:tr>
        <w:tc>
          <w:tcPr>
            <w:tcW w:type="dxa" w:w="1404"/>
            <w:vAlign w:val="center"/>
            <w:shd w:fill="F2F4F7" w:val="clear"/>
          </w:tcPr>
          <w:p>
            <w:pPr>
              <w:spacing w:before="0" w:after="0" w:line="264" w:lineRule="auto"/>
            </w:pPr>
            <w:r>
              <w:rPr>
                <w:rFonts w:ascii="STHeiti" w:hAnsi="STHeiti" w:eastAsia="STHeiti"/>
                <w:b w:val="0"/>
                <w:color w:val="000000"/>
                <w:sz w:val="20"/>
              </w:rPr>
              <w:t>华林网格员02</w:t>
            </w:r>
          </w:p>
        </w:tc>
        <w:tc>
          <w:tcPr>
            <w:tcW w:type="dxa" w:w="2620"/>
            <w:vAlign w:val="center"/>
            <w:shd w:fill="F2F4F7" w:val="clear"/>
          </w:tcPr>
          <w:p>
            <w:pPr>
              <w:spacing w:before="0" w:after="0" w:line="264" w:lineRule="auto"/>
            </w:pPr>
            <w:r>
              <w:rPr>
                <w:rFonts w:ascii="STHeiti" w:hAnsi="STHeiti" w:eastAsia="STHeiti"/>
                <w:b w:val="0"/>
                <w:color w:val="000000"/>
                <w:sz w:val="20"/>
              </w:rPr>
              <w:t>hualin02</w:t>
            </w:r>
          </w:p>
        </w:tc>
        <w:tc>
          <w:tcPr>
            <w:tcW w:type="dxa" w:w="2620"/>
            <w:vAlign w:val="center"/>
            <w:shd w:fill="F2F4F7" w:val="clear"/>
          </w:tcPr>
          <w:p>
            <w:pPr>
              <w:spacing w:before="0" w:after="0" w:line="264" w:lineRule="auto"/>
            </w:pPr>
            <w:r>
              <w:rPr>
                <w:rFonts w:ascii="STHeiti" w:hAnsi="STHeiti" w:eastAsia="STHeiti"/>
                <w:b w:val="0"/>
                <w:color w:val="000000"/>
                <w:sz w:val="20"/>
              </w:rPr>
              <w:t>123456</w:t>
            </w:r>
          </w:p>
        </w:tc>
        <w:tc>
          <w:tcPr>
            <w:tcW w:type="dxa" w:w="2716"/>
            <w:vAlign w:val="center"/>
            <w:shd w:fill="F2F4F7" w:val="clear"/>
          </w:tcPr>
          <w:p>
            <w:pPr>
              <w:spacing w:before="0" w:after="0" w:line="264" w:lineRule="auto"/>
            </w:pPr>
            <w:r>
              <w:rPr>
                <w:rFonts w:ascii="STHeiti" w:hAnsi="STHeiti" w:eastAsia="STHeiti"/>
                <w:b w:val="0"/>
                <w:color w:val="000000"/>
                <w:sz w:val="20"/>
              </w:rPr>
              <w:t>派给本人且属于华林网格02的工单</w:t>
            </w:r>
          </w:p>
        </w:tc>
      </w:tr>
      <w:tr>
        <w:tc>
          <w:tcPr>
            <w:tcW w:type="dxa" w:w="1404"/>
            <w:vAlign w:val="center"/>
          </w:tcPr>
          <w:p>
            <w:pPr>
              <w:spacing w:before="0" w:after="0" w:line="264" w:lineRule="auto"/>
            </w:pPr>
            <w:r>
              <w:rPr>
                <w:rFonts w:ascii="STHeiti" w:hAnsi="STHeiti" w:eastAsia="STHeiti"/>
                <w:b w:val="0"/>
                <w:color w:val="000000"/>
                <w:sz w:val="20"/>
              </w:rPr>
              <w:t>观风亭网格员01</w:t>
            </w:r>
          </w:p>
        </w:tc>
        <w:tc>
          <w:tcPr>
            <w:tcW w:type="dxa" w:w="2620"/>
            <w:vAlign w:val="center"/>
          </w:tcPr>
          <w:p>
            <w:pPr>
              <w:spacing w:before="0" w:after="0" w:line="264" w:lineRule="auto"/>
            </w:pPr>
            <w:r>
              <w:rPr>
                <w:rFonts w:ascii="STHeiti" w:hAnsi="STHeiti" w:eastAsia="STHeiti"/>
                <w:b w:val="0"/>
                <w:color w:val="000000"/>
                <w:sz w:val="20"/>
              </w:rPr>
              <w:t>guanfeng01</w:t>
            </w:r>
          </w:p>
        </w:tc>
        <w:tc>
          <w:tcPr>
            <w:tcW w:type="dxa" w:w="2620"/>
            <w:vAlign w:val="center"/>
          </w:tcPr>
          <w:p>
            <w:pPr>
              <w:spacing w:before="0" w:after="0" w:line="264" w:lineRule="auto"/>
            </w:pPr>
            <w:r>
              <w:rPr>
                <w:rFonts w:ascii="STHeiti" w:hAnsi="STHeiti" w:eastAsia="STHeiti"/>
                <w:b w:val="0"/>
                <w:color w:val="000000"/>
                <w:sz w:val="20"/>
              </w:rPr>
              <w:t>123456</w:t>
            </w:r>
          </w:p>
        </w:tc>
        <w:tc>
          <w:tcPr>
            <w:tcW w:type="dxa" w:w="2716"/>
            <w:vAlign w:val="center"/>
          </w:tcPr>
          <w:p>
            <w:pPr>
              <w:spacing w:before="0" w:after="0" w:line="264" w:lineRule="auto"/>
            </w:pPr>
            <w:r>
              <w:rPr>
                <w:rFonts w:ascii="STHeiti" w:hAnsi="STHeiti" w:eastAsia="STHeiti"/>
                <w:b w:val="0"/>
                <w:color w:val="000000"/>
                <w:sz w:val="20"/>
              </w:rPr>
              <w:t>派给本人且属于观风亭网格01的工单</w:t>
            </w:r>
          </w:p>
        </w:tc>
      </w:tr>
    </w:tbl>
    <w:p>
      <w:pPr>
        <w:pStyle w:val="Heading2"/>
      </w:pPr>
      <w:r>
        <w:t>4.2 工单中心</w:t>
      </w:r>
    </w:p>
    <w:p>
      <w:pPr>
        <w:jc w:val="left"/>
      </w:pPr>
      <w:r>
        <w:rPr>
          <w:rFonts w:ascii="STHeiti" w:hAnsi="STHeiti" w:eastAsia="STHeiti"/>
          <w:b w:val="0"/>
          <w:color w:val="000000"/>
          <w:sz w:val="22"/>
        </w:rPr>
        <w:t>进入“工单中心”后，可以查看当前账号权限范围内的工单。列表包含工单号、居民、诉求类别、事项摘要、责任部门、责任网格员、期限和处理状态。</w:t>
      </w:r>
    </w:p>
    <w:p>
      <w:pPr>
        <w:jc w:val="left"/>
      </w:pPr>
      <w:r>
        <w:rPr>
          <w:rFonts w:ascii="STHeiti" w:hAnsi="STHeiti" w:eastAsia="STHeiti"/>
          <w:b w:val="0"/>
          <w:color w:val="000000"/>
          <w:sz w:val="22"/>
        </w:rPr>
        <w:t>点击任意工单可以查看详细信息，包括：</w:t>
      </w:r>
    </w:p>
    <w:p>
      <w:pPr>
        <w:pStyle w:val="ListBullet"/>
      </w:pPr>
      <w:r>
        <w:rPr>
          <w:rFonts w:ascii="STHeiti" w:hAnsi="STHeiti" w:eastAsia="STHeiti"/>
          <w:b w:val="0"/>
          <w:color w:val="000000"/>
          <w:sz w:val="22"/>
        </w:rPr>
        <w:t>居民姓名和联系电话。</w:t>
      </w:r>
    </w:p>
    <w:p>
      <w:pPr>
        <w:pStyle w:val="ListBullet"/>
      </w:pPr>
      <w:r>
        <w:rPr>
          <w:rFonts w:ascii="STHeiti" w:hAnsi="STHeiti" w:eastAsia="STHeiti"/>
          <w:b w:val="0"/>
          <w:color w:val="000000"/>
          <w:sz w:val="22"/>
        </w:rPr>
        <w:t>居民登记住址和事发地址。</w:t>
      </w:r>
    </w:p>
    <w:p>
      <w:pPr>
        <w:pStyle w:val="ListBullet"/>
      </w:pPr>
      <w:r>
        <w:rPr>
          <w:rFonts w:ascii="STHeiti" w:hAnsi="STHeiti" w:eastAsia="STHeiti"/>
          <w:b w:val="0"/>
          <w:color w:val="000000"/>
          <w:sz w:val="22"/>
        </w:rPr>
        <w:t>问题描述、发生时间、持续时长和发生频率。</w:t>
      </w:r>
    </w:p>
    <w:p>
      <w:pPr>
        <w:pStyle w:val="ListBullet"/>
      </w:pPr>
      <w:r>
        <w:rPr>
          <w:rFonts w:ascii="STHeiti" w:hAnsi="STHeiti" w:eastAsia="STHeiti"/>
          <w:b w:val="0"/>
          <w:color w:val="000000"/>
          <w:sz w:val="22"/>
        </w:rPr>
        <w:t>是否已经向物业或社区反映。</w:t>
      </w:r>
    </w:p>
    <w:p>
      <w:pPr>
        <w:pStyle w:val="ListBullet"/>
      </w:pPr>
      <w:r>
        <w:rPr>
          <w:rFonts w:ascii="STHeiti" w:hAnsi="STHeiti" w:eastAsia="STHeiti"/>
          <w:b w:val="0"/>
          <w:color w:val="000000"/>
          <w:sz w:val="22"/>
        </w:rPr>
        <w:t>责任部门、责任网格员、优先级和响应时限。</w:t>
      </w:r>
    </w:p>
    <w:p>
      <w:pPr>
        <w:jc w:val="left"/>
      </w:pPr>
      <w:r>
        <w:rPr>
          <w:rFonts w:ascii="STHeiti" w:hAnsi="STHeiti" w:eastAsia="STHeiti"/>
          <w:b w:val="0"/>
          <w:color w:val="000000"/>
          <w:sz w:val="22"/>
        </w:rPr>
        <w:t>工单列表会自动刷新。小程序端新生成工单后，网页端通常可以在数秒内显示，不需要手动刷新页面。</w:t>
      </w:r>
    </w:p>
    <w:p>
      <w:pPr>
        <w:pStyle w:val="Heading2"/>
      </w:pPr>
      <w:r>
        <w:t>4.3 居民档案与 Excel 批量导入</w:t>
      </w:r>
    </w:p>
    <w:p>
      <w:pPr>
        <w:jc w:val="left"/>
      </w:pPr>
      <w:r>
        <w:rPr>
          <w:rFonts w:ascii="STHeiti" w:hAnsi="STHeiti" w:eastAsia="STHeiti"/>
          <w:b w:val="0"/>
          <w:color w:val="000000"/>
          <w:sz w:val="22"/>
        </w:rPr>
        <w:t>进入“居民档案”后，可以使用以下入口：</w:t>
      </w:r>
    </w:p>
    <w:tbl>
      <w:tblPr>
        <w:tblW w:type="dxa" w:w="936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bottom w:w="80" w:type="dxa"/>
          <w:start w:w="120" w:type="dxa"/>
          <w:end w:w="120" w:type="dxa"/>
        </w:tblCellMar>
      </w:tblPr>
      <w:tblGrid>
        <w:gridCol w:w="2620"/>
        <w:gridCol w:w="6740"/>
      </w:tblGrid>
      <w:tr>
        <w:tc>
          <w:tcPr>
            <w:tcW w:type="dxa" w:w="2620"/>
            <w:vAlign w:val="center"/>
            <w:shd w:fill="1F4D78" w:val="clear"/>
          </w:tcPr>
          <w:p>
            <w:pPr>
              <w:spacing w:before="0" w:after="0" w:line="264" w:lineRule="auto"/>
            </w:pPr>
            <w:r>
              <w:rPr>
                <w:rFonts w:ascii="STHeiti" w:hAnsi="STHeiti" w:eastAsia="STHeiti"/>
                <w:b/>
                <w:color w:val="FFFFFF"/>
                <w:sz w:val="20"/>
              </w:rPr>
              <w:t>入口</w:t>
            </w:r>
          </w:p>
        </w:tc>
        <w:tc>
          <w:tcPr>
            <w:tcW w:type="dxa" w:w="6740"/>
            <w:vAlign w:val="center"/>
            <w:shd w:fill="1F4D78" w:val="clear"/>
          </w:tcPr>
          <w:p>
            <w:pPr>
              <w:spacing w:before="0" w:after="0" w:line="264" w:lineRule="auto"/>
            </w:pPr>
            <w:r>
              <w:rPr>
                <w:rFonts w:ascii="STHeiti" w:hAnsi="STHeiti" w:eastAsia="STHeiti"/>
                <w:b/>
                <w:color w:val="FFFFFF"/>
                <w:sz w:val="20"/>
              </w:rPr>
              <w:t>使用场景</w:t>
            </w:r>
          </w:p>
        </w:tc>
      </w:tr>
      <w:tr>
        <w:tc>
          <w:tcPr>
            <w:tcW w:type="dxa" w:w="2620"/>
            <w:vAlign w:val="center"/>
          </w:tcPr>
          <w:p>
            <w:pPr>
              <w:spacing w:before="0" w:after="0" w:line="264" w:lineRule="auto"/>
            </w:pPr>
            <w:r>
              <w:rPr>
                <w:rFonts w:ascii="STHeiti" w:hAnsi="STHeiti" w:eastAsia="STHeiti"/>
                <w:b w:val="0"/>
                <w:color w:val="000000"/>
                <w:sz w:val="20"/>
              </w:rPr>
              <w:t>新增登记</w:t>
            </w:r>
          </w:p>
        </w:tc>
        <w:tc>
          <w:tcPr>
            <w:tcW w:type="dxa" w:w="6740"/>
            <w:vAlign w:val="center"/>
          </w:tcPr>
          <w:p>
            <w:pPr>
              <w:spacing w:before="0" w:after="0" w:line="264" w:lineRule="auto"/>
            </w:pPr>
            <w:r>
              <w:rPr>
                <w:rFonts w:ascii="STHeiti" w:hAnsi="STHeiti" w:eastAsia="STHeiti"/>
                <w:b w:val="0"/>
                <w:color w:val="000000"/>
                <w:sz w:val="20"/>
              </w:rPr>
              <w:t>网格员帮助不熟悉小程序的居民现场代为登记</w:t>
            </w:r>
          </w:p>
        </w:tc>
      </w:tr>
      <w:tr>
        <w:tc>
          <w:tcPr>
            <w:tcW w:type="dxa" w:w="2620"/>
            <w:vAlign w:val="center"/>
            <w:shd w:fill="F2F4F7" w:val="clear"/>
          </w:tcPr>
          <w:p>
            <w:pPr>
              <w:spacing w:before="0" w:after="0" w:line="264" w:lineRule="auto"/>
            </w:pPr>
            <w:r>
              <w:rPr>
                <w:rFonts w:ascii="STHeiti" w:hAnsi="STHeiti" w:eastAsia="STHeiti"/>
                <w:b w:val="0"/>
                <w:color w:val="000000"/>
                <w:sz w:val="20"/>
              </w:rPr>
              <w:t>批量导入</w:t>
            </w:r>
          </w:p>
        </w:tc>
        <w:tc>
          <w:tcPr>
            <w:tcW w:type="dxa" w:w="6740"/>
            <w:vAlign w:val="center"/>
            <w:shd w:fill="F2F4F7" w:val="clear"/>
          </w:tcPr>
          <w:p>
            <w:pPr>
              <w:spacing w:before="0" w:after="0" w:line="264" w:lineRule="auto"/>
            </w:pPr>
            <w:r>
              <w:rPr>
                <w:rFonts w:ascii="STHeiti" w:hAnsi="STHeiti" w:eastAsia="STHeiti"/>
                <w:b w:val="0"/>
                <w:color w:val="000000"/>
                <w:sz w:val="20"/>
              </w:rPr>
              <w:t>微信群回收标准 Excel 登记表后统一导入</w:t>
            </w:r>
          </w:p>
        </w:tc>
      </w:tr>
      <w:tr>
        <w:tc>
          <w:tcPr>
            <w:tcW w:type="dxa" w:w="2620"/>
            <w:vAlign w:val="center"/>
          </w:tcPr>
          <w:p>
            <w:pPr>
              <w:spacing w:before="0" w:after="0" w:line="264" w:lineRule="auto"/>
            </w:pPr>
            <w:r>
              <w:rPr>
                <w:rFonts w:ascii="STHeiti" w:hAnsi="STHeiti" w:eastAsia="STHeiti"/>
                <w:b w:val="0"/>
                <w:color w:val="000000"/>
                <w:sz w:val="20"/>
              </w:rPr>
              <w:t>编辑档案</w:t>
            </w:r>
          </w:p>
        </w:tc>
        <w:tc>
          <w:tcPr>
            <w:tcW w:type="dxa" w:w="6740"/>
            <w:vAlign w:val="center"/>
          </w:tcPr>
          <w:p>
            <w:pPr>
              <w:spacing w:before="0" w:after="0" w:line="264" w:lineRule="auto"/>
            </w:pPr>
            <w:r>
              <w:rPr>
                <w:rFonts w:ascii="STHeiti" w:hAnsi="STHeiti" w:eastAsia="STHeiti"/>
                <w:b w:val="0"/>
                <w:color w:val="000000"/>
                <w:sz w:val="20"/>
              </w:rPr>
              <w:t>修改居民联系方式、所属社区、网格或地址</w:t>
            </w:r>
          </w:p>
        </w:tc>
      </w:tr>
    </w:tbl>
    <w:p>
      <w:pPr>
        <w:jc w:val="left"/>
      </w:pPr>
      <w:r>
        <w:rPr>
          <w:rFonts w:ascii="STHeiti" w:hAnsi="STHeiti" w:eastAsia="STHeiti"/>
          <w:b w:val="0"/>
          <w:color w:val="000000"/>
          <w:sz w:val="22"/>
        </w:rPr>
        <w:t>系统提供标准 Excel 登记表格，字段包括登记类型、姓名、手机号、所属社区、所属网格和现居住地址等。网格员下载表格后发到居民群，居民填写完成并回收，系统会识别新增登记、地址变更和重复档案。</w:t>
      </w:r>
    </w:p>
    <w:p>
      <w:pPr>
        <w:pStyle w:val="Heading2"/>
      </w:pPr>
      <w:r>
        <w:t>4.4 手动派单与权限验证</w:t>
      </w:r>
    </w:p>
    <w:p>
      <w:pPr>
        <w:jc w:val="left"/>
      </w:pPr>
      <w:r>
        <w:rPr>
          <w:rFonts w:ascii="STHeiti" w:hAnsi="STHeiti" w:eastAsia="STHeiti"/>
          <w:b w:val="0"/>
          <w:color w:val="000000"/>
          <w:sz w:val="22"/>
        </w:rPr>
        <w:t>管理员和社区负责人可以在工单详情中手动改派责任网格员。改派后，原网格员将不再看到该工单，新网格员可以在自己的账号下查看。</w:t>
      </w:r>
    </w:p>
    <w:p>
      <w:pPr>
        <w:jc w:val="left"/>
      </w:pPr>
      <w:r>
        <w:rPr>
          <w:rFonts w:ascii="STHeiti" w:hAnsi="STHeiti" w:eastAsia="STHeiti"/>
          <w:b w:val="0"/>
          <w:color w:val="000000"/>
          <w:sz w:val="22"/>
        </w:rPr>
        <w:t>权限隔离由后端执行。普通网格员不能通过修改前端页面或接口参数查看其他网格的工单。</w:t>
      </w:r>
    </w:p>
    <w:p>
      <w:pPr>
        <w:pStyle w:val="Heading1"/>
      </w:pPr>
      <w:r>
        <w:t>五、微信小程序居民端</w:t>
      </w:r>
    </w:p>
    <w:p>
      <w:pPr>
        <w:pStyle w:val="Heading2"/>
      </w:pPr>
      <w:r>
        <w:t>5.1 导入项目</w:t>
      </w:r>
    </w:p>
    <w:p>
      <w:pPr>
        <w:jc w:val="left"/>
      </w:pPr>
      <w:r>
        <w:rPr>
          <w:rFonts w:ascii="STHeiti" w:hAnsi="STHeiti" w:eastAsia="STHeiti"/>
          <w:b w:val="0"/>
          <w:color w:val="000000"/>
          <w:sz w:val="22"/>
        </w:rPr>
        <w:t>1. 打开微信开发者工具。</w:t>
      </w:r>
    </w:p>
    <w:p>
      <w:pPr>
        <w:jc w:val="left"/>
      </w:pPr>
      <w:r>
        <w:rPr>
          <w:rFonts w:ascii="STHeiti" w:hAnsi="STHeiti" w:eastAsia="STHeiti"/>
          <w:b w:val="0"/>
          <w:color w:val="000000"/>
          <w:sz w:val="22"/>
        </w:rPr>
        <w:t>2. 选择“导入项目”。</w:t>
      </w:r>
    </w:p>
    <w:p>
      <w:pPr>
        <w:jc w:val="left"/>
      </w:pPr>
      <w:r>
        <w:rPr>
          <w:rFonts w:ascii="STHeiti" w:hAnsi="STHeiti" w:eastAsia="STHeiti"/>
          <w:b w:val="0"/>
          <w:color w:val="000000"/>
          <w:sz w:val="22"/>
        </w:rPr>
        <w:t>3. 项目目录选择解压后的 `DigitalGridWorker` 文件夹。</w:t>
      </w:r>
    </w:p>
    <w:p>
      <w:pPr>
        <w:jc w:val="left"/>
      </w:pPr>
      <w:r>
        <w:rPr>
          <w:rFonts w:ascii="STHeiti" w:hAnsi="STHeiti" w:eastAsia="STHeiti"/>
          <w:b w:val="0"/>
          <w:color w:val="000000"/>
          <w:sz w:val="22"/>
        </w:rPr>
        <w:t>4. 项目配置会自动识别 `miniprogram/` 目录。</w:t>
      </w:r>
    </w:p>
    <w:p>
      <w:pPr>
        <w:jc w:val="left"/>
      </w:pPr>
      <w:r>
        <w:rPr>
          <w:rFonts w:ascii="STHeiti" w:hAnsi="STHeiti" w:eastAsia="STHeiti"/>
          <w:b w:val="0"/>
          <w:color w:val="000000"/>
          <w:sz w:val="22"/>
        </w:rPr>
        <w:t>5. 点击“编译”。</w:t>
      </w:r>
    </w:p>
    <w:p>
      <w:pPr>
        <w:jc w:val="left"/>
      </w:pPr>
      <w:r>
        <w:rPr>
          <w:rFonts w:ascii="STHeiti" w:hAnsi="STHeiti" w:eastAsia="STHeiti"/>
          <w:b w:val="0"/>
          <w:color w:val="000000"/>
          <w:sz w:val="22"/>
        </w:rPr>
        <w:t>一键启动脚本会把小程序后端地址自动设置为本机地址，微信开发者工具模拟器通常无需手动修改。</w:t>
      </w:r>
    </w:p>
    <w:p>
      <w:pPr>
        <w:pStyle w:val="Heading2"/>
      </w:pPr>
      <w:r>
        <w:t>5.2 地址登记与修改地址</w:t>
      </w:r>
    </w:p>
    <w:p>
      <w:pPr>
        <w:jc w:val="left"/>
      </w:pPr>
      <w:r>
        <w:rPr>
          <w:rFonts w:ascii="STHeiti" w:hAnsi="STHeiti" w:eastAsia="STHeiti"/>
          <w:b w:val="0"/>
          <w:color w:val="000000"/>
          <w:sz w:val="22"/>
        </w:rPr>
        <w:t>居民第一次使用时需要先登记地址：</w:t>
      </w:r>
    </w:p>
    <w:p>
      <w:pPr>
        <w:jc w:val="left"/>
      </w:pPr>
      <w:r>
        <w:rPr>
          <w:rFonts w:ascii="STHeiti" w:hAnsi="STHeiti" w:eastAsia="STHeiti"/>
          <w:b w:val="0"/>
          <w:color w:val="000000"/>
          <w:sz w:val="22"/>
        </w:rPr>
        <w:t>1. 打开小程序首页。</w:t>
      </w:r>
    </w:p>
    <w:p>
      <w:pPr>
        <w:jc w:val="left"/>
      </w:pPr>
      <w:r>
        <w:rPr>
          <w:rFonts w:ascii="STHeiti" w:hAnsi="STHeiti" w:eastAsia="STHeiti"/>
          <w:b w:val="0"/>
          <w:color w:val="000000"/>
          <w:sz w:val="22"/>
        </w:rPr>
        <w:t>2. 点击“立即登记”。</w:t>
      </w:r>
    </w:p>
    <w:p>
      <w:pPr>
        <w:jc w:val="left"/>
      </w:pPr>
      <w:r>
        <w:rPr>
          <w:rFonts w:ascii="STHeiti" w:hAnsi="STHeiti" w:eastAsia="STHeiti"/>
          <w:b w:val="0"/>
          <w:color w:val="000000"/>
          <w:sz w:val="22"/>
        </w:rPr>
        <w:t>3. 填写姓名、手机号、所属社区、所属网格和楼栋房号。</w:t>
      </w:r>
    </w:p>
    <w:p>
      <w:pPr>
        <w:jc w:val="left"/>
      </w:pPr>
      <w:r>
        <w:rPr>
          <w:rFonts w:ascii="STHeiti" w:hAnsi="STHeiti" w:eastAsia="STHeiti"/>
          <w:b w:val="0"/>
          <w:color w:val="000000"/>
          <w:sz w:val="22"/>
        </w:rPr>
        <w:t>4. 勾选个人信息使用说明。</w:t>
      </w:r>
    </w:p>
    <w:p>
      <w:pPr>
        <w:jc w:val="left"/>
      </w:pPr>
      <w:r>
        <w:rPr>
          <w:rFonts w:ascii="STHeiti" w:hAnsi="STHeiti" w:eastAsia="STHeiti"/>
          <w:b w:val="0"/>
          <w:color w:val="000000"/>
          <w:sz w:val="22"/>
        </w:rPr>
        <w:t>5. 点击“保存并开始使用”。</w:t>
      </w:r>
    </w:p>
    <w:p>
      <w:pPr>
        <w:jc w:val="left"/>
      </w:pPr>
      <w:r>
        <w:rPr>
          <w:rFonts w:ascii="STHeiti" w:hAnsi="STHeiti" w:eastAsia="STHeiti"/>
          <w:b w:val="0"/>
          <w:color w:val="000000"/>
          <w:sz w:val="22"/>
        </w:rPr>
        <w:t>已登记居民可以修改地址：</w:t>
      </w:r>
    </w:p>
    <w:p>
      <w:pPr>
        <w:jc w:val="left"/>
      </w:pPr>
      <w:r>
        <w:rPr>
          <w:rFonts w:ascii="STHeiti" w:hAnsi="STHeiti" w:eastAsia="STHeiti"/>
          <w:b w:val="0"/>
          <w:color w:val="000000"/>
          <w:sz w:val="22"/>
        </w:rPr>
        <w:t>1. 在首页点击“修改地址”，或在“我的”页面点击“修改登记”。</w:t>
      </w:r>
    </w:p>
    <w:p>
      <w:pPr>
        <w:jc w:val="left"/>
      </w:pPr>
      <w:r>
        <w:rPr>
          <w:rFonts w:ascii="STHeiti" w:hAnsi="STHeiti" w:eastAsia="STHeiti"/>
          <w:b w:val="0"/>
          <w:color w:val="000000"/>
          <w:sz w:val="22"/>
        </w:rPr>
        <w:t>2. 系统自动带出原有姓名、社区、网格和地址。</w:t>
      </w:r>
    </w:p>
    <w:p>
      <w:pPr>
        <w:jc w:val="left"/>
      </w:pPr>
      <w:r>
        <w:rPr>
          <w:rFonts w:ascii="STHeiti" w:hAnsi="STHeiti" w:eastAsia="STHeiti"/>
          <w:b w:val="0"/>
          <w:color w:val="000000"/>
          <w:sz w:val="22"/>
        </w:rPr>
        <w:t>3. 修改地址后点击“保存修改”。</w:t>
      </w:r>
    </w:p>
    <w:p>
      <w:pPr>
        <w:jc w:val="left"/>
      </w:pPr>
      <w:r>
        <w:rPr>
          <w:rFonts w:ascii="STHeiti" w:hAnsi="STHeiti" w:eastAsia="STHeiti"/>
          <w:b w:val="0"/>
          <w:color w:val="000000"/>
          <w:sz w:val="22"/>
        </w:rPr>
        <w:t>修改地址不会删除历史工单，后端会保留地址变更记录。</w:t>
      </w:r>
    </w:p>
    <w:p>
      <w:pPr>
        <w:pStyle w:val="Heading2"/>
      </w:pPr>
      <w:r>
        <w:t>5.3 居民对话与工单生成</w:t>
      </w:r>
    </w:p>
    <w:p>
      <w:pPr>
        <w:jc w:val="left"/>
      </w:pPr>
      <w:r>
        <w:rPr>
          <w:rFonts w:ascii="STHeiti" w:hAnsi="STHeiti" w:eastAsia="STHeiti"/>
          <w:b w:val="0"/>
          <w:color w:val="000000"/>
          <w:sz w:val="22"/>
        </w:rPr>
        <w:t>居民在“对话”页面用自然语言描述问题。数字网格员会主动询问缺少的信息，例如：</w:t>
      </w:r>
    </w:p>
    <w:p>
      <w:pPr>
        <w:pStyle w:val="ListBullet"/>
      </w:pPr>
      <w:r>
        <w:rPr>
          <w:rFonts w:ascii="STHeiti" w:hAnsi="STHeiti" w:eastAsia="STHeiti"/>
          <w:b w:val="0"/>
          <w:color w:val="000000"/>
          <w:sz w:val="22"/>
        </w:rPr>
        <w:t>具体事发地址。</w:t>
      </w:r>
    </w:p>
    <w:p>
      <w:pPr>
        <w:pStyle w:val="ListBullet"/>
      </w:pPr>
      <w:r>
        <w:rPr>
          <w:rFonts w:ascii="STHeiti" w:hAnsi="STHeiti" w:eastAsia="STHeiti"/>
          <w:b w:val="0"/>
          <w:color w:val="000000"/>
          <w:sz w:val="22"/>
        </w:rPr>
        <w:t>问题发生时间。</w:t>
      </w:r>
    </w:p>
    <w:p>
      <w:pPr>
        <w:pStyle w:val="ListBullet"/>
      </w:pPr>
      <w:r>
        <w:rPr>
          <w:rFonts w:ascii="STHeiti" w:hAnsi="STHeiti" w:eastAsia="STHeiti"/>
          <w:b w:val="0"/>
          <w:color w:val="000000"/>
          <w:sz w:val="22"/>
        </w:rPr>
        <w:t>持续时长和发生频率。</w:t>
      </w:r>
    </w:p>
    <w:p>
      <w:pPr>
        <w:pStyle w:val="ListBullet"/>
      </w:pPr>
      <w:r>
        <w:rPr>
          <w:rFonts w:ascii="STHeiti" w:hAnsi="STHeiti" w:eastAsia="STHeiti"/>
          <w:b w:val="0"/>
          <w:color w:val="000000"/>
          <w:sz w:val="22"/>
        </w:rPr>
        <w:t>是否已经向物业或社区反映。</w:t>
      </w:r>
    </w:p>
    <w:p>
      <w:pPr>
        <w:jc w:val="left"/>
      </w:pPr>
      <w:r>
        <w:rPr>
          <w:rFonts w:ascii="STHeiti" w:hAnsi="STHeiti" w:eastAsia="STHeiti"/>
          <w:b w:val="0"/>
          <w:color w:val="000000"/>
          <w:sz w:val="22"/>
        </w:rPr>
        <w:t>居民确认后，系统生成结构化工单。工单会同时保留居民登记住址和事发地址，避免把居民家庭住址误当成问题发生地点。</w:t>
      </w:r>
    </w:p>
    <w:p>
      <w:pPr>
        <w:pStyle w:val="Heading2"/>
      </w:pPr>
      <w:r>
        <w:t>5.4 查看工单</w:t>
      </w:r>
    </w:p>
    <w:p>
      <w:pPr>
        <w:jc w:val="left"/>
      </w:pPr>
      <w:r>
        <w:rPr>
          <w:rFonts w:ascii="STHeiti" w:hAnsi="STHeiti" w:eastAsia="STHeiti"/>
          <w:b w:val="0"/>
          <w:color w:val="000000"/>
          <w:sz w:val="22"/>
        </w:rPr>
        <w:t>居民可以在小程序“工单”页面查看本人提交的工单，包括工单状态、诉求类别、责任部门、响应时限和处理进度。</w:t>
      </w:r>
    </w:p>
    <w:p>
      <w:pPr>
        <w:pStyle w:val="Heading2"/>
      </w:pPr>
      <w:r>
        <w:t>5.5 手机真机测试</w:t>
      </w:r>
    </w:p>
    <w:p>
      <w:pPr>
        <w:jc w:val="left"/>
      </w:pPr>
      <w:r>
        <w:rPr>
          <w:rFonts w:ascii="STHeiti" w:hAnsi="STHeiti" w:eastAsia="STHeiti"/>
          <w:b w:val="0"/>
          <w:color w:val="000000"/>
          <w:sz w:val="22"/>
        </w:rPr>
        <w:t>微信开发者工具模拟器可以访问本机地址。手机真机不能访问电脑的 `127.0.0.1`，需要在同一个局域网中测试。</w:t>
      </w:r>
    </w:p>
    <w:p>
      <w:pPr>
        <w:jc w:val="left"/>
      </w:pPr>
      <w:r>
        <w:rPr>
          <w:rFonts w:ascii="STHeiti" w:hAnsi="STHeiti" w:eastAsia="STHeiti"/>
          <w:b w:val="0"/>
          <w:color w:val="000000"/>
          <w:sz w:val="22"/>
        </w:rPr>
        <w:t>真机测试步骤：</w:t>
      </w:r>
    </w:p>
    <w:p>
      <w:pPr>
        <w:jc w:val="left"/>
      </w:pPr>
      <w:r>
        <w:rPr>
          <w:rFonts w:ascii="STHeiti" w:hAnsi="STHeiti" w:eastAsia="STHeiti"/>
          <w:b w:val="0"/>
          <w:color w:val="000000"/>
          <w:sz w:val="22"/>
        </w:rPr>
        <w:t>1. 确认手机和电脑连接同一个 Wi-Fi。</w:t>
      </w:r>
    </w:p>
    <w:p>
      <w:pPr>
        <w:jc w:val="left"/>
      </w:pPr>
      <w:r>
        <w:rPr>
          <w:rFonts w:ascii="STHeiti" w:hAnsi="STHeiti" w:eastAsia="STHeiti"/>
          <w:b w:val="0"/>
          <w:color w:val="000000"/>
          <w:sz w:val="22"/>
        </w:rPr>
        <w:t>2. 查看一键启动窗口显示的局域网地址，例如 `http://192.168.1.100:3100`。</w:t>
      </w:r>
    </w:p>
    <w:p>
      <w:pPr>
        <w:jc w:val="left"/>
      </w:pPr>
      <w:r>
        <w:rPr>
          <w:rFonts w:ascii="STHeiti" w:hAnsi="STHeiti" w:eastAsia="STHeiti"/>
          <w:b w:val="0"/>
          <w:color w:val="000000"/>
          <w:sz w:val="22"/>
        </w:rPr>
        <w:t>3. 在小程序“我的”页面修改“后端 API 地址”。</w:t>
      </w:r>
    </w:p>
    <w:p>
      <w:pPr>
        <w:jc w:val="left"/>
      </w:pPr>
      <w:r>
        <w:rPr>
          <w:rFonts w:ascii="STHeiti" w:hAnsi="STHeiti" w:eastAsia="STHeiti"/>
          <w:b w:val="0"/>
          <w:color w:val="000000"/>
          <w:sz w:val="22"/>
        </w:rPr>
        <w:t>4. 点击“保存并重新登录”。</w:t>
      </w:r>
    </w:p>
    <w:p>
      <w:pPr>
        <w:jc w:val="left"/>
      </w:pPr>
      <w:r>
        <w:rPr>
          <w:rFonts w:ascii="STHeiti" w:hAnsi="STHeiti" w:eastAsia="STHeiti"/>
          <w:b w:val="0"/>
          <w:color w:val="000000"/>
          <w:sz w:val="22"/>
        </w:rPr>
        <w:t>5. 点击“测试连接”，确认连接成功。</w:t>
      </w:r>
    </w:p>
    <w:p>
      <w:pPr>
        <w:jc w:val="left"/>
      </w:pPr>
      <w:r>
        <w:rPr>
          <w:rFonts w:ascii="STHeiti" w:hAnsi="STHeiti" w:eastAsia="STHeiti"/>
          <w:b w:val="0"/>
          <w:color w:val="000000"/>
          <w:sz w:val="22"/>
        </w:rPr>
        <w:t>局域网地址不是 HiAgent API Key，只是小程序访问电脑后端的地址。</w:t>
      </w:r>
    </w:p>
    <w:p>
      <w:pPr>
        <w:pStyle w:val="Heading1"/>
      </w:pPr>
      <w:r>
        <w:t>六、Excel 批量导入与适老化灵活登记</w:t>
      </w:r>
    </w:p>
    <w:p>
      <w:pPr>
        <w:jc w:val="left"/>
      </w:pPr>
      <w:r>
        <w:rPr>
          <w:rFonts w:ascii="STHeiti" w:hAnsi="STHeiti" w:eastAsia="STHeiti"/>
          <w:b w:val="0"/>
          <w:color w:val="000000"/>
          <w:sz w:val="22"/>
        </w:rPr>
        <w:t>数字网格员网页端提供两种居民登记方式，覆盖不同使用习惯的人群。</w:t>
      </w:r>
    </w:p>
    <w:p>
      <w:pPr>
        <w:jc w:val="left"/>
      </w:pPr>
      <w:r>
        <w:rPr>
          <w:rFonts w:ascii="STHeiti" w:hAnsi="STHeiti" w:eastAsia="STHeiti"/>
          <w:b w:val="0"/>
          <w:color w:val="000000"/>
          <w:sz w:val="22"/>
        </w:rPr>
        <w:t>第一，标准 Excel 批量导入。网格员从系统下载标准 Excel 登记表，发到居民微信群，居民填写后回收，再由网格员统一导入系统。系统会自动识别新增档案、地址变更和重复记录。</w:t>
      </w:r>
    </w:p>
    <w:p>
      <w:pPr>
        <w:jc w:val="left"/>
      </w:pPr>
      <w:r>
        <w:rPr>
          <w:rFonts w:ascii="STHeiti" w:hAnsi="STHeiti" w:eastAsia="STHeiti"/>
          <w:b w:val="0"/>
          <w:color w:val="000000"/>
          <w:sz w:val="22"/>
        </w:rPr>
        <w:t>第二，单个新增登记。对于年龄较大的居民，或者不方便使用微信小程序的居民，网格员可以在网页端直接点击“新增登记”，代为填写姓名、电话、社区、网格和现居住地址。</w:t>
      </w:r>
    </w:p>
    <w:p>
      <w:pPr>
        <w:jc w:val="left"/>
      </w:pPr>
      <w:r>
        <w:rPr>
          <w:rFonts w:ascii="STHeiti" w:hAnsi="STHeiti" w:eastAsia="STHeiti"/>
          <w:b w:val="0"/>
          <w:color w:val="000000"/>
          <w:sz w:val="22"/>
        </w:rPr>
        <w:t>这两种方式使用同一套居民档案和网格归属规则，登记完成后都可以生成工单并获得正确的网格分派。</w:t>
      </w:r>
    </w:p>
    <w:p>
      <w:pPr>
        <w:pStyle w:val="Heading1"/>
      </w:pPr>
      <w:r>
        <w:t>七、HiAgent 真实接口配置</w:t>
      </w:r>
    </w:p>
    <w:p>
      <w:pPr>
        <w:jc w:val="left"/>
      </w:pPr>
      <w:r>
        <w:rPr>
          <w:rFonts w:ascii="STHeiti" w:hAnsi="STHeiti" w:eastAsia="STHeiti"/>
          <w:b w:val="0"/>
          <w:color w:val="000000"/>
          <w:sz w:val="22"/>
        </w:rPr>
        <w:t>不使用真实 HiAgent 时，系统使用本地模拟模式。启用真实 HiAgent 时，需要准备以下信息：</w:t>
      </w:r>
    </w:p>
    <w:tbl>
      <w:tblPr>
        <w:tblW w:type="dxa" w:w="936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bottom w:w="80" w:type="dxa"/>
          <w:start w:w="120" w:type="dxa"/>
          <w:end w:w="120" w:type="dxa"/>
        </w:tblCellMar>
      </w:tblPr>
      <w:tblGrid>
        <w:gridCol w:w="2620"/>
        <w:gridCol w:w="6740"/>
      </w:tblGrid>
      <w:tr>
        <w:tc>
          <w:tcPr>
            <w:tcW w:type="dxa" w:w="2620"/>
            <w:vAlign w:val="center"/>
            <w:shd w:fill="1F4D78" w:val="clear"/>
          </w:tcPr>
          <w:p>
            <w:pPr>
              <w:spacing w:before="0" w:after="0" w:line="264" w:lineRule="auto"/>
            </w:pPr>
            <w:r>
              <w:rPr>
                <w:rFonts w:ascii="STHeiti" w:hAnsi="STHeiti" w:eastAsia="STHeiti"/>
                <w:b/>
                <w:color w:val="FFFFFF"/>
                <w:sz w:val="20"/>
              </w:rPr>
              <w:t>配置项</w:t>
            </w:r>
          </w:p>
        </w:tc>
        <w:tc>
          <w:tcPr>
            <w:tcW w:type="dxa" w:w="6740"/>
            <w:vAlign w:val="center"/>
            <w:shd w:fill="1F4D78" w:val="clear"/>
          </w:tcPr>
          <w:p>
            <w:pPr>
              <w:spacing w:before="0" w:after="0" w:line="264" w:lineRule="auto"/>
            </w:pPr>
            <w:r>
              <w:rPr>
                <w:rFonts w:ascii="STHeiti" w:hAnsi="STHeiti" w:eastAsia="STHeiti"/>
                <w:b/>
                <w:color w:val="FFFFFF"/>
                <w:sz w:val="20"/>
              </w:rPr>
              <w:t>说明</w:t>
            </w:r>
          </w:p>
        </w:tc>
      </w:tr>
      <w:tr>
        <w:tc>
          <w:tcPr>
            <w:tcW w:type="dxa" w:w="2620"/>
            <w:vAlign w:val="center"/>
          </w:tcPr>
          <w:p>
            <w:pPr>
              <w:spacing w:before="0" w:after="0" w:line="264" w:lineRule="auto"/>
            </w:pPr>
            <w:r>
              <w:rPr>
                <w:rFonts w:ascii="STHeiti" w:hAnsi="STHeiti" w:eastAsia="STHeiti"/>
                <w:b w:val="0"/>
                <w:color w:val="000000"/>
                <w:sz w:val="20"/>
              </w:rPr>
              <w:t>接口地址</w:t>
            </w:r>
          </w:p>
        </w:tc>
        <w:tc>
          <w:tcPr>
            <w:tcW w:type="dxa" w:w="6740"/>
            <w:vAlign w:val="center"/>
          </w:tcPr>
          <w:p>
            <w:pPr>
              <w:spacing w:before="0" w:after="0" w:line="264" w:lineRule="auto"/>
            </w:pPr>
            <w:r>
              <w:rPr>
                <w:rFonts w:ascii="STHeiti" w:hAnsi="STHeiti" w:eastAsia="STHeiti"/>
                <w:b w:val="0"/>
                <w:color w:val="000000"/>
                <w:sz w:val="20"/>
              </w:rPr>
              <w:t>HiAgent 发布后的 API Endpoint</w:t>
            </w:r>
          </w:p>
        </w:tc>
      </w:tr>
      <w:tr>
        <w:tc>
          <w:tcPr>
            <w:tcW w:type="dxa" w:w="2620"/>
            <w:vAlign w:val="center"/>
            <w:shd w:fill="F2F4F7" w:val="clear"/>
          </w:tcPr>
          <w:p>
            <w:pPr>
              <w:spacing w:before="0" w:after="0" w:line="264" w:lineRule="auto"/>
            </w:pPr>
            <w:r>
              <w:rPr>
                <w:rFonts w:ascii="STHeiti" w:hAnsi="STHeiti" w:eastAsia="STHeiti"/>
                <w:b w:val="0"/>
                <w:color w:val="000000"/>
                <w:sz w:val="20"/>
              </w:rPr>
              <w:t>应用 ID</w:t>
            </w:r>
          </w:p>
        </w:tc>
        <w:tc>
          <w:tcPr>
            <w:tcW w:type="dxa" w:w="6740"/>
            <w:vAlign w:val="center"/>
            <w:shd w:fill="F2F4F7" w:val="clear"/>
          </w:tcPr>
          <w:p>
            <w:pPr>
              <w:spacing w:before="0" w:after="0" w:line="264" w:lineRule="auto"/>
            </w:pPr>
            <w:r>
              <w:rPr>
                <w:rFonts w:ascii="STHeiti" w:hAnsi="STHeiti" w:eastAsia="STHeiti"/>
                <w:b w:val="0"/>
                <w:color w:val="000000"/>
                <w:sz w:val="20"/>
              </w:rPr>
              <w:t>HiAgent 应用 ID</w:t>
            </w:r>
          </w:p>
        </w:tc>
      </w:tr>
      <w:tr>
        <w:tc>
          <w:tcPr>
            <w:tcW w:type="dxa" w:w="2620"/>
            <w:vAlign w:val="center"/>
          </w:tcPr>
          <w:p>
            <w:pPr>
              <w:spacing w:before="0" w:after="0" w:line="264" w:lineRule="auto"/>
            </w:pPr>
            <w:r>
              <w:rPr>
                <w:rFonts w:ascii="STHeiti" w:hAnsi="STHeiti" w:eastAsia="STHeiti"/>
                <w:b w:val="0"/>
                <w:color w:val="000000"/>
                <w:sz w:val="20"/>
              </w:rPr>
              <w:t>工作流 ID</w:t>
            </w:r>
          </w:p>
        </w:tc>
        <w:tc>
          <w:tcPr>
            <w:tcW w:type="dxa" w:w="6740"/>
            <w:vAlign w:val="center"/>
          </w:tcPr>
          <w:p>
            <w:pPr>
              <w:spacing w:before="0" w:after="0" w:line="264" w:lineRule="auto"/>
            </w:pPr>
            <w:r>
              <w:rPr>
                <w:rFonts w:ascii="STHeiti" w:hAnsi="STHeiti" w:eastAsia="STHeiti"/>
                <w:b w:val="0"/>
                <w:color w:val="000000"/>
                <w:sz w:val="20"/>
              </w:rPr>
              <w:t>HiAgent 工作流 ID</w:t>
            </w:r>
          </w:p>
        </w:tc>
      </w:tr>
      <w:tr>
        <w:tc>
          <w:tcPr>
            <w:tcW w:type="dxa" w:w="2620"/>
            <w:vAlign w:val="center"/>
            <w:shd w:fill="F2F4F7" w:val="clear"/>
          </w:tcPr>
          <w:p>
            <w:pPr>
              <w:spacing w:before="0" w:after="0" w:line="264" w:lineRule="auto"/>
            </w:pPr>
            <w:r>
              <w:rPr>
                <w:rFonts w:ascii="STHeiti" w:hAnsi="STHeiti" w:eastAsia="STHeiti"/>
                <w:b w:val="0"/>
                <w:color w:val="000000"/>
                <w:sz w:val="20"/>
              </w:rPr>
              <w:t>API Key</w:t>
            </w:r>
          </w:p>
        </w:tc>
        <w:tc>
          <w:tcPr>
            <w:tcW w:type="dxa" w:w="6740"/>
            <w:vAlign w:val="center"/>
            <w:shd w:fill="F2F4F7" w:val="clear"/>
          </w:tcPr>
          <w:p>
            <w:pPr>
              <w:spacing w:before="0" w:after="0" w:line="264" w:lineRule="auto"/>
            </w:pPr>
            <w:r>
              <w:rPr>
                <w:rFonts w:ascii="STHeiti" w:hAnsi="STHeiti" w:eastAsia="STHeiti"/>
                <w:b w:val="0"/>
                <w:color w:val="000000"/>
                <w:sz w:val="20"/>
              </w:rPr>
              <w:t>平台生成的访问密钥</w:t>
            </w:r>
          </w:p>
        </w:tc>
      </w:tr>
    </w:tbl>
    <w:p>
      <w:pPr>
        <w:jc w:val="left"/>
      </w:pPr>
      <w:r>
        <w:rPr>
          <w:rFonts w:ascii="STHeiti" w:hAnsi="STHeiti" w:eastAsia="STHeiti"/>
          <w:b w:val="0"/>
          <w:color w:val="000000"/>
          <w:sz w:val="22"/>
        </w:rPr>
        <w:t>一键启动脚本第一次运行时会询问是否配置真实接口。也可以先使用本地模拟模式，之后在数字网格员网页端“系统配置”中填写并保存。保存后，后端和微信小程序会共同使用该配置。</w:t>
      </w:r>
    </w:p>
    <w:p>
      <w:pPr>
        <w:jc w:val="left"/>
      </w:pPr>
      <w:r>
        <w:rPr>
          <w:rFonts w:ascii="STHeiti" w:hAnsi="STHeiti" w:eastAsia="STHeiti"/>
          <w:b w:val="0"/>
          <w:color w:val="000000"/>
          <w:sz w:val="22"/>
        </w:rPr>
        <w:t>API Key 只保存在后端，不会写入微信小程序，也不会显示在居民端页面。</w:t>
      </w:r>
    </w:p>
    <w:p>
      <w:pPr>
        <w:pStyle w:val="Heading1"/>
      </w:pPr>
      <w:r>
        <w:t>八、常见问题</w:t>
      </w:r>
    </w:p>
    <w:tbl>
      <w:tblPr>
        <w:tblW w:type="dxa" w:w="936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bottom w:w="80" w:type="dxa"/>
          <w:start w:w="120" w:type="dxa"/>
          <w:end w:w="120" w:type="dxa"/>
        </w:tblCellMar>
      </w:tblPr>
      <w:tblGrid>
        <w:gridCol w:w="1872"/>
        <w:gridCol w:w="3556"/>
        <w:gridCol w:w="3932"/>
      </w:tblGrid>
      <w:tr>
        <w:tc>
          <w:tcPr>
            <w:tcW w:type="dxa" w:w="1872"/>
            <w:vAlign w:val="center"/>
            <w:shd w:fill="1F4D78" w:val="clear"/>
          </w:tcPr>
          <w:p>
            <w:pPr>
              <w:spacing w:before="0" w:after="0" w:line="264" w:lineRule="auto"/>
            </w:pPr>
            <w:r>
              <w:rPr>
                <w:rFonts w:ascii="STHeiti" w:hAnsi="STHeiti" w:eastAsia="STHeiti"/>
                <w:b/>
                <w:color w:val="FFFFFF"/>
                <w:sz w:val="20"/>
              </w:rPr>
              <w:t>问题</w:t>
            </w:r>
          </w:p>
        </w:tc>
        <w:tc>
          <w:tcPr>
            <w:tcW w:type="dxa" w:w="3556"/>
            <w:vAlign w:val="center"/>
            <w:shd w:fill="1F4D78" w:val="clear"/>
          </w:tcPr>
          <w:p>
            <w:pPr>
              <w:spacing w:before="0" w:after="0" w:line="264" w:lineRule="auto"/>
            </w:pPr>
            <w:r>
              <w:rPr>
                <w:rFonts w:ascii="STHeiti" w:hAnsi="STHeiti" w:eastAsia="STHeiti"/>
                <w:b/>
                <w:color w:val="FFFFFF"/>
                <w:sz w:val="20"/>
              </w:rPr>
              <w:t>原因</w:t>
            </w:r>
          </w:p>
        </w:tc>
        <w:tc>
          <w:tcPr>
            <w:tcW w:type="dxa" w:w="3932"/>
            <w:vAlign w:val="center"/>
            <w:shd w:fill="1F4D78" w:val="clear"/>
          </w:tcPr>
          <w:p>
            <w:pPr>
              <w:spacing w:before="0" w:after="0" w:line="264" w:lineRule="auto"/>
            </w:pPr>
            <w:r>
              <w:rPr>
                <w:rFonts w:ascii="STHeiti" w:hAnsi="STHeiti" w:eastAsia="STHeiti"/>
                <w:b/>
                <w:color w:val="FFFFFF"/>
                <w:sz w:val="20"/>
              </w:rPr>
              <w:t>处理方法</w:t>
            </w:r>
          </w:p>
        </w:tc>
      </w:tr>
      <w:tr>
        <w:tc>
          <w:tcPr>
            <w:tcW w:type="dxa" w:w="1872"/>
            <w:vAlign w:val="center"/>
          </w:tcPr>
          <w:p>
            <w:pPr>
              <w:spacing w:before="0" w:after="0" w:line="264" w:lineRule="auto"/>
            </w:pPr>
            <w:r>
              <w:rPr>
                <w:rFonts w:ascii="STHeiti" w:hAnsi="STHeiti" w:eastAsia="STHeiti"/>
                <w:b w:val="0"/>
                <w:color w:val="000000"/>
                <w:sz w:val="20"/>
              </w:rPr>
              <w:t>双击启动脚本后窗口一闪而过</w:t>
            </w:r>
          </w:p>
        </w:tc>
        <w:tc>
          <w:tcPr>
            <w:tcW w:type="dxa" w:w="3556"/>
            <w:vAlign w:val="center"/>
          </w:tcPr>
          <w:p>
            <w:pPr>
              <w:spacing w:before="0" w:after="0" w:line="264" w:lineRule="auto"/>
            </w:pPr>
            <w:r>
              <w:rPr>
                <w:rFonts w:ascii="STHeiti" w:hAnsi="STHeiti" w:eastAsia="STHeiti"/>
                <w:b w:val="0"/>
                <w:color w:val="000000"/>
                <w:sz w:val="20"/>
              </w:rPr>
              <w:t>PowerShell 被系统策略拦截</w:t>
            </w:r>
          </w:p>
        </w:tc>
        <w:tc>
          <w:tcPr>
            <w:tcW w:type="dxa" w:w="3932"/>
            <w:vAlign w:val="center"/>
          </w:tcPr>
          <w:p>
            <w:pPr>
              <w:spacing w:before="0" w:after="0" w:line="264" w:lineRule="auto"/>
            </w:pPr>
            <w:r>
              <w:rPr>
                <w:rFonts w:ascii="STHeiti" w:hAnsi="STHeiti" w:eastAsia="STHeiti"/>
                <w:b w:val="0"/>
                <w:color w:val="000000"/>
                <w:sz w:val="20"/>
              </w:rPr>
              <w:t>右键脚本选择“使用 PowerShell 运行”，或执行 `powershell -ExecutionPolicy Bypass -File .\start-digital-grid-worker.ps1`</w:t>
            </w:r>
          </w:p>
        </w:tc>
      </w:tr>
      <w:tr>
        <w:tc>
          <w:tcPr>
            <w:tcW w:type="dxa" w:w="1872"/>
            <w:vAlign w:val="center"/>
            <w:shd w:fill="F2F4F7" w:val="clear"/>
          </w:tcPr>
          <w:p>
            <w:pPr>
              <w:spacing w:before="0" w:after="0" w:line="264" w:lineRule="auto"/>
            </w:pPr>
            <w:r>
              <w:rPr>
                <w:rFonts w:ascii="STHeiti" w:hAnsi="STHeiti" w:eastAsia="STHeiti"/>
                <w:b w:val="0"/>
                <w:color w:val="000000"/>
                <w:sz w:val="20"/>
              </w:rPr>
              <w:t>网页端打不开</w:t>
            </w:r>
          </w:p>
        </w:tc>
        <w:tc>
          <w:tcPr>
            <w:tcW w:type="dxa" w:w="3556"/>
            <w:vAlign w:val="center"/>
            <w:shd w:fill="F2F4F7" w:val="clear"/>
          </w:tcPr>
          <w:p>
            <w:pPr>
              <w:spacing w:before="0" w:after="0" w:line="264" w:lineRule="auto"/>
            </w:pPr>
            <w:r>
              <w:rPr>
                <w:rFonts w:ascii="STHeiti" w:hAnsi="STHeiti" w:eastAsia="STHeiti"/>
                <w:b w:val="0"/>
                <w:color w:val="000000"/>
                <w:sz w:val="20"/>
              </w:rPr>
              <w:t>后端未启动或端口被占用</w:t>
            </w:r>
          </w:p>
        </w:tc>
        <w:tc>
          <w:tcPr>
            <w:tcW w:type="dxa" w:w="3932"/>
            <w:vAlign w:val="center"/>
            <w:shd w:fill="F2F4F7" w:val="clear"/>
          </w:tcPr>
          <w:p>
            <w:pPr>
              <w:spacing w:before="0" w:after="0" w:line="264" w:lineRule="auto"/>
            </w:pPr>
            <w:r>
              <w:rPr>
                <w:rFonts w:ascii="STHeiti" w:hAnsi="STHeiti" w:eastAsia="STHeiti"/>
                <w:b w:val="0"/>
                <w:color w:val="000000"/>
                <w:sz w:val="20"/>
              </w:rPr>
              <w:t>查看启动窗口和 `server-error.log`，脚本会自动选择其他可用端口</w:t>
            </w:r>
          </w:p>
        </w:tc>
      </w:tr>
      <w:tr>
        <w:tc>
          <w:tcPr>
            <w:tcW w:type="dxa" w:w="1872"/>
            <w:vAlign w:val="center"/>
          </w:tcPr>
          <w:p>
            <w:pPr>
              <w:spacing w:before="0" w:after="0" w:line="264" w:lineRule="auto"/>
            </w:pPr>
            <w:r>
              <w:rPr>
                <w:rFonts w:ascii="STHeiti" w:hAnsi="STHeiti" w:eastAsia="STHeiti"/>
                <w:b w:val="0"/>
                <w:color w:val="000000"/>
                <w:sz w:val="20"/>
              </w:rPr>
              <w:t>微信开发者工具没有自动打开</w:t>
            </w:r>
          </w:p>
        </w:tc>
        <w:tc>
          <w:tcPr>
            <w:tcW w:type="dxa" w:w="3556"/>
            <w:vAlign w:val="center"/>
          </w:tcPr>
          <w:p>
            <w:pPr>
              <w:spacing w:before="0" w:after="0" w:line="264" w:lineRule="auto"/>
            </w:pPr>
            <w:r>
              <w:rPr>
                <w:rFonts w:ascii="STHeiti" w:hAnsi="STHeiti" w:eastAsia="STHeiti"/>
                <w:b w:val="0"/>
                <w:color w:val="000000"/>
                <w:sz w:val="20"/>
              </w:rPr>
              <w:t>未安装微信开发者工具或路径不同</w:t>
            </w:r>
          </w:p>
        </w:tc>
        <w:tc>
          <w:tcPr>
            <w:tcW w:type="dxa" w:w="3932"/>
            <w:vAlign w:val="center"/>
          </w:tcPr>
          <w:p>
            <w:pPr>
              <w:spacing w:before="0" w:after="0" w:line="264" w:lineRule="auto"/>
            </w:pPr>
            <w:r>
              <w:rPr>
                <w:rFonts w:ascii="STHeiti" w:hAnsi="STHeiti" w:eastAsia="STHeiti"/>
                <w:b w:val="0"/>
                <w:color w:val="000000"/>
                <w:sz w:val="20"/>
              </w:rPr>
              <w:t>手动安装微信开发者工具后，重新运行启动脚本</w:t>
            </w:r>
          </w:p>
        </w:tc>
      </w:tr>
      <w:tr>
        <w:tc>
          <w:tcPr>
            <w:tcW w:type="dxa" w:w="1872"/>
            <w:vAlign w:val="center"/>
            <w:shd w:fill="F2F4F7" w:val="clear"/>
          </w:tcPr>
          <w:p>
            <w:pPr>
              <w:spacing w:before="0" w:after="0" w:line="264" w:lineRule="auto"/>
            </w:pPr>
            <w:r>
              <w:rPr>
                <w:rFonts w:ascii="STHeiti" w:hAnsi="STHeiti" w:eastAsia="STHeiti"/>
                <w:b w:val="0"/>
                <w:color w:val="000000"/>
                <w:sz w:val="20"/>
              </w:rPr>
              <w:t>模拟器小程序请求失败</w:t>
            </w:r>
          </w:p>
        </w:tc>
        <w:tc>
          <w:tcPr>
            <w:tcW w:type="dxa" w:w="3556"/>
            <w:vAlign w:val="center"/>
            <w:shd w:fill="F2F4F7" w:val="clear"/>
          </w:tcPr>
          <w:p>
            <w:pPr>
              <w:spacing w:before="0" w:after="0" w:line="264" w:lineRule="auto"/>
            </w:pPr>
            <w:r>
              <w:rPr>
                <w:rFonts w:ascii="STHeiti" w:hAnsi="STHeiti" w:eastAsia="STHeiti"/>
                <w:b w:val="0"/>
                <w:color w:val="000000"/>
                <w:sz w:val="20"/>
              </w:rPr>
              <w:t>后端地址与本机端口不一致</w:t>
            </w:r>
          </w:p>
        </w:tc>
        <w:tc>
          <w:tcPr>
            <w:tcW w:type="dxa" w:w="3932"/>
            <w:vAlign w:val="center"/>
            <w:shd w:fill="F2F4F7" w:val="clear"/>
          </w:tcPr>
          <w:p>
            <w:pPr>
              <w:spacing w:before="0" w:after="0" w:line="264" w:lineRule="auto"/>
            </w:pPr>
            <w:r>
              <w:rPr>
                <w:rFonts w:ascii="STHeiti" w:hAnsi="STHeiti" w:eastAsia="STHeiti"/>
                <w:b w:val="0"/>
                <w:color w:val="000000"/>
                <w:sz w:val="20"/>
              </w:rPr>
              <w:t>重新运行一键启动脚本，脚本会自动写入本机后端地址</w:t>
            </w:r>
          </w:p>
        </w:tc>
      </w:tr>
      <w:tr>
        <w:tc>
          <w:tcPr>
            <w:tcW w:type="dxa" w:w="1872"/>
            <w:vAlign w:val="center"/>
          </w:tcPr>
          <w:p>
            <w:pPr>
              <w:spacing w:before="0" w:after="0" w:line="264" w:lineRule="auto"/>
            </w:pPr>
            <w:r>
              <w:rPr>
                <w:rFonts w:ascii="STHeiti" w:hAnsi="STHeiti" w:eastAsia="STHeiti"/>
                <w:b w:val="0"/>
                <w:color w:val="000000"/>
                <w:sz w:val="20"/>
              </w:rPr>
              <w:t>手机测试请求超时</w:t>
            </w:r>
          </w:p>
        </w:tc>
        <w:tc>
          <w:tcPr>
            <w:tcW w:type="dxa" w:w="3556"/>
            <w:vAlign w:val="center"/>
          </w:tcPr>
          <w:p>
            <w:pPr>
              <w:spacing w:before="0" w:after="0" w:line="264" w:lineRule="auto"/>
            </w:pPr>
            <w:r>
              <w:rPr>
                <w:rFonts w:ascii="STHeiti" w:hAnsi="STHeiti" w:eastAsia="STHeiti"/>
                <w:b w:val="0"/>
                <w:color w:val="000000"/>
                <w:sz w:val="20"/>
              </w:rPr>
              <w:t>手机和电脑不在同一网络</w:t>
            </w:r>
          </w:p>
        </w:tc>
        <w:tc>
          <w:tcPr>
            <w:tcW w:type="dxa" w:w="3932"/>
            <w:vAlign w:val="center"/>
          </w:tcPr>
          <w:p>
            <w:pPr>
              <w:spacing w:before="0" w:after="0" w:line="264" w:lineRule="auto"/>
            </w:pPr>
            <w:r>
              <w:rPr>
                <w:rFonts w:ascii="STHeiti" w:hAnsi="STHeiti" w:eastAsia="STHeiti"/>
                <w:b w:val="0"/>
                <w:color w:val="000000"/>
                <w:sz w:val="20"/>
              </w:rPr>
              <w:t>使用同一 Wi-Fi，并在小程序中填写电脑局域网地址</w:t>
            </w:r>
          </w:p>
        </w:tc>
      </w:tr>
      <w:tr>
        <w:tc>
          <w:tcPr>
            <w:tcW w:type="dxa" w:w="1872"/>
            <w:vAlign w:val="center"/>
            <w:shd w:fill="F2F4F7" w:val="clear"/>
          </w:tcPr>
          <w:p>
            <w:pPr>
              <w:spacing w:before="0" w:after="0" w:line="264" w:lineRule="auto"/>
            </w:pPr>
            <w:r>
              <w:rPr>
                <w:rFonts w:ascii="STHeiti" w:hAnsi="STHeiti" w:eastAsia="STHeiti"/>
                <w:b w:val="0"/>
                <w:color w:val="000000"/>
                <w:sz w:val="20"/>
              </w:rPr>
              <w:t>小程序显示未登记</w:t>
            </w:r>
          </w:p>
        </w:tc>
        <w:tc>
          <w:tcPr>
            <w:tcW w:type="dxa" w:w="3556"/>
            <w:vAlign w:val="center"/>
            <w:shd w:fill="F2F4F7" w:val="clear"/>
          </w:tcPr>
          <w:p>
            <w:pPr>
              <w:spacing w:before="0" w:after="0" w:line="264" w:lineRule="auto"/>
            </w:pPr>
            <w:r>
              <w:rPr>
                <w:rFonts w:ascii="STHeiti" w:hAnsi="STHeiti" w:eastAsia="STHeiti"/>
                <w:b w:val="0"/>
                <w:color w:val="000000"/>
                <w:sz w:val="20"/>
              </w:rPr>
              <w:t>本地缓存为空或后端地址不正确</w:t>
            </w:r>
          </w:p>
        </w:tc>
        <w:tc>
          <w:tcPr>
            <w:tcW w:type="dxa" w:w="3932"/>
            <w:vAlign w:val="center"/>
            <w:shd w:fill="F2F4F7" w:val="clear"/>
          </w:tcPr>
          <w:p>
            <w:pPr>
              <w:spacing w:before="0" w:after="0" w:line="264" w:lineRule="auto"/>
            </w:pPr>
            <w:r>
              <w:rPr>
                <w:rFonts w:ascii="STHeiti" w:hAnsi="STHeiti" w:eastAsia="STHeiti"/>
                <w:b w:val="0"/>
                <w:color w:val="000000"/>
                <w:sz w:val="20"/>
              </w:rPr>
              <w:t>检查“测试连接”，重新保存地址后再次登记</w:t>
            </w:r>
          </w:p>
        </w:tc>
      </w:tr>
      <w:tr>
        <w:tc>
          <w:tcPr>
            <w:tcW w:type="dxa" w:w="1872"/>
            <w:vAlign w:val="center"/>
          </w:tcPr>
          <w:p>
            <w:pPr>
              <w:spacing w:before="0" w:after="0" w:line="264" w:lineRule="auto"/>
            </w:pPr>
            <w:r>
              <w:rPr>
                <w:rFonts w:ascii="STHeiti" w:hAnsi="STHeiti" w:eastAsia="STHeiti"/>
                <w:b w:val="0"/>
                <w:color w:val="000000"/>
                <w:sz w:val="20"/>
              </w:rPr>
              <w:t>真实 HiAgent 请求失败</w:t>
            </w:r>
          </w:p>
        </w:tc>
        <w:tc>
          <w:tcPr>
            <w:tcW w:type="dxa" w:w="3556"/>
            <w:vAlign w:val="center"/>
          </w:tcPr>
          <w:p>
            <w:pPr>
              <w:spacing w:before="0" w:after="0" w:line="264" w:lineRule="auto"/>
            </w:pPr>
            <w:r>
              <w:rPr>
                <w:rFonts w:ascii="STHeiti" w:hAnsi="STHeiti" w:eastAsia="STHeiti"/>
                <w:b w:val="0"/>
                <w:color w:val="000000"/>
                <w:sz w:val="20"/>
              </w:rPr>
              <w:t>接口地址、应用 ID、工作流 ID 或 API Key 错误</w:t>
            </w:r>
          </w:p>
        </w:tc>
        <w:tc>
          <w:tcPr>
            <w:tcW w:type="dxa" w:w="3932"/>
            <w:vAlign w:val="center"/>
          </w:tcPr>
          <w:p>
            <w:pPr>
              <w:spacing w:before="0" w:after="0" w:line="264" w:lineRule="auto"/>
            </w:pPr>
            <w:r>
              <w:rPr>
                <w:rFonts w:ascii="STHeiti" w:hAnsi="STHeiti" w:eastAsia="STHeiti"/>
                <w:b w:val="0"/>
                <w:color w:val="000000"/>
                <w:sz w:val="20"/>
              </w:rPr>
              <w:t>在网页端系统配置中核对配置并执行连接测试</w:t>
            </w:r>
          </w:p>
        </w:tc>
      </w:tr>
    </w:tbl>
    <w:p>
      <w:pPr>
        <w:pStyle w:val="Heading1"/>
      </w:pPr>
      <w:r>
        <w:t>九、数据与安全</w:t>
      </w:r>
    </w:p>
    <w:p>
      <w:pPr>
        <w:jc w:val="left"/>
      </w:pPr>
      <w:r>
        <w:rPr>
          <w:rFonts w:ascii="STHeiti" w:hAnsi="STHeiti" w:eastAsia="STHeiti"/>
          <w:b w:val="0"/>
          <w:color w:val="000000"/>
          <w:sz w:val="22"/>
        </w:rPr>
        <w:t>系统不会把真实 HiAgent API Key 写入小程序。微信小程序只保存居民登录令牌和后端地址，居民端不显示网格员手机号等内部信息。</w:t>
      </w:r>
    </w:p>
    <w:p>
      <w:pPr>
        <w:jc w:val="left"/>
      </w:pPr>
      <w:r>
        <w:rPr>
          <w:rFonts w:ascii="STHeiti" w:hAnsi="STHeiti" w:eastAsia="STHeiti"/>
          <w:b w:val="0"/>
          <w:color w:val="000000"/>
          <w:sz w:val="22"/>
        </w:rPr>
        <w:t>提交压缩包不包含以下本机敏感文件：</w:t>
      </w:r>
    </w:p>
    <w:p>
      <w:pPr>
        <w:pStyle w:val="ListBullet"/>
      </w:pPr>
      <w:r>
        <w:rPr>
          <w:rFonts w:ascii="STHeiti" w:hAnsi="STHeiti" w:eastAsia="STHeiti"/>
          <w:b w:val="0"/>
          <w:color w:val="000000"/>
          <w:sz w:val="22"/>
        </w:rPr>
        <w:t>`data/runtime/hiagent-config.json`</w:t>
      </w:r>
    </w:p>
    <w:p>
      <w:pPr>
        <w:pStyle w:val="ListBullet"/>
      </w:pPr>
      <w:r>
        <w:rPr>
          <w:rFonts w:ascii="STHeiti" w:hAnsi="STHeiti" w:eastAsia="STHeiti"/>
          <w:b w:val="0"/>
          <w:color w:val="000000"/>
          <w:sz w:val="22"/>
        </w:rPr>
        <w:t>`data/runtime/store.json`</w:t>
      </w:r>
    </w:p>
    <w:p>
      <w:pPr>
        <w:pStyle w:val="ListBullet"/>
      </w:pPr>
      <w:r>
        <w:rPr>
          <w:rFonts w:ascii="STHeiti" w:hAnsi="STHeiti" w:eastAsia="STHeiti"/>
          <w:b w:val="0"/>
          <w:color w:val="000000"/>
          <w:sz w:val="22"/>
        </w:rPr>
        <w:t>`data/runtime/env.json`</w:t>
      </w:r>
    </w:p>
    <w:p>
      <w:pPr>
        <w:pStyle w:val="ListBullet"/>
      </w:pPr>
      <w:r>
        <w:rPr>
          <w:rFonts w:ascii="STHeiti" w:hAnsi="STHeiti" w:eastAsia="STHeiti"/>
          <w:b w:val="0"/>
          <w:color w:val="000000"/>
          <w:sz w:val="22"/>
        </w:rPr>
        <w:t>本地日志和缓存文件</w:t>
      </w:r>
    </w:p>
    <w:p>
      <w:pPr>
        <w:jc w:val="left"/>
      </w:pPr>
      <w:r>
        <w:rPr>
          <w:rFonts w:ascii="STHeiti" w:hAnsi="STHeiti" w:eastAsia="STHeiti"/>
          <w:b w:val="0"/>
          <w:color w:val="000000"/>
          <w:sz w:val="22"/>
        </w:rPr>
        <w:t>如果使用真实微信登录，需要在部署电脑上配置微信 AppID 和 AppSecret。该信息同样只由后端使用。</w:t>
      </w:r>
    </w:p>
    <w:p>
      <w:pPr>
        <w:pStyle w:val="Heading1"/>
      </w:pPr>
      <w:r>
        <w:t>十、评审快速演示流程</w:t>
      </w:r>
    </w:p>
    <w:p>
      <w:pPr>
        <w:jc w:val="left"/>
      </w:pPr>
      <w:r>
        <w:rPr>
          <w:rFonts w:ascii="STHeiti" w:hAnsi="STHeiti" w:eastAsia="STHeiti"/>
          <w:b w:val="0"/>
          <w:color w:val="000000"/>
          <w:sz w:val="22"/>
        </w:rPr>
        <w:t>1. 双击 `start-digital-grid-worker.bat`。</w:t>
      </w:r>
    </w:p>
    <w:p>
      <w:pPr>
        <w:jc w:val="left"/>
      </w:pPr>
      <w:r>
        <w:rPr>
          <w:rFonts w:ascii="STHeiti" w:hAnsi="STHeiti" w:eastAsia="STHeiti"/>
          <w:b w:val="0"/>
          <w:color w:val="000000"/>
          <w:sz w:val="22"/>
        </w:rPr>
        <w:t>2. 在 HiAgent 配置询问处直接回车，使用本地模拟模式。</w:t>
      </w:r>
    </w:p>
    <w:p>
      <w:pPr>
        <w:jc w:val="left"/>
      </w:pPr>
      <w:r>
        <w:rPr>
          <w:rFonts w:ascii="STHeiti" w:hAnsi="STHeiti" w:eastAsia="STHeiti"/>
          <w:b w:val="0"/>
          <w:color w:val="000000"/>
          <w:sz w:val="22"/>
        </w:rPr>
        <w:t>3. 浏览器打开数字网格员网页端。</w:t>
      </w:r>
    </w:p>
    <w:p>
      <w:pPr>
        <w:jc w:val="left"/>
      </w:pPr>
      <w:r>
        <w:rPr>
          <w:rFonts w:ascii="STHeiti" w:hAnsi="STHeiti" w:eastAsia="STHeiti"/>
          <w:b w:val="0"/>
          <w:color w:val="000000"/>
          <w:sz w:val="22"/>
        </w:rPr>
        <w:t>4. 使用 `admin / admin123` 登录。</w:t>
      </w:r>
    </w:p>
    <w:p>
      <w:pPr>
        <w:jc w:val="left"/>
      </w:pPr>
      <w:r>
        <w:rPr>
          <w:rFonts w:ascii="STHeiti" w:hAnsi="STHeiti" w:eastAsia="STHeiti"/>
          <w:b w:val="0"/>
          <w:color w:val="000000"/>
          <w:sz w:val="22"/>
        </w:rPr>
        <w:t>5. 进入“工单中心”，查看工单字段和分派结果。</w:t>
      </w:r>
    </w:p>
    <w:p>
      <w:pPr>
        <w:jc w:val="left"/>
      </w:pPr>
      <w:r>
        <w:rPr>
          <w:rFonts w:ascii="STHeiti" w:hAnsi="STHeiti" w:eastAsia="STHeiti"/>
          <w:b w:val="0"/>
          <w:color w:val="000000"/>
          <w:sz w:val="22"/>
        </w:rPr>
        <w:t>6. 打开微信开发者工具，编译小程序。</w:t>
      </w:r>
    </w:p>
    <w:p>
      <w:pPr>
        <w:jc w:val="left"/>
      </w:pPr>
      <w:r>
        <w:rPr>
          <w:rFonts w:ascii="STHeiti" w:hAnsi="STHeiti" w:eastAsia="STHeiti"/>
          <w:b w:val="0"/>
          <w:color w:val="000000"/>
          <w:sz w:val="22"/>
        </w:rPr>
        <w:t>7. 在小程序中登记或修改地址。</w:t>
      </w:r>
    </w:p>
    <w:p>
      <w:pPr>
        <w:jc w:val="left"/>
      </w:pPr>
      <w:r>
        <w:rPr>
          <w:rFonts w:ascii="STHeiti" w:hAnsi="STHeiti" w:eastAsia="STHeiti"/>
          <w:b w:val="0"/>
          <w:color w:val="000000"/>
          <w:sz w:val="22"/>
        </w:rPr>
        <w:t>8. 在对话页面提交一条诉求并确认生成工单。</w:t>
      </w:r>
    </w:p>
    <w:p>
      <w:pPr>
        <w:jc w:val="left"/>
      </w:pPr>
      <w:r>
        <w:rPr>
          <w:rFonts w:ascii="STHeiti" w:hAnsi="STHeiti" w:eastAsia="STHeiti"/>
          <w:b w:val="0"/>
          <w:color w:val="000000"/>
          <w:sz w:val="22"/>
        </w:rPr>
        <w:t>9. 回到网页端，观察工单自动出现并分派给对应网格员。</w:t>
      </w:r>
    </w:p>
    <w:p>
      <w:pPr>
        <w:pStyle w:val="ListNumber"/>
      </w:pPr>
      <w:r>
        <w:rPr>
          <w:rFonts w:ascii="STHeiti" w:hAnsi="STHeiti" w:eastAsia="STHeiti"/>
          <w:b w:val="0"/>
          <w:color w:val="000000"/>
          <w:sz w:val="22"/>
        </w:rPr>
        <w:t>退出管理员账号，改用 `hualin01 / 123456` 登录，验证只能看到本人工单。</w:t>
      </w:r>
    </w:p>
    <w:p>
      <w:pPr>
        <w:pStyle w:val="Heading1"/>
      </w:pPr>
      <w:r>
        <w:t>十一、文件与目录说明</w:t>
      </w:r>
    </w:p>
    <w:tbl>
      <w:tblPr>
        <w:tblW w:type="dxa" w:w="936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bottom w:w="80" w:type="dxa"/>
          <w:start w:w="120" w:type="dxa"/>
          <w:end w:w="120" w:type="dxa"/>
        </w:tblCellMar>
      </w:tblPr>
      <w:tblGrid>
        <w:gridCol w:w="2620"/>
        <w:gridCol w:w="6740"/>
      </w:tblGrid>
      <w:tr>
        <w:tc>
          <w:tcPr>
            <w:tcW w:type="dxa" w:w="2620"/>
            <w:vAlign w:val="center"/>
            <w:shd w:fill="1F4D78" w:val="clear"/>
          </w:tcPr>
          <w:p>
            <w:pPr>
              <w:spacing w:before="0" w:after="0" w:line="264" w:lineRule="auto"/>
            </w:pPr>
            <w:r>
              <w:rPr>
                <w:rFonts w:ascii="STHeiti" w:hAnsi="STHeiti" w:eastAsia="STHeiti"/>
                <w:b/>
                <w:color w:val="FFFFFF"/>
                <w:sz w:val="20"/>
              </w:rPr>
              <w:t>文件或目录</w:t>
            </w:r>
          </w:p>
        </w:tc>
        <w:tc>
          <w:tcPr>
            <w:tcW w:type="dxa" w:w="6740"/>
            <w:vAlign w:val="center"/>
            <w:shd w:fill="1F4D78" w:val="clear"/>
          </w:tcPr>
          <w:p>
            <w:pPr>
              <w:spacing w:before="0" w:after="0" w:line="264" w:lineRule="auto"/>
            </w:pPr>
            <w:r>
              <w:rPr>
                <w:rFonts w:ascii="STHeiti" w:hAnsi="STHeiti" w:eastAsia="STHeiti"/>
                <w:b/>
                <w:color w:val="FFFFFF"/>
                <w:sz w:val="20"/>
              </w:rPr>
              <w:t>用途</w:t>
            </w:r>
          </w:p>
        </w:tc>
      </w:tr>
      <w:tr>
        <w:tc>
          <w:tcPr>
            <w:tcW w:type="dxa" w:w="2620"/>
            <w:vAlign w:val="center"/>
          </w:tcPr>
          <w:p>
            <w:pPr>
              <w:spacing w:before="0" w:after="0" w:line="264" w:lineRule="auto"/>
            </w:pPr>
            <w:r>
              <w:rPr>
                <w:rFonts w:ascii="STHeiti" w:hAnsi="STHeiti" w:eastAsia="STHeiti"/>
                <w:b w:val="0"/>
                <w:color w:val="000000"/>
                <w:sz w:val="20"/>
              </w:rPr>
              <w:t>`start-digital-grid-worker.bat`</w:t>
            </w:r>
          </w:p>
        </w:tc>
        <w:tc>
          <w:tcPr>
            <w:tcW w:type="dxa" w:w="6740"/>
            <w:vAlign w:val="center"/>
          </w:tcPr>
          <w:p>
            <w:pPr>
              <w:spacing w:before="0" w:after="0" w:line="264" w:lineRule="auto"/>
            </w:pPr>
            <w:r>
              <w:rPr>
                <w:rFonts w:ascii="STHeiti" w:hAnsi="STHeiti" w:eastAsia="STHeiti"/>
                <w:b w:val="0"/>
                <w:color w:val="000000"/>
                <w:sz w:val="20"/>
              </w:rPr>
              <w:t>Windows 双击启动入口</w:t>
            </w:r>
          </w:p>
        </w:tc>
      </w:tr>
      <w:tr>
        <w:tc>
          <w:tcPr>
            <w:tcW w:type="dxa" w:w="2620"/>
            <w:vAlign w:val="center"/>
            <w:shd w:fill="F2F4F7" w:val="clear"/>
          </w:tcPr>
          <w:p>
            <w:pPr>
              <w:spacing w:before="0" w:after="0" w:line="264" w:lineRule="auto"/>
            </w:pPr>
            <w:r>
              <w:rPr>
                <w:rFonts w:ascii="STHeiti" w:hAnsi="STHeiti" w:eastAsia="STHeiti"/>
                <w:b w:val="0"/>
                <w:color w:val="000000"/>
                <w:sz w:val="20"/>
              </w:rPr>
              <w:t>`start-digital-grid-worker.ps1`</w:t>
            </w:r>
          </w:p>
        </w:tc>
        <w:tc>
          <w:tcPr>
            <w:tcW w:type="dxa" w:w="6740"/>
            <w:vAlign w:val="center"/>
            <w:shd w:fill="F2F4F7" w:val="clear"/>
          </w:tcPr>
          <w:p>
            <w:pPr>
              <w:spacing w:before="0" w:after="0" w:line="264" w:lineRule="auto"/>
            </w:pPr>
            <w:r>
              <w:rPr>
                <w:rFonts w:ascii="STHeiti" w:hAnsi="STHeiti" w:eastAsia="STHeiti"/>
                <w:b w:val="0"/>
                <w:color w:val="000000"/>
                <w:sz w:val="20"/>
              </w:rPr>
              <w:t>Windows 自动部署和启动逻辑</w:t>
            </w:r>
          </w:p>
        </w:tc>
      </w:tr>
      <w:tr>
        <w:tc>
          <w:tcPr>
            <w:tcW w:type="dxa" w:w="2620"/>
            <w:vAlign w:val="center"/>
          </w:tcPr>
          <w:p>
            <w:pPr>
              <w:spacing w:before="0" w:after="0" w:line="264" w:lineRule="auto"/>
            </w:pPr>
            <w:r>
              <w:rPr>
                <w:rFonts w:ascii="STHeiti" w:hAnsi="STHeiti" w:eastAsia="STHeiti"/>
                <w:b w:val="0"/>
                <w:color w:val="000000"/>
                <w:sz w:val="20"/>
              </w:rPr>
              <w:t>`server.js`</w:t>
            </w:r>
          </w:p>
        </w:tc>
        <w:tc>
          <w:tcPr>
            <w:tcW w:type="dxa" w:w="6740"/>
            <w:vAlign w:val="center"/>
          </w:tcPr>
          <w:p>
            <w:pPr>
              <w:spacing w:before="0" w:after="0" w:line="264" w:lineRule="auto"/>
            </w:pPr>
            <w:r>
              <w:rPr>
                <w:rFonts w:ascii="STHeiti" w:hAnsi="STHeiti" w:eastAsia="STHeiti"/>
                <w:b w:val="0"/>
                <w:color w:val="000000"/>
                <w:sz w:val="20"/>
              </w:rPr>
              <w:t>数字网格员后端服务</w:t>
            </w:r>
          </w:p>
        </w:tc>
      </w:tr>
      <w:tr>
        <w:tc>
          <w:tcPr>
            <w:tcW w:type="dxa" w:w="2620"/>
            <w:vAlign w:val="center"/>
            <w:shd w:fill="F2F4F7" w:val="clear"/>
          </w:tcPr>
          <w:p>
            <w:pPr>
              <w:spacing w:before="0" w:after="0" w:line="264" w:lineRule="auto"/>
            </w:pPr>
            <w:r>
              <w:rPr>
                <w:rFonts w:ascii="STHeiti" w:hAnsi="STHeiti" w:eastAsia="STHeiti"/>
                <w:b w:val="0"/>
                <w:color w:val="000000"/>
                <w:sz w:val="20"/>
              </w:rPr>
              <w:t>`index.html`</w:t>
            </w:r>
          </w:p>
        </w:tc>
        <w:tc>
          <w:tcPr>
            <w:tcW w:type="dxa" w:w="6740"/>
            <w:vAlign w:val="center"/>
            <w:shd w:fill="F2F4F7" w:val="clear"/>
          </w:tcPr>
          <w:p>
            <w:pPr>
              <w:spacing w:before="0" w:after="0" w:line="264" w:lineRule="auto"/>
            </w:pPr>
            <w:r>
              <w:rPr>
                <w:rFonts w:ascii="STHeiti" w:hAnsi="STHeiti" w:eastAsia="STHeiti"/>
                <w:b w:val="0"/>
                <w:color w:val="000000"/>
                <w:sz w:val="20"/>
              </w:rPr>
              <w:t>数字网格员网页端入口</w:t>
            </w:r>
          </w:p>
        </w:tc>
      </w:tr>
      <w:tr>
        <w:tc>
          <w:tcPr>
            <w:tcW w:type="dxa" w:w="2620"/>
            <w:vAlign w:val="center"/>
          </w:tcPr>
          <w:p>
            <w:pPr>
              <w:spacing w:before="0" w:after="0" w:line="264" w:lineRule="auto"/>
            </w:pPr>
            <w:r>
              <w:rPr>
                <w:rFonts w:ascii="STHeiti" w:hAnsi="STHeiti" w:eastAsia="STHeiti"/>
                <w:b w:val="0"/>
                <w:color w:val="000000"/>
                <w:sz w:val="20"/>
              </w:rPr>
              <w:t>`miniprogram/`</w:t>
            </w:r>
          </w:p>
        </w:tc>
        <w:tc>
          <w:tcPr>
            <w:tcW w:type="dxa" w:w="6740"/>
            <w:vAlign w:val="center"/>
          </w:tcPr>
          <w:p>
            <w:pPr>
              <w:spacing w:before="0" w:after="0" w:line="264" w:lineRule="auto"/>
            </w:pPr>
            <w:r>
              <w:rPr>
                <w:rFonts w:ascii="STHeiti" w:hAnsi="STHeiti" w:eastAsia="STHeiti"/>
                <w:b w:val="0"/>
                <w:color w:val="000000"/>
                <w:sz w:val="20"/>
              </w:rPr>
              <w:t>微信小程序项目</w:t>
            </w:r>
          </w:p>
        </w:tc>
      </w:tr>
      <w:tr>
        <w:tc>
          <w:tcPr>
            <w:tcW w:type="dxa" w:w="2620"/>
            <w:vAlign w:val="center"/>
            <w:shd w:fill="F2F4F7" w:val="clear"/>
          </w:tcPr>
          <w:p>
            <w:pPr>
              <w:spacing w:before="0" w:after="0" w:line="264" w:lineRule="auto"/>
            </w:pPr>
            <w:r>
              <w:rPr>
                <w:rFonts w:ascii="STHeiti" w:hAnsi="STHeiti" w:eastAsia="STHeiti"/>
                <w:b w:val="0"/>
                <w:color w:val="000000"/>
                <w:sz w:val="20"/>
              </w:rPr>
              <w:t>`data/runtime/`</w:t>
            </w:r>
          </w:p>
        </w:tc>
        <w:tc>
          <w:tcPr>
            <w:tcW w:type="dxa" w:w="6740"/>
            <w:vAlign w:val="center"/>
            <w:shd w:fill="F2F4F7" w:val="clear"/>
          </w:tcPr>
          <w:p>
            <w:pPr>
              <w:spacing w:before="0" w:after="0" w:line="264" w:lineRule="auto"/>
            </w:pPr>
            <w:r>
              <w:rPr>
                <w:rFonts w:ascii="STHeiti" w:hAnsi="STHeiti" w:eastAsia="STHeiti"/>
                <w:b w:val="0"/>
                <w:color w:val="000000"/>
                <w:sz w:val="20"/>
              </w:rPr>
              <w:t>本机运行时数据和 HiAgent 配置</w:t>
            </w:r>
          </w:p>
        </w:tc>
      </w:tr>
      <w:tr>
        <w:tc>
          <w:tcPr>
            <w:tcW w:type="dxa" w:w="2620"/>
            <w:vAlign w:val="center"/>
          </w:tcPr>
          <w:p>
            <w:pPr>
              <w:spacing w:before="0" w:after="0" w:line="264" w:lineRule="auto"/>
            </w:pPr>
            <w:r>
              <w:rPr>
                <w:rFonts w:ascii="STHeiti" w:hAnsi="STHeiti" w:eastAsia="STHeiti"/>
                <w:b w:val="0"/>
                <w:color w:val="000000"/>
                <w:sz w:val="20"/>
              </w:rPr>
              <w:t>`data/templates/居民信息登记表.xlsx`</w:t>
            </w:r>
          </w:p>
        </w:tc>
        <w:tc>
          <w:tcPr>
            <w:tcW w:type="dxa" w:w="6740"/>
            <w:vAlign w:val="center"/>
          </w:tcPr>
          <w:p>
            <w:pPr>
              <w:spacing w:before="0" w:after="0" w:line="264" w:lineRule="auto"/>
            </w:pPr>
            <w:r>
              <w:rPr>
                <w:rFonts w:ascii="STHeiti" w:hAnsi="STHeiti" w:eastAsia="STHeiti"/>
                <w:b w:val="0"/>
                <w:color w:val="000000"/>
                <w:sz w:val="20"/>
              </w:rPr>
              <w:t>标准 Excel 登记表格</w:t>
            </w:r>
          </w:p>
        </w:tc>
      </w:tr>
      <w:tr>
        <w:tc>
          <w:tcPr>
            <w:tcW w:type="dxa" w:w="2620"/>
            <w:vAlign w:val="center"/>
            <w:shd w:fill="F2F4F7" w:val="clear"/>
          </w:tcPr>
          <w:p>
            <w:pPr>
              <w:spacing w:before="0" w:after="0" w:line="264" w:lineRule="auto"/>
            </w:pPr>
            <w:r>
              <w:rPr>
                <w:rFonts w:ascii="STHeiti" w:hAnsi="STHeiti" w:eastAsia="STHeiti"/>
                <w:b w:val="0"/>
                <w:color w:val="000000"/>
                <w:sz w:val="20"/>
              </w:rPr>
              <w:t>`docs/`</w:t>
            </w:r>
          </w:p>
        </w:tc>
        <w:tc>
          <w:tcPr>
            <w:tcW w:type="dxa" w:w="6740"/>
            <w:vAlign w:val="center"/>
            <w:shd w:fill="F2F4F7" w:val="clear"/>
          </w:tcPr>
          <w:p>
            <w:pPr>
              <w:spacing w:before="0" w:after="0" w:line="264" w:lineRule="auto"/>
            </w:pPr>
            <w:r>
              <w:rPr>
                <w:rFonts w:ascii="STHeiti" w:hAnsi="STHeiti" w:eastAsia="STHeiti"/>
                <w:b w:val="0"/>
                <w:color w:val="000000"/>
                <w:sz w:val="20"/>
              </w:rPr>
              <w:t>作品介绍、演示PPT、演示视频和说明文档</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THeiti" w:hAnsi="STHeiti" w:eastAsia="STHeiti"/>
        <w:b w:val="0"/>
        <w:color w:val="555555"/>
        <w:sz w:val="18"/>
      </w:rPr>
      <w:t xml:space="preserve">数字网格员系统使用说明书  </w:t>
    </w:r>
    <w:r>
      <w:rPr>
        <w:rFonts w:ascii="STHeiti" w:hAnsi="STHeiti" w:eastAsia="STHeiti"/>
        <w:b w:val="0"/>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STHeiti" w:hAnsi="STHeiti" w:eastAsia="STHeit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52" w:lineRule="auto"/>
      <w:outlineLvl w:val="0"/>
    </w:pPr>
    <w:rPr>
      <w:rFonts w:asciiTheme="majorHAnsi" w:eastAsiaTheme="majorEastAsia" w:hAnsiTheme="majorHAnsi" w:cstheme="majorBidi" w:ascii="STHeiti" w:hAnsi="STHeiti" w:eastAsia="STHeiti"/>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STHeiti" w:hAnsi="STHeiti" w:eastAsia="STHeiti"/>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STHeiti" w:hAnsi="STHeiti" w:eastAsia="STHeiti"/>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2" w:lineRule="auto" w:before="0"/>
      <w:contextualSpacing/>
    </w:pPr>
    <w:rPr>
      <w:rFonts w:asciiTheme="majorHAnsi" w:eastAsiaTheme="majorEastAsia" w:hAnsiTheme="majorHAnsi" w:cstheme="majorBidi" w:ascii="STHeiti" w:hAnsi="STHeiti" w:eastAsia="STHeiti"/>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contextualSpacing/>
    </w:pPr>
    <w:rPr>
      <w:rFonts w:ascii="STHeiti" w:hAnsi="STHeiti" w:eastAsia="STHeit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contextualSpacing/>
    </w:pPr>
    <w:rPr>
      <w:rFonts w:ascii="STHeiti" w:hAnsi="STHeiti" w:eastAsia="STHeit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数字网格员系统使用说明书</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