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27.09.2026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Метрики достоверности ИИ-оценки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Поиск и выдержки из учебных материалов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15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17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19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23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33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48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результаты, справочная база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63"/>
        <w:gridCol w:w="3088"/>
        <w:gridCol w:w="3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браузере, синтез речи браузера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4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(80 с); линейно до 0 при тройном нормативе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68"/>
        <w:gridCol w:w="3907"/>
        <w:gridCol w:w="84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bookmarkEnd w:id="31"/>
    <w:bookmarkStart w:id="32" w:name="метрики-достоверности-ии-оценки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Детерминированные критерии проверяются автоматическими тестами на эталонных карточках. Для оценки достоверности в целом сравниваются автооценка и экспертная оценка преподавателя по тем же карточкам (данные правок хранятся в таблице</w:t>
      </w:r>
      <w:r>
        <w:t xml:space="preserve"> </w:t>
      </w:r>
      <w:r>
        <w:rPr>
          <w:rStyle w:val="VerbatimChar"/>
        </w:rPr>
        <w:t xml:space="preserve">expert_overrides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средняя абсолютная ошибка балла (MAE) между автооценкой и экспертной оценкой;</w:t>
      </w:r>
    </w:p>
    <w:p>
      <w:pPr>
        <w:pStyle w:val="Compact"/>
        <w:numPr>
          <w:ilvl w:val="0"/>
          <w:numId w:val="1006"/>
        </w:numPr>
      </w:pPr>
      <w:r>
        <w:t xml:space="preserve">доля совпадений решения «зачтено / не зачтено» и коэффициент согласия Коэна κ;</w:t>
      </w:r>
    </w:p>
    <w:p>
      <w:pPr>
        <w:pStyle w:val="Compact"/>
        <w:numPr>
          <w:ilvl w:val="0"/>
          <w:numId w:val="1006"/>
        </w:numPr>
      </w:pPr>
      <w:r>
        <w:t xml:space="preserve">для ИИ-судьи — точность и полнота выявления ошибок описания относительно разметки эксперта.</w:t>
      </w:r>
    </w:p>
    <w:p>
      <w:pPr>
        <w:pStyle w:val="FirstParagraph"/>
      </w:pPr>
      <w:r>
        <w:t xml:space="preserve">Расчёт метрик на реальных экспертных оценках — пункт 3.5 плана, в прототипе не выполнен: для него нужна выборка карточек, оценённых экспертами заказчика.</w:t>
      </w:r>
    </w:p>
    <w:bookmarkEnd w:id="32"/>
    <w:bookmarkStart w:id="33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3"/>
    <w:bookmarkEnd w:id="34"/>
    <w:bookmarkStart w:id="37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5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5"/>
    <w:bookmarkStart w:id="36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9"/>
        <w:gridCol w:w="1463"/>
        <w:gridCol w:w="335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6"/>
    <w:bookmarkEnd w:id="37"/>
    <w:bookmarkStart w:id="38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38"/>
    <w:bookmarkStart w:id="44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39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39"/>
    <w:bookmarkStart w:id="40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07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07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0"/>
    <w:bookmarkStart w:id="41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1"/>
    <w:bookmarkStart w:id="42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08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08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08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08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2"/>
    <w:bookmarkStart w:id="43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09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3"/>
    <w:bookmarkEnd w:id="44"/>
    <w:bookmarkStart w:id="45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5"/>
    <w:bookmarkStart w:id="49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6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6"/>
    <w:bookmarkStart w:id="47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10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10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10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7"/>
    <w:bookmarkStart w:id="48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речи оператора (STT)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оператор общается с заявителем текстом, реплики собеседников озвучиваются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</w:tbl>
    <w:bookmarkEnd w:id="48"/>
    <w:bookmarkEnd w:id="49"/>
    <w:bookmarkStart w:id="50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58, частично — 14, не реализовано — 8,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9"/>
        <w:gridCol w:w="2436"/>
        <w:gridCol w:w="487"/>
        <w:gridCol w:w="913"/>
        <w:gridCol w:w="1035"/>
        <w:gridCol w:w="24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5.1, 4.4, 6.1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 и рекомендации, таймер, черновик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текстом с ИИ-заявителем в рамках легенды; голосовой ввод оператора не реализован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синтезом речи браузера — есть; распознавание речи обучающегося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(MAE, согласие «зачтено», κ Коэна) описан; расчёт на экспертной выборке не выполнен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0"/>
    <w:bookmarkStart w:id="51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1"/>
    <w:bookmarkStart w:id="52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98.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03"/>
        <w:gridCol w:w="3609"/>
        <w:gridCol w:w="300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766"/>
        <w:gridCol w:w="29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2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2026-09-26T22:22:11Z</dcterms:created>
  <dcterms:modified xsi:type="dcterms:W3CDTF">2026-09-26T22:22:11Z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