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Подчинённость объекта</w:t>
      </w:r>
      <w:r>
        <w:t xml:space="preserve"> </w:t>
      </w:r>
      <w:r>
        <w:t xml:space="preserve">(например, школа → Департамент образования): механизм реализован. Правило берёт поле «Объект» адреса карточки и добавляет службу, которой подчинён объект, с причиной «подчинённость объекта». Справочник —</w:t>
      </w:r>
      <w:r>
        <w:t xml:space="preserve"> </w:t>
      </w:r>
      <w:r>
        <w:rPr>
          <w:rStyle w:val="VerbatimChar"/>
        </w:rPr>
        <w:t xml:space="preserve">data/dictionaries/subordination.yaml</w:t>
      </w:r>
      <w:r>
        <w:t xml:space="preserve">. Заказчик справочник не передал, поэтому файл пустой и автоподбор работает только по классификатору и территории. Когда справочник появится, его строки переносятся в файл, код менять не нужно.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5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5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5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5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5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5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5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7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7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8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8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8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8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8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9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9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9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6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1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1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2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2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2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3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3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4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4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4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4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6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6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6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7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7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7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7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7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7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7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7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8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8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8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8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8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9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9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9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20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20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20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20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09"/>
        <w:gridCol w:w="401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разговор без рук работает по готовым фразам (распознавание Whisper, синтез по запросу); потоковое аудио и потоковые ответы модели — следующий этап голоса (V5). Контракт модификатора для такого адаптера готов: задержка ответа и перебивание на входе, параметры голоса на выходе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Согласие блока «Работа с заявителем» с экспертами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и бенчмарк мутаций есть; κ и ICC на экспертной выборке — после занятий у заказчика; до этого блок не входит в допуск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«возможно»); оповещение администратора о сбоях — в панели администратора (п. 10.6)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72, частично — 4, не реализовано — 4, не относится к функциональности — 3 из 83. Из требований с приоритетом M реализовано полностью 47 из 48, остальные — частично: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логи, оповещения; запуск и остановка подсистем тренажёра (поток учебных вызовов 112, выдача карточек ДДС) и настройки — в панели администратора; контейнеры —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механизм готов (поле «Объект», subordination.yaml),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и загрузка справочника подчинённости готовы (data/dictionaries/subordination.yaml); данных заказчика нет — файл пустой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122.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6"/>
        <w:gridCol w:w="3292"/>
        <w:gridCol w:w="347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2026-09-29T19:40:04Z</dcterms:created>
  <dcterms:modified xsi:type="dcterms:W3CDTF">2026-09-29T19:40:04Z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