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Quarterly report. Revenue grew 15% in Q3. Next review on 2026-11-01.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