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00" w:after="40"/>
      </w:pPr>
      <w:r>
        <w:t>Homelab Jenkins 3 Project Overview</w:t>
      </w:r>
    </w:p>
    <w:p>
      <w:pPr>
        <w:spacing w:after="240"/>
      </w:pPr>
      <w:r>
        <w:rPr>
          <w:rFonts w:ascii="Aptos" w:hAnsi="Aptos"/>
          <w:color w:val="147D82"/>
          <w:sz w:val="26"/>
        </w:rPr>
        <w:t>Business and product handoff for analysis and development</w:t>
      </w:r>
    </w:p>
    <w:p>
      <w:pPr>
        <w:spacing w:after="160"/>
      </w:pPr>
      <w:r>
        <w:t>This brief explains the project in terms of its users, operational capabilities, expected outcomes, controls, and delivery boundaries. It is intended to help a business analyst understand the processes and a developer understand the product responsibilities before working through implementation details.</w:t>
      </w:r>
    </w:p>
    <w:tbl>
      <w:tblPr>
        <w:tblW w:type="auto" w:w="0"/>
        <w:jc w:val="center"/>
        <w:tblLayout w:type="fixed"/>
        <w:tblLook w:firstColumn="1" w:firstRow="1" w:lastColumn="0" w:lastRow="0" w:noHBand="0" w:noVBand="1" w:val="04A0"/>
      </w:tblPr>
      <w:tblGrid>
        <w:gridCol w:w="9648"/>
      </w:tblGrid>
      <w:tr>
        <w:trPr>
          <w:cantSplit/>
        </w:trPr>
        <w:tc>
          <w:tcPr>
            <w:tcW w:type="dxa" w:w="9663"/>
            <w:shd w:fill="EAF2F4"/>
            <w:tcMar>
              <w:top w:w="65" w:type="dxa"/>
              <w:start w:w="190" w:type="dxa"/>
              <w:bottom w:w="65" w:type="dxa"/>
              <w:end w:w="190" w:type="dxa"/>
            </w:tcMar>
          </w:tcPr>
          <w:p>
            <w:pPr>
              <w:spacing w:after="80"/>
            </w:pPr>
            <w:r/>
            <w:r>
              <w:rPr>
                <w:rFonts w:ascii="Aptos" w:hAnsi="Aptos"/>
                <w:b/>
                <w:color w:val="147D82"/>
                <w:sz w:val="17"/>
              </w:rPr>
              <w:t>PROJECT IN ONE SENTENCE</w:t>
            </w:r>
          </w:p>
          <w:p>
            <w:pPr>
              <w:spacing w:after="0" w:line="269" w:lineRule="auto"/>
            </w:pPr>
            <w:r>
              <w:rPr>
                <w:rFonts w:ascii="Aptos" w:hAnsi="Aptos"/>
                <w:color w:val="17324D"/>
                <w:sz w:val="17"/>
              </w:rPr>
              <w:t>A controlled operations workspace that turns repeatable homelab administration into visible, reviewable workflows, with Jenkins coordinating changes across Proxmox, network services, storage, and Kubernetes.</w:t>
            </w:r>
          </w:p>
        </w:tc>
      </w:tr>
    </w:tbl>
    <w:p>
      <w:pPr>
        <w:pStyle w:val="Heading1"/>
      </w:pPr>
      <w:r>
        <w:t>1. Purpose and business need</w:t>
      </w:r>
    </w:p>
    <w:p>
      <w:r>
        <w:t>A homelab combines infrastructure and services that depend on one another. Creating or replacing a container, changing router settings, rotating access, or rebuilding a cluster can affect connectivity, storage, and the availability of other services. The project addresses the operational risk and effort of performing these tasks as disconnected, manually remembered procedures.</w:t>
      </w:r>
    </w:p>
    <w:p>
      <w:r>
        <w:t>It provides named workflows that check prerequisites, show plans or current state, pause for approval when an action has meaningful impact, perform the work, and record the outcome. The intended benefit is consistent execution with a clear review point and a useful history of what happened.</w:t>
      </w:r>
    </w:p>
    <w:p>
      <w:pPr>
        <w:pStyle w:val="Heading1"/>
      </w:pPr>
      <w:r>
        <w:t>2. Users and operating roles</w:t>
      </w:r>
    </w:p>
    <w:tbl>
      <w:tblPr>
        <w:tblStyle w:val="TableGrid"/>
        <w:tblW w:type="auto" w:w="0"/>
        <w:jc w:val="center"/>
        <w:tblLayout w:type="fixed"/>
        <w:tblLook w:firstColumn="1" w:firstRow="1" w:lastColumn="0" w:lastRow="0" w:noHBand="0" w:noVBand="1" w:val="04A0"/>
      </w:tblPr>
      <w:tblGrid>
        <w:gridCol w:w="4831"/>
        <w:gridCol w:w="4831"/>
      </w:tblGrid>
      <w:tr>
        <w:trPr>
          <w:tblHeader w:val="true"/>
          <w:cantSplit/>
        </w:trPr>
        <w:tc>
          <w:tcPr>
            <w:tcW w:type="dxa" w:w="2232"/>
            <w:vAlign w:val="center"/>
            <w:tcMar>
              <w:top w:w="65" w:type="dxa"/>
              <w:start w:w="110" w:type="dxa"/>
              <w:bottom w:w="65" w:type="dxa"/>
              <w:end w:w="110" w:type="dxa"/>
            </w:tcMar>
            <w:shd w:fill="17324D"/>
          </w:tcPr>
          <w:p>
            <w:pPr>
              <w:spacing w:after="0" w:line="252" w:lineRule="auto"/>
            </w:pPr>
            <w:r/>
            <w:r>
              <w:rPr>
                <w:rFonts w:ascii="Aptos" w:hAnsi="Aptos"/>
                <w:b/>
                <w:color w:val="FFFFFF"/>
                <w:sz w:val="17"/>
              </w:rPr>
              <w:t>Role</w:t>
            </w:r>
          </w:p>
        </w:tc>
        <w:tc>
          <w:tcPr>
            <w:tcW w:type="dxa" w:w="7416"/>
            <w:vAlign w:val="center"/>
            <w:tcMar>
              <w:top w:w="65" w:type="dxa"/>
              <w:start w:w="110" w:type="dxa"/>
              <w:bottom w:w="65" w:type="dxa"/>
              <w:end w:w="110" w:type="dxa"/>
            </w:tcMar>
            <w:shd w:fill="17324D"/>
          </w:tcPr>
          <w:p>
            <w:pPr>
              <w:spacing w:after="0" w:line="252" w:lineRule="auto"/>
            </w:pPr>
            <w:r/>
            <w:r>
              <w:rPr>
                <w:rFonts w:ascii="Aptos" w:hAnsi="Aptos"/>
                <w:b/>
                <w:color w:val="FFFFFF"/>
                <w:sz w:val="17"/>
              </w:rPr>
              <w:t>Responsibility</w:t>
            </w:r>
          </w:p>
        </w:tc>
      </w:tr>
      <w:tr>
        <w:trPr>
          <w:cantSplit/>
        </w:trPr>
        <w:tc>
          <w:tcPr>
            <w:tcW w:type="dxa" w:w="2232"/>
            <w:vAlign w:val="center"/>
            <w:tcMar>
              <w:top w:w="65" w:type="dxa"/>
              <w:start w:w="110" w:type="dxa"/>
              <w:bottom w:w="65" w:type="dxa"/>
              <w:end w:w="110" w:type="dxa"/>
            </w:tcMar>
            <w:shd w:fill="EFF4F8"/>
          </w:tcPr>
          <w:p>
            <w:pPr>
              <w:spacing w:after="0" w:line="252" w:lineRule="auto"/>
            </w:pPr>
            <w:r/>
            <w:r>
              <w:rPr>
                <w:rFonts w:ascii="Aptos" w:hAnsi="Aptos"/>
                <w:b/>
                <w:color w:val="24313B"/>
                <w:sz w:val="17"/>
              </w:rPr>
              <w:t>Homelab operator</w:t>
            </w:r>
          </w:p>
        </w:tc>
        <w:tc>
          <w:tcPr>
            <w:tcW w:type="dxa" w:w="7416"/>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Owns configuration and credentials, starts workflows, reviews plans and health checks, approves impactful changes, and decides how to respond to failures.</w:t>
            </w:r>
          </w:p>
        </w:tc>
      </w:tr>
      <w:tr>
        <w:trPr>
          <w:cantSplit/>
        </w:trPr>
        <w:tc>
          <w:tcPr>
            <w:tcW w:type="dxa" w:w="2232"/>
            <w:vAlign w:val="center"/>
            <w:tcMar>
              <w:top w:w="65" w:type="dxa"/>
              <w:start w:w="110" w:type="dxa"/>
              <w:bottom w:w="65" w:type="dxa"/>
              <w:end w:w="110" w:type="dxa"/>
            </w:tcMar>
          </w:tcPr>
          <w:p>
            <w:pPr>
              <w:spacing w:after="0" w:line="252" w:lineRule="auto"/>
            </w:pPr>
            <w:r/>
            <w:r>
              <w:rPr>
                <w:rFonts w:ascii="Aptos" w:hAnsi="Aptos"/>
                <w:b/>
                <w:color w:val="24313B"/>
                <w:sz w:val="17"/>
              </w:rPr>
              <w:t>Jenkins</w:t>
            </w:r>
          </w:p>
        </w:tc>
        <w:tc>
          <w:tcPr>
            <w:tcW w:type="dxa" w:w="7416"/>
            <w:vAlign w:val="center"/>
            <w:tcMar>
              <w:top w:w="65" w:type="dxa"/>
              <w:start w:w="110" w:type="dxa"/>
              <w:bottom w:w="65" w:type="dxa"/>
              <w:end w:w="110" w:type="dxa"/>
            </w:tcMar>
          </w:tcPr>
          <w:p>
            <w:pPr>
              <w:spacing w:after="0" w:line="252" w:lineRule="auto"/>
            </w:pPr>
            <w:r/>
            <w:r>
              <w:rPr>
                <w:rFonts w:ascii="Aptos" w:hAnsi="Aptos"/>
                <w:b w:val="0"/>
                <w:color w:val="24313B"/>
                <w:sz w:val="17"/>
              </w:rPr>
              <w:t>Presents the operator interface for the workflows, coordinates stages and approvals, records build logs, and stores reports or backup artifacts.</w:t>
            </w:r>
          </w:p>
        </w:tc>
      </w:tr>
      <w:tr>
        <w:trPr>
          <w:cantSplit/>
        </w:trPr>
        <w:tc>
          <w:tcPr>
            <w:tcW w:type="dxa" w:w="2232"/>
            <w:vAlign w:val="center"/>
            <w:tcMar>
              <w:top w:w="65" w:type="dxa"/>
              <w:start w:w="110" w:type="dxa"/>
              <w:bottom w:w="65" w:type="dxa"/>
              <w:end w:w="110" w:type="dxa"/>
            </w:tcMar>
            <w:shd w:fill="EFF4F8"/>
          </w:tcPr>
          <w:p>
            <w:pPr>
              <w:spacing w:after="0" w:line="252" w:lineRule="auto"/>
            </w:pPr>
            <w:r/>
            <w:r>
              <w:rPr>
                <w:rFonts w:ascii="Aptos" w:hAnsi="Aptos"/>
                <w:b/>
                <w:color w:val="24313B"/>
                <w:sz w:val="17"/>
              </w:rPr>
              <w:t>Automation agent</w:t>
            </w:r>
          </w:p>
        </w:tc>
        <w:tc>
          <w:tcPr>
            <w:tcW w:type="dxa" w:w="7416"/>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Runs the operational work on behalf of Jenkins using the tools and restricted service account installed for the project.</w:t>
            </w:r>
          </w:p>
        </w:tc>
      </w:tr>
      <w:tr>
        <w:trPr>
          <w:cantSplit/>
        </w:trPr>
        <w:tc>
          <w:tcPr>
            <w:tcW w:type="dxa" w:w="2232"/>
            <w:vAlign w:val="center"/>
            <w:tcMar>
              <w:top w:w="65" w:type="dxa"/>
              <w:start w:w="110" w:type="dxa"/>
              <w:bottom w:w="65" w:type="dxa"/>
              <w:end w:w="110" w:type="dxa"/>
            </w:tcMar>
          </w:tcPr>
          <w:p>
            <w:pPr>
              <w:spacing w:after="0" w:line="252" w:lineRule="auto"/>
            </w:pPr>
            <w:r/>
            <w:r>
              <w:rPr>
                <w:rFonts w:ascii="Aptos" w:hAnsi="Aptos"/>
                <w:b/>
                <w:color w:val="24313B"/>
                <w:sz w:val="17"/>
              </w:rPr>
              <w:t>External platforms</w:t>
            </w:r>
          </w:p>
        </w:tc>
        <w:tc>
          <w:tcPr>
            <w:tcW w:type="dxa" w:w="7416"/>
            <w:vAlign w:val="center"/>
            <w:tcMar>
              <w:top w:w="65" w:type="dxa"/>
              <w:start w:w="110" w:type="dxa"/>
              <w:bottom w:w="65" w:type="dxa"/>
              <w:end w:w="110" w:type="dxa"/>
            </w:tcMar>
          </w:tcPr>
          <w:p>
            <w:pPr>
              <w:spacing w:after="0" w:line="252" w:lineRule="auto"/>
            </w:pPr>
            <w:r/>
            <w:r>
              <w:rPr>
                <w:rFonts w:ascii="Aptos" w:hAnsi="Aptos"/>
                <w:b w:val="0"/>
                <w:color w:val="24313B"/>
                <w:sz w:val="17"/>
              </w:rPr>
              <w:t>Proxmox, Infisical, MikroTik, Technitium, OpenMediaVault, Talos, Kubernetes, Cilium, and Flux remain the systems that own their respective services and data.</w:t>
            </w:r>
          </w:p>
        </w:tc>
      </w:tr>
    </w:tbl>
    <w:p>
      <w:pPr>
        <w:pStyle w:val="Heading1"/>
      </w:pPr>
      <w:r>
        <w:t>3. Product capabilities</w:t>
      </w:r>
    </w:p>
    <w:p>
      <w:r>
        <w:t>The Jenkins jobs are grouped below by the operational outcome they support. Jobs that can change infrastructure or interrupt a service use review and approval points; read-only checks are designed to report status without applying changes.</w:t>
      </w:r>
    </w:p>
    <w:tbl>
      <w:tblPr>
        <w:tblStyle w:val="TableGrid"/>
        <w:tblW w:type="auto" w:w="0"/>
        <w:jc w:val="center"/>
        <w:tblLayout w:type="fixed"/>
        <w:tblLook w:firstColumn="1" w:firstRow="1" w:lastColumn="0" w:lastRow="0" w:noHBand="0" w:noVBand="1" w:val="04A0"/>
      </w:tblPr>
      <w:tblGrid>
        <w:gridCol w:w="4831"/>
        <w:gridCol w:w="4831"/>
      </w:tblGrid>
      <w:tr>
        <w:trPr>
          <w:tblHeader w:val="true"/>
          <w:cantSplit/>
        </w:trPr>
        <w:tc>
          <w:tcPr>
            <w:tcW w:type="dxa" w:w="2880"/>
            <w:vAlign w:val="center"/>
            <w:tcMar>
              <w:top w:w="65" w:type="dxa"/>
              <w:start w:w="110" w:type="dxa"/>
              <w:bottom w:w="65" w:type="dxa"/>
              <w:end w:w="110" w:type="dxa"/>
            </w:tcMar>
            <w:shd w:fill="17324D"/>
          </w:tcPr>
          <w:p>
            <w:pPr>
              <w:spacing w:after="0" w:line="252" w:lineRule="auto"/>
            </w:pPr>
            <w:r/>
            <w:r>
              <w:rPr>
                <w:rFonts w:ascii="Aptos" w:hAnsi="Aptos"/>
                <w:b/>
                <w:color w:val="FFFFFF"/>
                <w:sz w:val="17"/>
              </w:rPr>
              <w:t>Workflow</w:t>
            </w:r>
          </w:p>
        </w:tc>
        <w:tc>
          <w:tcPr>
            <w:tcW w:type="dxa" w:w="6768"/>
            <w:vAlign w:val="center"/>
            <w:tcMar>
              <w:top w:w="65" w:type="dxa"/>
              <w:start w:w="110" w:type="dxa"/>
              <w:bottom w:w="65" w:type="dxa"/>
              <w:end w:w="110" w:type="dxa"/>
            </w:tcMar>
            <w:shd w:fill="17324D"/>
          </w:tcPr>
          <w:p>
            <w:pPr>
              <w:spacing w:after="0" w:line="252" w:lineRule="auto"/>
            </w:pPr>
            <w:r/>
            <w:r>
              <w:rPr>
                <w:rFonts w:ascii="Aptos" w:hAnsi="Aptos"/>
                <w:b/>
                <w:color w:val="FFFFFF"/>
                <w:sz w:val="17"/>
              </w:rPr>
              <w:t>Business purpose</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001 · Update Servers</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Refreshes both Jenkins containers from a selected repository revision. Scheduled updates run unattended; manually started updates show the revision and ask for confirmation.</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002 · Proxmox Access Setup</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Maintains automation access to Proxmox, including trusted API access, scoped permissions, and API token rotation.</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003 · DNS and Cloudflare Settings</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Accepts configurable network and service settings, validates them, saves them in Infisical, and previews router differences.</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004 · MikroTik Configuration</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Reviews routine router changes, creates encrypted pre-change backups, and applies approved DNS, DHCP, hostname, and configured Wi-Fi changes.</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005 · MikroTik Full Reset and Restore</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Provides a separate, explicitly approved recovery path for a full router reset, with pre-reset checks, encrypted backup handling, tracked baseline restoration, and recovery verification.</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006 · DNS Deployment and Router Sync</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Creates or reuses two Technitium servers, configures zone replication, checks peer health before a selected recreation, and then updates router DNS/DHCP settings.</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007 · Infisical Variable Audit</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Checks whether expected secret names and locations exist and archives a names-only report. It does not reveal secret values.</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008 · Kubernetes Infrastructure</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Reviews Proxmox virtual machine plans and applies approved changes. Replacement is constrained to one explicitly selected virtual machine per run.</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009 · Talos Cluster Setup</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Configures Talos on the existing virtual machines, initializes only a verified new cluster, and configures cluster networking with health checks.</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010 · OpenMediaVault Setup and Storage</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Captures or restores selected OpenMediaVault service configuration and manages dedicated Kubernetes or media NFS exports without formatting data disks.</w:t>
            </w:r>
          </w:p>
        </w:tc>
      </w:tr>
      <w:tr>
        <w:trPr>
          <w:cantSplit/>
        </w:trPr>
        <w:tc>
          <w:tcPr>
            <w:tcW w:type="dxa" w:w="2880"/>
            <w:vAlign w:val="center"/>
            <w:tcMar>
              <w:top w:w="65" w:type="dxa"/>
              <w:start w:w="110" w:type="dxa"/>
              <w:bottom w:w="65" w:type="dxa"/>
              <w:end w:w="110" w:type="dxa"/>
            </w:tcMar>
            <w:shd w:fill="EFF4F8"/>
          </w:tcPr>
          <w:p>
            <w:pPr>
              <w:spacing w:after="0" w:line="252" w:lineRule="auto"/>
            </w:pPr>
            <w:r/>
            <w:r>
              <w:rPr>
                <w:rFonts w:ascii="Aptos" w:hAnsi="Aptos"/>
                <w:b/>
                <w:color w:val="24313B"/>
                <w:sz w:val="17"/>
              </w:rPr>
              <w:t>011 · Flux Bootstrap and Sync</w:t>
            </w:r>
          </w:p>
        </w:tc>
        <w:tc>
          <w:tcPr>
            <w:tcW w:type="dxa" w:w="6768"/>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Checks cluster readiness, then installs Flux when needed and connects it to the repository configuration for ongoing in-cluster reconciliation.</w:t>
            </w:r>
          </w:p>
        </w:tc>
      </w:tr>
      <w:tr>
        <w:trPr>
          <w:cantSplit/>
        </w:trPr>
        <w:tc>
          <w:tcPr>
            <w:tcW w:type="dxa" w:w="2880"/>
            <w:vAlign w:val="center"/>
            <w:tcMar>
              <w:top w:w="65" w:type="dxa"/>
              <w:start w:w="110" w:type="dxa"/>
              <w:bottom w:w="65" w:type="dxa"/>
              <w:end w:w="110" w:type="dxa"/>
            </w:tcMar>
          </w:tcPr>
          <w:p>
            <w:pPr>
              <w:spacing w:after="0" w:line="252" w:lineRule="auto"/>
            </w:pPr>
            <w:r/>
            <w:r>
              <w:rPr>
                <w:rFonts w:ascii="Aptos" w:hAnsi="Aptos"/>
                <w:b/>
                <w:color w:val="24313B"/>
                <w:sz w:val="17"/>
              </w:rPr>
              <w:t>Toolchain and code check</w:t>
            </w:r>
          </w:p>
        </w:tc>
        <w:tc>
          <w:tcPr>
            <w:tcW w:type="dxa" w:w="6768"/>
            <w:vAlign w:val="center"/>
            <w:tcMar>
              <w:top w:w="65" w:type="dxa"/>
              <w:start w:w="110" w:type="dxa"/>
              <w:bottom w:w="65" w:type="dxa"/>
              <w:end w:w="110" w:type="dxa"/>
            </w:tcMar>
          </w:tcPr>
          <w:p>
            <w:pPr>
              <w:spacing w:after="0" w:line="252" w:lineRule="auto"/>
            </w:pPr>
            <w:r/>
            <w:r>
              <w:rPr>
                <w:rFonts w:ascii="Aptos" w:hAnsi="Aptos"/>
                <w:b w:val="0"/>
                <w:color w:val="24313B"/>
                <w:sz w:val="17"/>
              </w:rPr>
              <w:t>Periodically checks the automation agent’s tools and runs the repository’s Python unit tests, publishing their results in Jenkins.</w:t>
            </w:r>
          </w:p>
        </w:tc>
      </w:tr>
    </w:tbl>
    <w:p>
      <w:pPr>
        <w:pStyle w:val="Heading1"/>
      </w:pPr>
      <w:r>
        <w:t>4. Typical operator journey</w:t>
      </w:r>
    </w:p>
    <w:p>
      <w:pPr>
        <w:pStyle w:val="ListNumber"/>
        <w:spacing w:after="80"/>
      </w:pPr>
      <w:r>
        <w:t>Select the workflow that matches the intended operational outcome and provide any required non-secret configuration or parameters.</w:t>
      </w:r>
    </w:p>
    <w:p>
      <w:pPr>
        <w:pStyle w:val="ListNumber"/>
        <w:spacing w:after="80"/>
      </w:pPr>
      <w:r>
        <w:t>Allow the workflow to verify access, required settings, and relevant service health before proposing a change.</w:t>
      </w:r>
    </w:p>
    <w:p>
      <w:pPr>
        <w:pStyle w:val="ListNumber"/>
        <w:spacing w:after="80"/>
      </w:pPr>
      <w:r>
        <w:t>Review the displayed plan, differences, or recovery conditions. Read-only workflows can finish at this point.</w:t>
      </w:r>
    </w:p>
    <w:p>
      <w:pPr>
        <w:pStyle w:val="ListNumber"/>
        <w:spacing w:after="80"/>
      </w:pPr>
      <w:r>
        <w:t>Approve the specific change when the workflow requires approval. Approval is attached to the operation described in the prompt.</w:t>
      </w:r>
    </w:p>
    <w:p>
      <w:pPr>
        <w:pStyle w:val="ListNumber"/>
        <w:spacing w:after="80"/>
      </w:pPr>
      <w:r>
        <w:t>Monitor the live output and completion checks. The workflow reports success or failure and may produce a downloadable report or encrypted backup.</w:t>
      </w:r>
    </w:p>
    <w:p>
      <w:pPr>
        <w:pStyle w:val="ListNumber"/>
        <w:spacing w:after="80"/>
      </w:pPr>
      <w:r>
        <w:t>Use the build history and resulting artifacts as the record for follow-up, troubleshooting, or an audit of the operation.</w:t>
      </w:r>
    </w:p>
    <w:p>
      <w:pPr>
        <w:pStyle w:val="Heading1"/>
      </w:pPr>
      <w:r>
        <w:t>5. Information and service relationships</w:t>
      </w:r>
    </w:p>
    <w:tbl>
      <w:tblPr>
        <w:tblStyle w:val="TableGrid"/>
        <w:tblW w:type="auto" w:w="0"/>
        <w:jc w:val="center"/>
        <w:tblLayout w:type="fixed"/>
        <w:tblLook w:firstColumn="1" w:firstRow="1" w:lastColumn="0" w:lastRow="0" w:noHBand="0" w:noVBand="1" w:val="04A0"/>
      </w:tblPr>
      <w:tblGrid>
        <w:gridCol w:w="4831"/>
        <w:gridCol w:w="4831"/>
      </w:tblGrid>
      <w:tr>
        <w:trPr>
          <w:tblHeader w:val="true"/>
          <w:cantSplit/>
        </w:trPr>
        <w:tc>
          <w:tcPr>
            <w:tcW w:type="dxa" w:w="2592"/>
            <w:vAlign w:val="center"/>
            <w:tcMar>
              <w:top w:w="65" w:type="dxa"/>
              <w:start w:w="110" w:type="dxa"/>
              <w:bottom w:w="65" w:type="dxa"/>
              <w:end w:w="110" w:type="dxa"/>
            </w:tcMar>
            <w:shd w:fill="17324D"/>
          </w:tcPr>
          <w:p>
            <w:pPr>
              <w:spacing w:after="0" w:line="252" w:lineRule="auto"/>
            </w:pPr>
            <w:r/>
            <w:r>
              <w:rPr>
                <w:rFonts w:ascii="Aptos" w:hAnsi="Aptos"/>
                <w:b/>
                <w:color w:val="FFFFFF"/>
                <w:sz w:val="17"/>
              </w:rPr>
              <w:t>Service or information</w:t>
            </w:r>
          </w:p>
        </w:tc>
        <w:tc>
          <w:tcPr>
            <w:tcW w:type="dxa" w:w="7056"/>
            <w:vAlign w:val="center"/>
            <w:tcMar>
              <w:top w:w="65" w:type="dxa"/>
              <w:start w:w="110" w:type="dxa"/>
              <w:bottom w:w="65" w:type="dxa"/>
              <w:end w:w="110" w:type="dxa"/>
            </w:tcMar>
            <w:shd w:fill="17324D"/>
          </w:tcPr>
          <w:p>
            <w:pPr>
              <w:spacing w:after="0" w:line="252" w:lineRule="auto"/>
            </w:pPr>
            <w:r/>
            <w:r>
              <w:rPr>
                <w:rFonts w:ascii="Aptos" w:hAnsi="Aptos"/>
                <w:b/>
                <w:color w:val="FFFFFF"/>
                <w:sz w:val="17"/>
              </w:rPr>
              <w:t>Role in the product</w:t>
            </w:r>
          </w:p>
        </w:tc>
      </w:tr>
      <w:tr>
        <w:trPr>
          <w:cantSplit/>
        </w:trPr>
        <w:tc>
          <w:tcPr>
            <w:tcW w:type="dxa" w:w="2592"/>
            <w:vAlign w:val="center"/>
            <w:tcMar>
              <w:top w:w="65" w:type="dxa"/>
              <w:start w:w="110" w:type="dxa"/>
              <w:bottom w:w="65" w:type="dxa"/>
              <w:end w:w="110" w:type="dxa"/>
            </w:tcMar>
            <w:shd w:fill="EFF4F8"/>
          </w:tcPr>
          <w:p>
            <w:pPr>
              <w:spacing w:after="0" w:line="252" w:lineRule="auto"/>
            </w:pPr>
            <w:r/>
            <w:r>
              <w:rPr>
                <w:rFonts w:ascii="Aptos" w:hAnsi="Aptos"/>
                <w:b/>
                <w:color w:val="24313B"/>
                <w:sz w:val="17"/>
              </w:rPr>
              <w:t>Project repository</w:t>
            </w:r>
          </w:p>
        </w:tc>
        <w:tc>
          <w:tcPr>
            <w:tcW w:type="dxa" w:w="7056"/>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Stores the automation definitions, environment descriptions, and desired Kubernetes configuration.</w:t>
            </w:r>
          </w:p>
        </w:tc>
      </w:tr>
      <w:tr>
        <w:trPr>
          <w:cantSplit/>
        </w:trPr>
        <w:tc>
          <w:tcPr>
            <w:tcW w:type="dxa" w:w="2592"/>
            <w:vAlign w:val="center"/>
            <w:tcMar>
              <w:top w:w="65" w:type="dxa"/>
              <w:start w:w="110" w:type="dxa"/>
              <w:bottom w:w="65" w:type="dxa"/>
              <w:end w:w="110" w:type="dxa"/>
            </w:tcMar>
          </w:tcPr>
          <w:p>
            <w:pPr>
              <w:spacing w:after="0" w:line="252" w:lineRule="auto"/>
            </w:pPr>
            <w:r/>
            <w:r>
              <w:rPr>
                <w:rFonts w:ascii="Aptos" w:hAnsi="Aptos"/>
                <w:b/>
                <w:color w:val="24313B"/>
                <w:sz w:val="17"/>
              </w:rPr>
              <w:t>Infisical</w:t>
            </w:r>
          </w:p>
        </w:tc>
        <w:tc>
          <w:tcPr>
            <w:tcW w:type="dxa" w:w="7056"/>
            <w:vAlign w:val="center"/>
            <w:tcMar>
              <w:top w:w="65" w:type="dxa"/>
              <w:start w:w="110" w:type="dxa"/>
              <w:bottom w:w="65" w:type="dxa"/>
              <w:end w:w="110" w:type="dxa"/>
            </w:tcMar>
          </w:tcPr>
          <w:p>
            <w:pPr>
              <w:spacing w:after="0" w:line="252" w:lineRule="auto"/>
            </w:pPr>
            <w:r/>
            <w:r>
              <w:rPr>
                <w:rFonts w:ascii="Aptos" w:hAnsi="Aptos"/>
                <w:b w:val="0"/>
                <w:color w:val="24313B"/>
                <w:sz w:val="17"/>
              </w:rPr>
              <w:t>Stores service credentials, private keys, certificates, and other sensitive values consumed by workflows.</w:t>
            </w:r>
          </w:p>
        </w:tc>
      </w:tr>
      <w:tr>
        <w:trPr>
          <w:cantSplit/>
        </w:trPr>
        <w:tc>
          <w:tcPr>
            <w:tcW w:type="dxa" w:w="2592"/>
            <w:vAlign w:val="center"/>
            <w:tcMar>
              <w:top w:w="65" w:type="dxa"/>
              <w:start w:w="110" w:type="dxa"/>
              <w:bottom w:w="65" w:type="dxa"/>
              <w:end w:w="110" w:type="dxa"/>
            </w:tcMar>
            <w:shd w:fill="EFF4F8"/>
          </w:tcPr>
          <w:p>
            <w:pPr>
              <w:spacing w:after="0" w:line="252" w:lineRule="auto"/>
            </w:pPr>
            <w:r/>
            <w:r>
              <w:rPr>
                <w:rFonts w:ascii="Aptos" w:hAnsi="Aptos"/>
                <w:b/>
                <w:color w:val="24313B"/>
                <w:sz w:val="17"/>
              </w:rPr>
              <w:t>Proxmox</w:t>
            </w:r>
          </w:p>
        </w:tc>
        <w:tc>
          <w:tcPr>
            <w:tcW w:type="dxa" w:w="7056"/>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Hosts the Jenkins containers, DNS containers, and Kubernetes virtual machines; also provides the management API used by approved workflows.</w:t>
            </w:r>
          </w:p>
        </w:tc>
      </w:tr>
      <w:tr>
        <w:trPr>
          <w:cantSplit/>
        </w:trPr>
        <w:tc>
          <w:tcPr>
            <w:tcW w:type="dxa" w:w="2592"/>
            <w:vAlign w:val="center"/>
            <w:tcMar>
              <w:top w:w="65" w:type="dxa"/>
              <w:start w:w="110" w:type="dxa"/>
              <w:bottom w:w="65" w:type="dxa"/>
              <w:end w:w="110" w:type="dxa"/>
            </w:tcMar>
          </w:tcPr>
          <w:p>
            <w:pPr>
              <w:spacing w:after="0" w:line="252" w:lineRule="auto"/>
            </w:pPr>
            <w:r/>
            <w:r>
              <w:rPr>
                <w:rFonts w:ascii="Aptos" w:hAnsi="Aptos"/>
                <w:b/>
                <w:color w:val="24313B"/>
                <w:sz w:val="17"/>
              </w:rPr>
              <w:t>MikroTik and Technitium</w:t>
            </w:r>
          </w:p>
        </w:tc>
        <w:tc>
          <w:tcPr>
            <w:tcW w:type="dxa" w:w="7056"/>
            <w:vAlign w:val="center"/>
            <w:tcMar>
              <w:top w:w="65" w:type="dxa"/>
              <w:start w:w="110" w:type="dxa"/>
              <w:bottom w:w="65" w:type="dxa"/>
              <w:end w:w="110" w:type="dxa"/>
            </w:tcMar>
          </w:tcPr>
          <w:p>
            <w:pPr>
              <w:spacing w:after="0" w:line="252" w:lineRule="auto"/>
            </w:pPr>
            <w:r/>
            <w:r>
              <w:rPr>
                <w:rFonts w:ascii="Aptos" w:hAnsi="Aptos"/>
                <w:b w:val="0"/>
                <w:color w:val="24313B"/>
                <w:sz w:val="17"/>
              </w:rPr>
              <w:t>Provide routing, DHCP, and DNS. Router changes and DNS deployment are separate workflows coordinated in a defined order.</w:t>
            </w:r>
          </w:p>
        </w:tc>
      </w:tr>
      <w:tr>
        <w:trPr>
          <w:cantSplit/>
        </w:trPr>
        <w:tc>
          <w:tcPr>
            <w:tcW w:type="dxa" w:w="2592"/>
            <w:vAlign w:val="center"/>
            <w:tcMar>
              <w:top w:w="65" w:type="dxa"/>
              <w:start w:w="110" w:type="dxa"/>
              <w:bottom w:w="65" w:type="dxa"/>
              <w:end w:w="110" w:type="dxa"/>
            </w:tcMar>
            <w:shd w:fill="EFF4F8"/>
          </w:tcPr>
          <w:p>
            <w:pPr>
              <w:spacing w:after="0" w:line="252" w:lineRule="auto"/>
            </w:pPr>
            <w:r/>
            <w:r>
              <w:rPr>
                <w:rFonts w:ascii="Aptos" w:hAnsi="Aptos"/>
                <w:b/>
                <w:color w:val="24313B"/>
                <w:sz w:val="17"/>
              </w:rPr>
              <w:t>OpenMediaVault</w:t>
            </w:r>
          </w:p>
        </w:tc>
        <w:tc>
          <w:tcPr>
            <w:tcW w:type="dxa" w:w="7056"/>
            <w:vAlign w:val="center"/>
            <w:tcMar>
              <w:top w:w="65" w:type="dxa"/>
              <w:start w:w="110" w:type="dxa"/>
              <w:bottom w:w="65" w:type="dxa"/>
              <w:end w:w="110" w:type="dxa"/>
            </w:tcMar>
            <w:shd w:fill="EFF4F8"/>
          </w:tcPr>
          <w:p>
            <w:pPr>
              <w:spacing w:after="0" w:line="252" w:lineRule="auto"/>
            </w:pPr>
            <w:r/>
            <w:r>
              <w:rPr>
                <w:rFonts w:ascii="Aptos" w:hAnsi="Aptos"/>
                <w:b w:val="0"/>
                <w:color w:val="24313B"/>
                <w:sz w:val="17"/>
              </w:rPr>
              <w:t>Provides NFS storage for Kubernetes and, where configured, access to existing media shares.</w:t>
            </w:r>
          </w:p>
        </w:tc>
      </w:tr>
      <w:tr>
        <w:trPr>
          <w:cantSplit/>
        </w:trPr>
        <w:tc>
          <w:tcPr>
            <w:tcW w:type="dxa" w:w="2592"/>
            <w:vAlign w:val="center"/>
            <w:tcMar>
              <w:top w:w="65" w:type="dxa"/>
              <w:start w:w="110" w:type="dxa"/>
              <w:bottom w:w="65" w:type="dxa"/>
              <w:end w:w="110" w:type="dxa"/>
            </w:tcMar>
          </w:tcPr>
          <w:p>
            <w:pPr>
              <w:spacing w:after="0" w:line="252" w:lineRule="auto"/>
            </w:pPr>
            <w:r/>
            <w:r>
              <w:rPr>
                <w:rFonts w:ascii="Aptos" w:hAnsi="Aptos"/>
                <w:b/>
                <w:color w:val="24313B"/>
                <w:sz w:val="17"/>
              </w:rPr>
              <w:t>Talos, Kubernetes, Cilium, and Flux</w:t>
            </w:r>
          </w:p>
        </w:tc>
        <w:tc>
          <w:tcPr>
            <w:tcW w:type="dxa" w:w="7056"/>
            <w:vAlign w:val="center"/>
            <w:tcMar>
              <w:top w:w="65" w:type="dxa"/>
              <w:start w:w="110" w:type="dxa"/>
              <w:bottom w:w="65" w:type="dxa"/>
              <w:end w:w="110" w:type="dxa"/>
            </w:tcMar>
          </w:tcPr>
          <w:p>
            <w:pPr>
              <w:spacing w:after="0" w:line="252" w:lineRule="auto"/>
            </w:pPr>
            <w:r/>
            <w:r>
              <w:rPr>
                <w:rFonts w:ascii="Aptos" w:hAnsi="Aptos"/>
                <w:b w:val="0"/>
                <w:color w:val="24313B"/>
                <w:sz w:val="17"/>
              </w:rPr>
              <w:t>Provide the Kubernetes operating system, cluster services, network gateway, and ongoing configuration reconciliation.</w:t>
            </w:r>
          </w:p>
        </w:tc>
      </w:tr>
    </w:tbl>
    <w:p>
      <w:pPr>
        <w:pStyle w:val="Heading1"/>
      </w:pPr>
      <w:r>
        <w:t>6. Business rules and safeguards</w:t>
      </w:r>
    </w:p>
    <w:p>
      <w:pPr>
        <w:pStyle w:val="ListBullet"/>
        <w:spacing w:after="60"/>
      </w:pPr>
      <w:r>
        <w:t>Sensitive values belong in Infisical or Jenkins’ protected credential store, not in source-controlled configuration or routine build output.</w:t>
      </w:r>
    </w:p>
    <w:p>
      <w:pPr>
        <w:pStyle w:val="ListBullet"/>
        <w:spacing w:after="60"/>
      </w:pPr>
      <w:r>
        <w:t>A workflow should stop when required access, trust checks, configuration, or service health checks fail.</w:t>
      </w:r>
    </w:p>
    <w:p>
      <w:pPr>
        <w:pStyle w:val="ListBullet"/>
        <w:spacing w:after="60"/>
      </w:pPr>
      <w:r>
        <w:t>Plans and read-only reviews should be visible before a change is applied. Consequential or destructive actions require explicit operator approval.</w:t>
      </w:r>
    </w:p>
    <w:p>
      <w:pPr>
        <w:pStyle w:val="ListBullet"/>
        <w:spacing w:after="60"/>
      </w:pPr>
      <w:r>
        <w:t>Routine router updates and full router recovery remain separate workflows so a reset cannot be mistaken for an ordinary configuration change.</w:t>
      </w:r>
    </w:p>
    <w:p>
      <w:pPr>
        <w:pStyle w:val="ListBullet"/>
        <w:spacing w:after="60"/>
      </w:pPr>
      <w:r>
        <w:t>The DNS workflow checks that the peer remains healthy before taking one DNS server offline for recreation.</w:t>
      </w:r>
    </w:p>
    <w:p>
      <w:pPr>
        <w:pStyle w:val="ListBullet"/>
        <w:spacing w:after="60"/>
      </w:pPr>
      <w:r>
        <w:t>Kubernetes virtual machine replacement is limited to one selected machine per approved run; rebuilding virtual machines does not itself drain workloads or prove application recovery.</w:t>
      </w:r>
    </w:p>
    <w:p>
      <w:pPr>
        <w:pStyle w:val="ListBullet"/>
        <w:spacing w:after="60"/>
      </w:pPr>
      <w:r>
        <w:t>Backups and reports may contain sensitive operational data. Encrypted router backups are retained as build artifacts and should be handled as protected records.</w:t>
      </w:r>
    </w:p>
    <w:p>
      <w:pPr>
        <w:pStyle w:val="Heading1"/>
      </w:pPr>
      <w:r>
        <w:t>7. Scope and boundaries</w:t>
      </w:r>
    </w:p>
    <w:p>
      <w:r>
        <w:t>The product focuses on infrastructure and platform operations: provisioning and updating the Jenkins environment, coordinating approved changes to homelab services, and establishing the Kubernetes platform. It is not a general-purpose service desk, configuration database, cloud management suite, or application deployment catalog.</w:t>
      </w:r>
    </w:p>
    <w:p>
      <w:r>
        <w:t>The repository also includes starting profiles for Jellyfin, Plex, and FileFlows containers. Those profiles are separate from the eleven managed operator workflows and do not mean those applications are deployed or maintained by the Jenkins pipelines.</w:t>
      </w:r>
    </w:p>
    <w:p>
      <w:pPr>
        <w:pStyle w:val="Heading1"/>
      </w:pPr>
      <w:r>
        <w:t>8. Current limitations and follow-up work</w:t>
      </w:r>
    </w:p>
    <w:p>
      <w:pPr>
        <w:pStyle w:val="ListBullet"/>
        <w:spacing w:after="60"/>
      </w:pPr>
      <w:r>
        <w:t>The five Kubernetes virtual machines are hosted on one Proxmox server. They provide node-level redundancy, not protection from failure of that shared host.</w:t>
      </w:r>
    </w:p>
    <w:p>
      <w:pPr>
        <w:pStyle w:val="ListBullet"/>
        <w:spacing w:after="60"/>
      </w:pPr>
      <w:r>
        <w:t>DHCP reservations and some network prerequisites remain operator-managed setup tasks.</w:t>
      </w:r>
    </w:p>
    <w:p>
      <w:pPr>
        <w:pStyle w:val="ListBullet"/>
        <w:spacing w:after="60"/>
      </w:pPr>
      <w:r>
        <w:t>The repository documents the NFS configuration, but an end-to-end Kubernetes claim and write check still needs to be confirmed in the live environment.</w:t>
      </w:r>
    </w:p>
    <w:p>
      <w:pPr>
        <w:pStyle w:val="ListBullet"/>
        <w:spacing w:after="60"/>
      </w:pPr>
      <w:r>
        <w:t>Application routes, local DNS records for those routes, and the public Cloudflare Tunnel connector remain separate follow-up work.</w:t>
      </w:r>
    </w:p>
    <w:p>
      <w:pPr>
        <w:pStyle w:val="ListBullet"/>
        <w:spacing w:after="60"/>
      </w:pPr>
      <w:r>
        <w:t>Application-aware data backup and restore, particularly for databases, is outside the completed automation and requires its own tested procedures.</w:t>
      </w:r>
    </w:p>
    <w:p>
      <w:pPr>
        <w:pStyle w:val="ListBullet"/>
        <w:spacing w:after="60"/>
      </w:pPr>
      <w:r>
        <w:t>A successful build in Jenkins does not by itself prove the live homelab has been provisioned or that every remote service is reachable; live verification is an operational acceptance step.</w:t>
      </w:r>
    </w:p>
    <w:p>
      <w:pPr>
        <w:pStyle w:val="Heading1"/>
      </w:pPr>
      <w:r>
        <w:t>9. Suggested acceptance outcomes</w:t>
      </w:r>
    </w:p>
    <w:p>
      <w:r>
        <w:t>For a business analyst or developer, the product can be considered to meet its core operational intent when an operator can:</w:t>
      </w:r>
    </w:p>
    <w:p>
      <w:pPr>
        <w:pStyle w:val="ListBullet"/>
        <w:spacing w:after="60"/>
      </w:pPr>
      <w:r>
        <w:t>Identify the right workflow for a defined maintenance or recovery task.</w:t>
      </w:r>
    </w:p>
    <w:p>
      <w:pPr>
        <w:pStyle w:val="ListBullet"/>
        <w:spacing w:after="60"/>
      </w:pPr>
      <w:r>
        <w:t>See prerequisite checks and a useful plan or current-state summary before consequential changes.</w:t>
      </w:r>
    </w:p>
    <w:p>
      <w:pPr>
        <w:pStyle w:val="ListBullet"/>
        <w:spacing w:after="60"/>
      </w:pPr>
      <w:r>
        <w:t>Approve, monitor, and understand the result of an operation without exposing the credentials used by it.</w:t>
      </w:r>
    </w:p>
    <w:p>
      <w:pPr>
        <w:pStyle w:val="ListBullet"/>
        <w:spacing w:after="60"/>
      </w:pPr>
      <w:r>
        <w:t>Retrieve the reports or encrypted backups produced by the run and understand their retention boundary.</w:t>
      </w:r>
    </w:p>
    <w:p>
      <w:pPr>
        <w:pStyle w:val="ListBullet"/>
        <w:spacing w:after="60"/>
      </w:pPr>
      <w:r>
        <w:t>Repeat supported operations safely, with guards that prevent unintended broad replacement or destructive changes.</w:t>
      </w:r>
    </w:p>
    <w:p>
      <w:pPr>
        <w:pStyle w:val="ListBullet"/>
        <w:spacing w:after="60"/>
      </w:pPr>
      <w:r>
        <w:t>Distinguish what Jenkins automates from what remains a manual prerequisite or a separate follow-up activity.</w:t>
      </w:r>
    </w:p>
    <w:p>
      <w:pPr>
        <w:spacing w:before="200" w:after="0"/>
      </w:pPr>
      <w:r>
        <w:rPr>
          <w:b/>
          <w:color w:val="147D82"/>
        </w:rPr>
        <w:t xml:space="preserve">Product summary: </w:t>
      </w:r>
      <w:r>
        <w:t>Homelab Jenkins 3 is an approval-centered operations layer for a single-operator homelab. It standardizes recurring infrastructure and service changes while keeping the system ownership, sensitive information, and operator decision points explicit.</w:t>
      </w:r>
    </w:p>
    <w:p>
      <w:r>
        <w:br w:type="page"/>
      </w:r>
    </w:p>
    <w:p>
      <w:pPr>
        <w:pStyle w:val="Heading1"/>
        <w:keepNext/>
      </w:pPr>
      <w:r>
        <w:t>Appendix Server inventory and default specifications</w:t>
      </w:r>
    </w:p>
    <w:p>
      <w:pPr>
        <w:spacing w:after="120"/>
      </w:pPr>
      <w:r>
        <w:t>This inventory records the server profiles and example virtual machines defined by the project. A profile describes a server the operator can create or recreate; it does not mean every listed server is currently deployed. The Kubernetes values come from the checked-in example configuration and should be checked against available Proxmox capacity before use.</w:t>
      </w:r>
    </w:p>
    <w:p>
      <w:pPr>
        <w:pStyle w:val="Heading2"/>
        <w:keepNext/>
      </w:pPr>
      <w:r>
        <w:t>Core service containers</w:t>
      </w:r>
    </w:p>
    <w:p>
      <w:pPr>
        <w:spacing w:after="80"/>
      </w:pPr>
      <w:r>
        <w:t>These four Linux containers form the Jenkins and DNS services that the repository bootstraps or manages. CPU, memory, and disk are the profile defaults; the IPv4 addresses are expected DHCP reservations.</w:t>
      </w:r>
    </w:p>
    <w:tbl>
      <w:tblPr>
        <w:tblStyle w:val="TableGrid"/>
        <w:tblW w:type="auto" w:w="0"/>
        <w:jc w:val="center"/>
        <w:tblLayout w:type="fixed"/>
        <w:tblLook w:firstColumn="1" w:firstRow="1" w:lastColumn="0" w:lastRow="0" w:noHBand="0" w:noVBand="1" w:val="04A0"/>
      </w:tblPr>
      <w:tblGrid>
        <w:gridCol w:w="1656"/>
        <w:gridCol w:w="1944"/>
        <w:gridCol w:w="1368"/>
        <w:gridCol w:w="1037"/>
        <w:gridCol w:w="3672"/>
      </w:tblGrid>
      <w:tr>
        <w:trPr>
          <w:tblHeader w:val="true"/>
        </w:trPr>
        <w:tc>
          <w:tcPr>
            <w:tcW w:type="dxa" w:w="1656"/>
            <w:shd w:fill="18344F"/>
            <w:vAlign w:val="center"/>
          </w:tcPr>
          <w:p>
            <w:pPr>
              <w:spacing w:before="0" w:after="0" w:line="240" w:lineRule="auto"/>
            </w:pPr>
            <w:r/>
            <w:r>
              <w:rPr>
                <w:rFonts w:ascii="Aptos" w:hAnsi="Aptos"/>
                <w:b/>
                <w:color w:val="FFFFFF"/>
                <w:sz w:val="16"/>
              </w:rPr>
              <w:t>Server and ID</w:t>
            </w:r>
          </w:p>
        </w:tc>
        <w:tc>
          <w:tcPr>
            <w:tcW w:type="dxa" w:w="1944"/>
            <w:shd w:fill="18344F"/>
            <w:vAlign w:val="center"/>
          </w:tcPr>
          <w:p>
            <w:pPr>
              <w:spacing w:before="0" w:after="0" w:line="240" w:lineRule="auto"/>
            </w:pPr>
            <w:r/>
            <w:r>
              <w:rPr>
                <w:rFonts w:ascii="Aptos" w:hAnsi="Aptos"/>
                <w:b/>
                <w:color w:val="FFFFFF"/>
                <w:sz w:val="16"/>
              </w:rPr>
              <w:t>Operating system</w:t>
            </w:r>
          </w:p>
        </w:tc>
        <w:tc>
          <w:tcPr>
            <w:tcW w:type="dxa" w:w="1368"/>
            <w:shd w:fill="18344F"/>
            <w:vAlign w:val="center"/>
          </w:tcPr>
          <w:p>
            <w:pPr>
              <w:spacing w:before="0" w:after="0" w:line="240" w:lineRule="auto"/>
            </w:pPr>
            <w:r/>
            <w:r>
              <w:rPr>
                <w:rFonts w:ascii="Aptos" w:hAnsi="Aptos"/>
                <w:b/>
                <w:color w:val="FFFFFF"/>
                <w:sz w:val="16"/>
              </w:rPr>
              <w:t>CPU and memory</w:t>
            </w:r>
          </w:p>
        </w:tc>
        <w:tc>
          <w:tcPr>
            <w:tcW w:type="dxa" w:w="1037"/>
            <w:shd w:fill="18344F"/>
            <w:vAlign w:val="center"/>
          </w:tcPr>
          <w:p>
            <w:pPr>
              <w:spacing w:before="0" w:after="0" w:line="240" w:lineRule="auto"/>
            </w:pPr>
            <w:r/>
            <w:r>
              <w:rPr>
                <w:rFonts w:ascii="Aptos" w:hAnsi="Aptos"/>
                <w:b/>
                <w:color w:val="FFFFFF"/>
                <w:sz w:val="16"/>
              </w:rPr>
              <w:t>System disk</w:t>
            </w:r>
          </w:p>
        </w:tc>
        <w:tc>
          <w:tcPr>
            <w:tcW w:type="dxa" w:w="3672"/>
            <w:shd w:fill="18344F"/>
            <w:vAlign w:val="center"/>
          </w:tcPr>
          <w:p>
            <w:pPr>
              <w:spacing w:before="0" w:after="0" w:line="240" w:lineRule="auto"/>
            </w:pPr>
            <w:r/>
            <w:r>
              <w:rPr>
                <w:rFonts w:ascii="Aptos" w:hAnsi="Aptos"/>
                <w:b/>
                <w:color w:val="FFFFFF"/>
                <w:sz w:val="16"/>
              </w:rPr>
              <w:t>Network and purpose</w:t>
            </w:r>
          </w:p>
        </w:tc>
      </w:tr>
      <w:tr>
        <w:trPr>
          <w:cantSplit/>
        </w:trPr>
        <w:tc>
          <w:tcPr>
            <w:tcW w:type="dxa" w:w="1656"/>
            <w:vAlign w:val="center"/>
          </w:tcPr>
          <w:p>
            <w:pPr>
              <w:spacing w:before="0" w:after="0" w:line="240" w:lineRule="auto"/>
            </w:pPr>
            <w:r/>
            <w:r>
              <w:rPr>
                <w:rFonts w:ascii="Aptos" w:hAnsi="Aptos"/>
                <w:b w:val="0"/>
                <w:color w:val="222222"/>
                <w:sz w:val="16"/>
              </w:rPr>
              <w:t>controlplane · CT 100</w:t>
            </w:r>
          </w:p>
        </w:tc>
        <w:tc>
          <w:tcPr>
            <w:tcW w:type="dxa" w:w="1944"/>
            <w:vAlign w:val="center"/>
          </w:tcPr>
          <w:p>
            <w:pPr>
              <w:spacing w:before="0" w:after="0" w:line="240" w:lineRule="auto"/>
            </w:pPr>
            <w:r/>
            <w:r>
              <w:rPr>
                <w:rFonts w:ascii="Aptos" w:hAnsi="Aptos"/>
                <w:b w:val="0"/>
                <w:color w:val="222222"/>
                <w:sz w:val="16"/>
              </w:rPr>
              <w:t>Ubuntu 26.04 default; 24.04 also offered</w:t>
            </w:r>
          </w:p>
        </w:tc>
        <w:tc>
          <w:tcPr>
            <w:tcW w:type="dxa" w:w="1368"/>
            <w:vAlign w:val="center"/>
          </w:tcPr>
          <w:p>
            <w:pPr>
              <w:spacing w:before="0" w:after="0" w:line="240" w:lineRule="auto"/>
            </w:pPr>
            <w:r/>
            <w:r>
              <w:rPr>
                <w:rFonts w:ascii="Aptos" w:hAnsi="Aptos"/>
                <w:b w:val="0"/>
                <w:color w:val="222222"/>
                <w:sz w:val="16"/>
              </w:rPr>
              <w:t>2 cores · 4 GiB</w:t>
            </w:r>
          </w:p>
        </w:tc>
        <w:tc>
          <w:tcPr>
            <w:tcW w:type="dxa" w:w="1037"/>
            <w:vAlign w:val="center"/>
          </w:tcPr>
          <w:p>
            <w:pPr>
              <w:spacing w:before="0" w:after="0" w:line="240" w:lineRule="auto"/>
            </w:pPr>
            <w:r/>
            <w:r>
              <w:rPr>
                <w:rFonts w:ascii="Aptos" w:hAnsi="Aptos"/>
                <w:b w:val="0"/>
                <w:color w:val="222222"/>
                <w:sz w:val="16"/>
              </w:rPr>
              <w:t>50 GiB</w:t>
            </w:r>
          </w:p>
        </w:tc>
        <w:tc>
          <w:tcPr>
            <w:tcW w:type="dxa" w:w="3672"/>
            <w:vAlign w:val="center"/>
          </w:tcPr>
          <w:p>
            <w:pPr>
              <w:spacing w:before="0" w:after="0" w:line="240" w:lineRule="auto"/>
            </w:pPr>
            <w:r/>
            <w:r>
              <w:rPr>
                <w:rFonts w:ascii="Aptos" w:hAnsi="Aptos"/>
                <w:b w:val="0"/>
                <w:color w:val="222222"/>
                <w:sz w:val="16"/>
              </w:rPr>
              <w:t>VLAN 20 · 192.168.20.5 · MAC BC:24:11:4B:E3:DB</w:t>
              <w:br/>
              <w:t>Jenkins controller; web access uses HTTPS on 8443.</w:t>
            </w:r>
          </w:p>
        </w:tc>
      </w:tr>
      <w:tr>
        <w:trPr>
          <w:cantSplit/>
        </w:trPr>
        <w:tc>
          <w:tcPr>
            <w:tcW w:type="dxa" w:w="1656"/>
            <w:shd w:fill="EDF3F7"/>
            <w:vAlign w:val="center"/>
          </w:tcPr>
          <w:p>
            <w:pPr>
              <w:spacing w:before="0" w:after="0" w:line="240" w:lineRule="auto"/>
            </w:pPr>
            <w:r/>
            <w:r>
              <w:rPr>
                <w:rFonts w:ascii="Aptos" w:hAnsi="Aptos"/>
                <w:b w:val="0"/>
                <w:color w:val="222222"/>
                <w:sz w:val="16"/>
              </w:rPr>
              <w:t>jenkins-agent · CT 101</w:t>
            </w:r>
          </w:p>
        </w:tc>
        <w:tc>
          <w:tcPr>
            <w:tcW w:type="dxa" w:w="1944"/>
            <w:shd w:fill="EDF3F7"/>
            <w:vAlign w:val="center"/>
          </w:tcPr>
          <w:p>
            <w:pPr>
              <w:spacing w:before="0" w:after="0" w:line="240" w:lineRule="auto"/>
            </w:pPr>
            <w:r/>
            <w:r>
              <w:rPr>
                <w:rFonts w:ascii="Aptos" w:hAnsi="Aptos"/>
                <w:b w:val="0"/>
                <w:color w:val="222222"/>
                <w:sz w:val="16"/>
              </w:rPr>
              <w:t>Ubuntu 26.04 default; 24.04 also offered</w:t>
            </w:r>
          </w:p>
        </w:tc>
        <w:tc>
          <w:tcPr>
            <w:tcW w:type="dxa" w:w="1368"/>
            <w:shd w:fill="EDF3F7"/>
            <w:vAlign w:val="center"/>
          </w:tcPr>
          <w:p>
            <w:pPr>
              <w:spacing w:before="0" w:after="0" w:line="240" w:lineRule="auto"/>
            </w:pPr>
            <w:r/>
            <w:r>
              <w:rPr>
                <w:rFonts w:ascii="Aptos" w:hAnsi="Aptos"/>
                <w:b w:val="0"/>
                <w:color w:val="222222"/>
                <w:sz w:val="16"/>
              </w:rPr>
              <w:t>2 cores · 4 GiB</w:t>
            </w:r>
          </w:p>
        </w:tc>
        <w:tc>
          <w:tcPr>
            <w:tcW w:type="dxa" w:w="1037"/>
            <w:shd w:fill="EDF3F7"/>
            <w:vAlign w:val="center"/>
          </w:tcPr>
          <w:p>
            <w:pPr>
              <w:spacing w:before="0" w:after="0" w:line="240" w:lineRule="auto"/>
            </w:pPr>
            <w:r/>
            <w:r>
              <w:rPr>
                <w:rFonts w:ascii="Aptos" w:hAnsi="Aptos"/>
                <w:b w:val="0"/>
                <w:color w:val="222222"/>
                <w:sz w:val="16"/>
              </w:rPr>
              <w:t>50 GiB</w:t>
            </w:r>
          </w:p>
        </w:tc>
        <w:tc>
          <w:tcPr>
            <w:tcW w:type="dxa" w:w="3672"/>
            <w:shd w:fill="EDF3F7"/>
            <w:vAlign w:val="center"/>
          </w:tcPr>
          <w:p>
            <w:pPr>
              <w:spacing w:before="0" w:after="0" w:line="240" w:lineRule="auto"/>
            </w:pPr>
            <w:r/>
            <w:r>
              <w:rPr>
                <w:rFonts w:ascii="Aptos" w:hAnsi="Aptos"/>
                <w:b w:val="0"/>
                <w:color w:val="222222"/>
                <w:sz w:val="16"/>
              </w:rPr>
              <w:t>VLAN 20 · 192.168.20.6 · MAC BC:24:11:5E:D9:F9</w:t>
              <w:br/>
              <w:t>Runs the automation jobs as the dedicated Jenkins agent.</w:t>
            </w:r>
          </w:p>
        </w:tc>
      </w:tr>
      <w:tr>
        <w:trPr>
          <w:cantSplit/>
        </w:trPr>
        <w:tc>
          <w:tcPr>
            <w:tcW w:type="dxa" w:w="1656"/>
            <w:vAlign w:val="center"/>
          </w:tcPr>
          <w:p>
            <w:pPr>
              <w:spacing w:before="0" w:after="0" w:line="240" w:lineRule="auto"/>
            </w:pPr>
            <w:r/>
            <w:r>
              <w:rPr>
                <w:rFonts w:ascii="Aptos" w:hAnsi="Aptos"/>
                <w:b w:val="0"/>
                <w:color w:val="222222"/>
                <w:sz w:val="16"/>
              </w:rPr>
              <w:t>dns01 · CT 150</w:t>
            </w:r>
          </w:p>
        </w:tc>
        <w:tc>
          <w:tcPr>
            <w:tcW w:type="dxa" w:w="1944"/>
            <w:vAlign w:val="center"/>
          </w:tcPr>
          <w:p>
            <w:pPr>
              <w:spacing w:before="0" w:after="0" w:line="240" w:lineRule="auto"/>
            </w:pPr>
            <w:r/>
            <w:r>
              <w:rPr>
                <w:rFonts w:ascii="Aptos" w:hAnsi="Aptos"/>
                <w:b w:val="0"/>
                <w:color w:val="222222"/>
                <w:sz w:val="16"/>
              </w:rPr>
              <w:t>Debian 13 default; Debian 12 also offered</w:t>
            </w:r>
          </w:p>
        </w:tc>
        <w:tc>
          <w:tcPr>
            <w:tcW w:type="dxa" w:w="1368"/>
            <w:vAlign w:val="center"/>
          </w:tcPr>
          <w:p>
            <w:pPr>
              <w:spacing w:before="0" w:after="0" w:line="240" w:lineRule="auto"/>
            </w:pPr>
            <w:r/>
            <w:r>
              <w:rPr>
                <w:rFonts w:ascii="Aptos" w:hAnsi="Aptos"/>
                <w:b w:val="0"/>
                <w:color w:val="222222"/>
                <w:sz w:val="16"/>
              </w:rPr>
              <w:t>1 core · 1 GiB</w:t>
            </w:r>
          </w:p>
        </w:tc>
        <w:tc>
          <w:tcPr>
            <w:tcW w:type="dxa" w:w="1037"/>
            <w:vAlign w:val="center"/>
          </w:tcPr>
          <w:p>
            <w:pPr>
              <w:spacing w:before="0" w:after="0" w:line="240" w:lineRule="auto"/>
            </w:pPr>
            <w:r/>
            <w:r>
              <w:rPr>
                <w:rFonts w:ascii="Aptos" w:hAnsi="Aptos"/>
                <w:b w:val="0"/>
                <w:color w:val="222222"/>
                <w:sz w:val="16"/>
              </w:rPr>
              <w:t>10 GiB</w:t>
            </w:r>
          </w:p>
        </w:tc>
        <w:tc>
          <w:tcPr>
            <w:tcW w:type="dxa" w:w="3672"/>
            <w:vAlign w:val="center"/>
          </w:tcPr>
          <w:p>
            <w:pPr>
              <w:spacing w:before="0" w:after="0" w:line="240" w:lineRule="auto"/>
            </w:pPr>
            <w:r/>
            <w:r>
              <w:rPr>
                <w:rFonts w:ascii="Aptos" w:hAnsi="Aptos"/>
                <w:b w:val="0"/>
                <w:color w:val="222222"/>
                <w:sz w:val="16"/>
              </w:rPr>
              <w:t>VLAN 30 · 192.168.30.2 · MAC 02:00:00:00:01:50</w:t>
              <w:br/>
              <w:t>Primary Technitium DNS server.</w:t>
            </w:r>
          </w:p>
        </w:tc>
      </w:tr>
      <w:tr>
        <w:trPr>
          <w:cantSplit/>
        </w:trPr>
        <w:tc>
          <w:tcPr>
            <w:tcW w:type="dxa" w:w="1656"/>
            <w:shd w:fill="EDF3F7"/>
            <w:vAlign w:val="center"/>
          </w:tcPr>
          <w:p>
            <w:pPr>
              <w:spacing w:before="0" w:after="0" w:line="240" w:lineRule="auto"/>
            </w:pPr>
            <w:r/>
            <w:r>
              <w:rPr>
                <w:rFonts w:ascii="Aptos" w:hAnsi="Aptos"/>
                <w:b w:val="0"/>
                <w:color w:val="222222"/>
                <w:sz w:val="16"/>
              </w:rPr>
              <w:t>dns02 · CT 151</w:t>
            </w:r>
          </w:p>
        </w:tc>
        <w:tc>
          <w:tcPr>
            <w:tcW w:type="dxa" w:w="1944"/>
            <w:shd w:fill="EDF3F7"/>
            <w:vAlign w:val="center"/>
          </w:tcPr>
          <w:p>
            <w:pPr>
              <w:spacing w:before="0" w:after="0" w:line="240" w:lineRule="auto"/>
            </w:pPr>
            <w:r/>
            <w:r>
              <w:rPr>
                <w:rFonts w:ascii="Aptos" w:hAnsi="Aptos"/>
                <w:b w:val="0"/>
                <w:color w:val="222222"/>
                <w:sz w:val="16"/>
              </w:rPr>
              <w:t>Debian 13 default; Debian 12 also offered</w:t>
            </w:r>
          </w:p>
        </w:tc>
        <w:tc>
          <w:tcPr>
            <w:tcW w:type="dxa" w:w="1368"/>
            <w:shd w:fill="EDF3F7"/>
            <w:vAlign w:val="center"/>
          </w:tcPr>
          <w:p>
            <w:pPr>
              <w:spacing w:before="0" w:after="0" w:line="240" w:lineRule="auto"/>
            </w:pPr>
            <w:r/>
            <w:r>
              <w:rPr>
                <w:rFonts w:ascii="Aptos" w:hAnsi="Aptos"/>
                <w:b w:val="0"/>
                <w:color w:val="222222"/>
                <w:sz w:val="16"/>
              </w:rPr>
              <w:t>1 core · 1 GiB</w:t>
            </w:r>
          </w:p>
        </w:tc>
        <w:tc>
          <w:tcPr>
            <w:tcW w:type="dxa" w:w="1037"/>
            <w:shd w:fill="EDF3F7"/>
            <w:vAlign w:val="center"/>
          </w:tcPr>
          <w:p>
            <w:pPr>
              <w:spacing w:before="0" w:after="0" w:line="240" w:lineRule="auto"/>
            </w:pPr>
            <w:r/>
            <w:r>
              <w:rPr>
                <w:rFonts w:ascii="Aptos" w:hAnsi="Aptos"/>
                <w:b w:val="0"/>
                <w:color w:val="222222"/>
                <w:sz w:val="16"/>
              </w:rPr>
              <w:t>10 GiB</w:t>
            </w:r>
          </w:p>
        </w:tc>
        <w:tc>
          <w:tcPr>
            <w:tcW w:type="dxa" w:w="3672"/>
            <w:shd w:fill="EDF3F7"/>
            <w:vAlign w:val="center"/>
          </w:tcPr>
          <w:p>
            <w:pPr>
              <w:spacing w:before="0" w:after="0" w:line="240" w:lineRule="auto"/>
            </w:pPr>
            <w:r/>
            <w:r>
              <w:rPr>
                <w:rFonts w:ascii="Aptos" w:hAnsi="Aptos"/>
                <w:b w:val="0"/>
                <w:color w:val="222222"/>
                <w:sz w:val="16"/>
              </w:rPr>
              <w:t>VLAN 30 · 192.168.30.3 · MAC 02:00:00:00:01:51</w:t>
              <w:br/>
              <w:t>Secondary Technitium DNS server; receives replicated zones.</w:t>
            </w:r>
          </w:p>
        </w:tc>
      </w:tr>
    </w:tbl>
    <w:p>
      <w:pPr>
        <w:spacing w:after="0"/>
      </w:pPr>
    </w:p>
    <w:p>
      <w:pPr>
        <w:pStyle w:val="Heading2"/>
        <w:keepNext/>
      </w:pPr>
      <w:r>
        <w:t>Kubernetes virtual machines</w:t>
      </w:r>
    </w:p>
    <w:p>
      <w:pPr>
        <w:spacing w:after="80"/>
      </w:pPr>
      <w:r>
        <w:t>The example cluster creates five Talos Linux VMs on Proxmox node pve01, using local-lvm storage, vmbr0, and VLAN 80. Every VM is configured with 2 CPU cores and 3 GiB memory. The control planes use 32 GiB system disks; workers use 64 GiB system disks.</w:t>
      </w:r>
    </w:p>
    <w:tbl>
      <w:tblPr>
        <w:tblStyle w:val="TableGrid"/>
        <w:tblW w:type="auto" w:w="0"/>
        <w:jc w:val="center"/>
        <w:tblLayout w:type="fixed"/>
        <w:tblLook w:firstColumn="1" w:firstRow="1" w:lastColumn="0" w:lastRow="0" w:noHBand="0" w:noVBand="1" w:val="04A0"/>
      </w:tblPr>
      <w:tblGrid>
        <w:gridCol w:w="2232"/>
        <w:gridCol w:w="1512"/>
        <w:gridCol w:w="2448"/>
        <w:gridCol w:w="3485"/>
      </w:tblGrid>
      <w:tr>
        <w:trPr>
          <w:tblHeader w:val="true"/>
        </w:trPr>
        <w:tc>
          <w:tcPr>
            <w:tcW w:type="dxa" w:w="2232"/>
            <w:shd w:fill="18344F"/>
            <w:vAlign w:val="center"/>
          </w:tcPr>
          <w:p>
            <w:pPr>
              <w:spacing w:before="0" w:after="0" w:line="240" w:lineRule="auto"/>
            </w:pPr>
            <w:r/>
            <w:r>
              <w:rPr>
                <w:rFonts w:ascii="Aptos" w:hAnsi="Aptos"/>
                <w:b/>
                <w:color w:val="FFFFFF"/>
                <w:sz w:val="16"/>
              </w:rPr>
              <w:t>VM and ID</w:t>
            </w:r>
          </w:p>
        </w:tc>
        <w:tc>
          <w:tcPr>
            <w:tcW w:type="dxa" w:w="1512"/>
            <w:shd w:fill="18344F"/>
            <w:vAlign w:val="center"/>
          </w:tcPr>
          <w:p>
            <w:pPr>
              <w:spacing w:before="0" w:after="0" w:line="240" w:lineRule="auto"/>
            </w:pPr>
            <w:r/>
            <w:r>
              <w:rPr>
                <w:rFonts w:ascii="Aptos" w:hAnsi="Aptos"/>
                <w:b/>
                <w:color w:val="FFFFFF"/>
                <w:sz w:val="16"/>
              </w:rPr>
              <w:t>Cluster role</w:t>
            </w:r>
          </w:p>
        </w:tc>
        <w:tc>
          <w:tcPr>
            <w:tcW w:type="dxa" w:w="2448"/>
            <w:shd w:fill="18344F"/>
            <w:vAlign w:val="center"/>
          </w:tcPr>
          <w:p>
            <w:pPr>
              <w:spacing w:before="0" w:after="0" w:line="240" w:lineRule="auto"/>
            </w:pPr>
            <w:r/>
            <w:r>
              <w:rPr>
                <w:rFonts w:ascii="Aptos" w:hAnsi="Aptos"/>
                <w:b/>
                <w:color w:val="FFFFFF"/>
                <w:sz w:val="16"/>
              </w:rPr>
              <w:t>Resources</w:t>
            </w:r>
          </w:p>
        </w:tc>
        <w:tc>
          <w:tcPr>
            <w:tcW w:type="dxa" w:w="3485"/>
            <w:shd w:fill="18344F"/>
            <w:vAlign w:val="center"/>
          </w:tcPr>
          <w:p>
            <w:pPr>
              <w:spacing w:before="0" w:after="0" w:line="240" w:lineRule="auto"/>
            </w:pPr>
            <w:r/>
            <w:r>
              <w:rPr>
                <w:rFonts w:ascii="Aptos" w:hAnsi="Aptos"/>
                <w:b/>
                <w:color w:val="FFFFFF"/>
                <w:sz w:val="16"/>
              </w:rPr>
              <w:t>Address and MAC</w:t>
            </w:r>
          </w:p>
        </w:tc>
      </w:tr>
      <w:tr>
        <w:trPr>
          <w:cantSplit/>
        </w:trPr>
        <w:tc>
          <w:tcPr>
            <w:tcW w:type="dxa" w:w="2232"/>
            <w:vAlign w:val="center"/>
          </w:tcPr>
          <w:p>
            <w:pPr>
              <w:spacing w:before="0" w:after="0" w:line="240" w:lineRule="auto"/>
            </w:pPr>
            <w:r/>
            <w:r>
              <w:rPr>
                <w:rFonts w:ascii="Aptos" w:hAnsi="Aptos"/>
                <w:b w:val="0"/>
                <w:color w:val="222222"/>
                <w:sz w:val="16"/>
              </w:rPr>
              <w:t>talos-cp-01 · 8101</w:t>
            </w:r>
          </w:p>
        </w:tc>
        <w:tc>
          <w:tcPr>
            <w:tcW w:type="dxa" w:w="1512"/>
            <w:vAlign w:val="center"/>
          </w:tcPr>
          <w:p>
            <w:pPr>
              <w:spacing w:before="0" w:after="0" w:line="240" w:lineRule="auto"/>
            </w:pPr>
            <w:r/>
            <w:r>
              <w:rPr>
                <w:rFonts w:ascii="Aptos" w:hAnsi="Aptos"/>
                <w:b w:val="0"/>
                <w:color w:val="222222"/>
                <w:sz w:val="16"/>
              </w:rPr>
              <w:t>Control plane</w:t>
            </w:r>
          </w:p>
        </w:tc>
        <w:tc>
          <w:tcPr>
            <w:tcW w:type="dxa" w:w="2448"/>
            <w:vAlign w:val="center"/>
          </w:tcPr>
          <w:p>
            <w:pPr>
              <w:spacing w:before="0" w:after="0" w:line="240" w:lineRule="auto"/>
            </w:pPr>
            <w:r/>
            <w:r>
              <w:rPr>
                <w:rFonts w:ascii="Aptos" w:hAnsi="Aptos"/>
                <w:b w:val="0"/>
                <w:color w:val="222222"/>
                <w:sz w:val="16"/>
              </w:rPr>
              <w:t>2 cores · 3 GiB RAM</w:t>
              <w:br/>
              <w:t>32 GiB disk</w:t>
            </w:r>
          </w:p>
        </w:tc>
        <w:tc>
          <w:tcPr>
            <w:tcW w:type="dxa" w:w="3485"/>
            <w:vAlign w:val="center"/>
          </w:tcPr>
          <w:p>
            <w:pPr>
              <w:spacing w:before="0" w:after="0" w:line="240" w:lineRule="auto"/>
            </w:pPr>
            <w:r/>
            <w:r>
              <w:rPr>
                <w:rFonts w:ascii="Aptos" w:hAnsi="Aptos"/>
                <w:b w:val="0"/>
                <w:color w:val="222222"/>
                <w:sz w:val="16"/>
              </w:rPr>
              <w:t>192.168.80.101</w:t>
              <w:br/>
              <w:t>02:80:00:00:01:01</w:t>
            </w:r>
          </w:p>
        </w:tc>
      </w:tr>
      <w:tr>
        <w:trPr>
          <w:cantSplit/>
        </w:trPr>
        <w:tc>
          <w:tcPr>
            <w:tcW w:type="dxa" w:w="2232"/>
            <w:shd w:fill="EDF3F7"/>
            <w:vAlign w:val="center"/>
          </w:tcPr>
          <w:p>
            <w:pPr>
              <w:spacing w:before="0" w:after="0" w:line="240" w:lineRule="auto"/>
            </w:pPr>
            <w:r/>
            <w:r>
              <w:rPr>
                <w:rFonts w:ascii="Aptos" w:hAnsi="Aptos"/>
                <w:b w:val="0"/>
                <w:color w:val="222222"/>
                <w:sz w:val="16"/>
              </w:rPr>
              <w:t>talos-cp-02 · 8102</w:t>
            </w:r>
          </w:p>
        </w:tc>
        <w:tc>
          <w:tcPr>
            <w:tcW w:type="dxa" w:w="1512"/>
            <w:shd w:fill="EDF3F7"/>
            <w:vAlign w:val="center"/>
          </w:tcPr>
          <w:p>
            <w:pPr>
              <w:spacing w:before="0" w:after="0" w:line="240" w:lineRule="auto"/>
            </w:pPr>
            <w:r/>
            <w:r>
              <w:rPr>
                <w:rFonts w:ascii="Aptos" w:hAnsi="Aptos"/>
                <w:b w:val="0"/>
                <w:color w:val="222222"/>
                <w:sz w:val="16"/>
              </w:rPr>
              <w:t>Control plane</w:t>
            </w:r>
          </w:p>
        </w:tc>
        <w:tc>
          <w:tcPr>
            <w:tcW w:type="dxa" w:w="2448"/>
            <w:shd w:fill="EDF3F7"/>
            <w:vAlign w:val="center"/>
          </w:tcPr>
          <w:p>
            <w:pPr>
              <w:spacing w:before="0" w:after="0" w:line="240" w:lineRule="auto"/>
            </w:pPr>
            <w:r/>
            <w:r>
              <w:rPr>
                <w:rFonts w:ascii="Aptos" w:hAnsi="Aptos"/>
                <w:b w:val="0"/>
                <w:color w:val="222222"/>
                <w:sz w:val="16"/>
              </w:rPr>
              <w:t>2 cores · 3 GiB RAM</w:t>
              <w:br/>
              <w:t>32 GiB disk</w:t>
            </w:r>
          </w:p>
        </w:tc>
        <w:tc>
          <w:tcPr>
            <w:tcW w:type="dxa" w:w="3485"/>
            <w:shd w:fill="EDF3F7"/>
            <w:vAlign w:val="center"/>
          </w:tcPr>
          <w:p>
            <w:pPr>
              <w:spacing w:before="0" w:after="0" w:line="240" w:lineRule="auto"/>
            </w:pPr>
            <w:r/>
            <w:r>
              <w:rPr>
                <w:rFonts w:ascii="Aptos" w:hAnsi="Aptos"/>
                <w:b w:val="0"/>
                <w:color w:val="222222"/>
                <w:sz w:val="16"/>
              </w:rPr>
              <w:t>192.168.80.102</w:t>
              <w:br/>
              <w:t>02:80:00:00:01:02</w:t>
            </w:r>
          </w:p>
        </w:tc>
      </w:tr>
      <w:tr>
        <w:trPr>
          <w:cantSplit/>
        </w:trPr>
        <w:tc>
          <w:tcPr>
            <w:tcW w:type="dxa" w:w="2232"/>
            <w:vAlign w:val="center"/>
          </w:tcPr>
          <w:p>
            <w:pPr>
              <w:spacing w:before="0" w:after="0" w:line="240" w:lineRule="auto"/>
            </w:pPr>
            <w:r/>
            <w:r>
              <w:rPr>
                <w:rFonts w:ascii="Aptos" w:hAnsi="Aptos"/>
                <w:b w:val="0"/>
                <w:color w:val="222222"/>
                <w:sz w:val="16"/>
              </w:rPr>
              <w:t>talos-cp-03 · 8103</w:t>
            </w:r>
          </w:p>
        </w:tc>
        <w:tc>
          <w:tcPr>
            <w:tcW w:type="dxa" w:w="1512"/>
            <w:vAlign w:val="center"/>
          </w:tcPr>
          <w:p>
            <w:pPr>
              <w:spacing w:before="0" w:after="0" w:line="240" w:lineRule="auto"/>
            </w:pPr>
            <w:r/>
            <w:r>
              <w:rPr>
                <w:rFonts w:ascii="Aptos" w:hAnsi="Aptos"/>
                <w:b w:val="0"/>
                <w:color w:val="222222"/>
                <w:sz w:val="16"/>
              </w:rPr>
              <w:t>Control plane</w:t>
            </w:r>
          </w:p>
        </w:tc>
        <w:tc>
          <w:tcPr>
            <w:tcW w:type="dxa" w:w="2448"/>
            <w:vAlign w:val="center"/>
          </w:tcPr>
          <w:p>
            <w:pPr>
              <w:spacing w:before="0" w:after="0" w:line="240" w:lineRule="auto"/>
            </w:pPr>
            <w:r/>
            <w:r>
              <w:rPr>
                <w:rFonts w:ascii="Aptos" w:hAnsi="Aptos"/>
                <w:b w:val="0"/>
                <w:color w:val="222222"/>
                <w:sz w:val="16"/>
              </w:rPr>
              <w:t>2 cores · 3 GiB RAM</w:t>
              <w:br/>
              <w:t>32 GiB disk</w:t>
            </w:r>
          </w:p>
        </w:tc>
        <w:tc>
          <w:tcPr>
            <w:tcW w:type="dxa" w:w="3485"/>
            <w:vAlign w:val="center"/>
          </w:tcPr>
          <w:p>
            <w:pPr>
              <w:spacing w:before="0" w:after="0" w:line="240" w:lineRule="auto"/>
            </w:pPr>
            <w:r/>
            <w:r>
              <w:rPr>
                <w:rFonts w:ascii="Aptos" w:hAnsi="Aptos"/>
                <w:b w:val="0"/>
                <w:color w:val="222222"/>
                <w:sz w:val="16"/>
              </w:rPr>
              <w:t>192.168.80.103</w:t>
              <w:br/>
              <w:t>02:80:00:00:01:03</w:t>
            </w:r>
          </w:p>
        </w:tc>
      </w:tr>
      <w:tr>
        <w:trPr>
          <w:cantSplit/>
        </w:trPr>
        <w:tc>
          <w:tcPr>
            <w:tcW w:type="dxa" w:w="2232"/>
            <w:shd w:fill="EDF3F7"/>
            <w:vAlign w:val="center"/>
          </w:tcPr>
          <w:p>
            <w:pPr>
              <w:spacing w:before="0" w:after="0" w:line="240" w:lineRule="auto"/>
            </w:pPr>
            <w:r/>
            <w:r>
              <w:rPr>
                <w:rFonts w:ascii="Aptos" w:hAnsi="Aptos"/>
                <w:b w:val="0"/>
                <w:color w:val="222222"/>
                <w:sz w:val="16"/>
              </w:rPr>
              <w:t>talos-worker-01 · 8111</w:t>
            </w:r>
          </w:p>
        </w:tc>
        <w:tc>
          <w:tcPr>
            <w:tcW w:type="dxa" w:w="1512"/>
            <w:shd w:fill="EDF3F7"/>
            <w:vAlign w:val="center"/>
          </w:tcPr>
          <w:p>
            <w:pPr>
              <w:spacing w:before="0" w:after="0" w:line="240" w:lineRule="auto"/>
            </w:pPr>
            <w:r/>
            <w:r>
              <w:rPr>
                <w:rFonts w:ascii="Aptos" w:hAnsi="Aptos"/>
                <w:b w:val="0"/>
                <w:color w:val="222222"/>
                <w:sz w:val="16"/>
              </w:rPr>
              <w:t>Worker</w:t>
            </w:r>
          </w:p>
        </w:tc>
        <w:tc>
          <w:tcPr>
            <w:tcW w:type="dxa" w:w="2448"/>
            <w:shd w:fill="EDF3F7"/>
            <w:vAlign w:val="center"/>
          </w:tcPr>
          <w:p>
            <w:pPr>
              <w:spacing w:before="0" w:after="0" w:line="240" w:lineRule="auto"/>
            </w:pPr>
            <w:r/>
            <w:r>
              <w:rPr>
                <w:rFonts w:ascii="Aptos" w:hAnsi="Aptos"/>
                <w:b w:val="0"/>
                <w:color w:val="222222"/>
                <w:sz w:val="16"/>
              </w:rPr>
              <w:t>2 cores · 3 GiB RAM</w:t>
              <w:br/>
              <w:t>64 GiB disk</w:t>
            </w:r>
          </w:p>
        </w:tc>
        <w:tc>
          <w:tcPr>
            <w:tcW w:type="dxa" w:w="3485"/>
            <w:shd w:fill="EDF3F7"/>
            <w:vAlign w:val="center"/>
          </w:tcPr>
          <w:p>
            <w:pPr>
              <w:spacing w:before="0" w:after="0" w:line="240" w:lineRule="auto"/>
            </w:pPr>
            <w:r/>
            <w:r>
              <w:rPr>
                <w:rFonts w:ascii="Aptos" w:hAnsi="Aptos"/>
                <w:b w:val="0"/>
                <w:color w:val="222222"/>
                <w:sz w:val="16"/>
              </w:rPr>
              <w:t>192.168.80.104</w:t>
              <w:br/>
              <w:t>02:80:00:00:02:01</w:t>
            </w:r>
          </w:p>
        </w:tc>
      </w:tr>
      <w:tr>
        <w:trPr>
          <w:cantSplit/>
        </w:trPr>
        <w:tc>
          <w:tcPr>
            <w:tcW w:type="dxa" w:w="2232"/>
            <w:vAlign w:val="center"/>
          </w:tcPr>
          <w:p>
            <w:pPr>
              <w:spacing w:before="0" w:after="0" w:line="240" w:lineRule="auto"/>
            </w:pPr>
            <w:r/>
            <w:r>
              <w:rPr>
                <w:rFonts w:ascii="Aptos" w:hAnsi="Aptos"/>
                <w:b w:val="0"/>
                <w:color w:val="222222"/>
                <w:sz w:val="16"/>
              </w:rPr>
              <w:t>talos-worker-02 · 8112</w:t>
            </w:r>
          </w:p>
        </w:tc>
        <w:tc>
          <w:tcPr>
            <w:tcW w:type="dxa" w:w="1512"/>
            <w:vAlign w:val="center"/>
          </w:tcPr>
          <w:p>
            <w:pPr>
              <w:spacing w:before="0" w:after="0" w:line="240" w:lineRule="auto"/>
            </w:pPr>
            <w:r/>
            <w:r>
              <w:rPr>
                <w:rFonts w:ascii="Aptos" w:hAnsi="Aptos"/>
                <w:b w:val="0"/>
                <w:color w:val="222222"/>
                <w:sz w:val="16"/>
              </w:rPr>
              <w:t>Worker</w:t>
            </w:r>
          </w:p>
        </w:tc>
        <w:tc>
          <w:tcPr>
            <w:tcW w:type="dxa" w:w="2448"/>
            <w:vAlign w:val="center"/>
          </w:tcPr>
          <w:p>
            <w:pPr>
              <w:spacing w:before="0" w:after="0" w:line="240" w:lineRule="auto"/>
            </w:pPr>
            <w:r/>
            <w:r>
              <w:rPr>
                <w:rFonts w:ascii="Aptos" w:hAnsi="Aptos"/>
                <w:b w:val="0"/>
                <w:color w:val="222222"/>
                <w:sz w:val="16"/>
              </w:rPr>
              <w:t>2 cores · 3 GiB RAM</w:t>
              <w:br/>
              <w:t>64 GiB disk</w:t>
            </w:r>
          </w:p>
        </w:tc>
        <w:tc>
          <w:tcPr>
            <w:tcW w:type="dxa" w:w="3485"/>
            <w:vAlign w:val="center"/>
          </w:tcPr>
          <w:p>
            <w:pPr>
              <w:spacing w:before="0" w:after="0" w:line="240" w:lineRule="auto"/>
            </w:pPr>
            <w:r/>
            <w:r>
              <w:rPr>
                <w:rFonts w:ascii="Aptos" w:hAnsi="Aptos"/>
                <w:b w:val="0"/>
                <w:color w:val="222222"/>
                <w:sz w:val="16"/>
              </w:rPr>
              <w:t>192.168.80.105</w:t>
              <w:br/>
              <w:t>02:80:00:00:02:02</w:t>
            </w:r>
          </w:p>
        </w:tc>
      </w:tr>
    </w:tbl>
    <w:p>
      <w:pPr>
        <w:spacing w:after="0"/>
      </w:pPr>
    </w:p>
    <w:p>
      <w:pPr>
        <w:spacing w:after="140"/>
      </w:pPr>
      <w:r>
        <w:t>The example pins Talos image v1.13.10. VM firmware is OVMF with q35 hardware and a 4 MiB EFI disk. The Kubernetes API virtual IP is 192.168.80.200; it is a shared cluster address, not a sixth VM. Because all five VMs share pve01, this design supports recovery from an individual VM failure but not failure of the physical Proxmox host.</w:t>
      </w:r>
    </w:p>
    <w:p>
      <w:pPr>
        <w:pStyle w:val="Heading2"/>
        <w:keepNext/>
      </w:pPr>
      <w:r>
        <w:t>Optional media container profiles</w:t>
      </w:r>
    </w:p>
    <w:p>
      <w:pPr>
        <w:spacing w:after="80"/>
      </w:pPr>
      <w:r>
        <w:t>The repository also supplies profiles for these applications. They are optional starting points and are not part of the standard Jenkins bootstrap or the eleven managed operator workflows. Media mounts and optional GPU access need separate host-specific configuration.</w:t>
      </w:r>
    </w:p>
    <w:tbl>
      <w:tblPr>
        <w:tblStyle w:val="TableGrid"/>
        <w:tblW w:type="auto" w:w="0"/>
        <w:jc w:val="center"/>
        <w:tblLayout w:type="fixed"/>
        <w:tblLook w:firstColumn="1" w:firstRow="1" w:lastColumn="0" w:lastRow="0" w:noHBand="0" w:noVBand="1" w:val="04A0"/>
      </w:tblPr>
      <w:tblGrid>
        <w:gridCol w:w="1656"/>
        <w:gridCol w:w="1944"/>
        <w:gridCol w:w="1368"/>
        <w:gridCol w:w="1037"/>
        <w:gridCol w:w="3672"/>
      </w:tblGrid>
      <w:tr>
        <w:trPr>
          <w:tblHeader w:val="true"/>
        </w:trPr>
        <w:tc>
          <w:tcPr>
            <w:tcW w:type="dxa" w:w="1656"/>
            <w:shd w:fill="18344F"/>
            <w:vAlign w:val="center"/>
          </w:tcPr>
          <w:p>
            <w:pPr>
              <w:spacing w:before="0" w:after="0" w:line="240" w:lineRule="auto"/>
            </w:pPr>
            <w:r/>
            <w:r>
              <w:rPr>
                <w:rFonts w:ascii="Aptos" w:hAnsi="Aptos"/>
                <w:b/>
                <w:color w:val="FFFFFF"/>
                <w:sz w:val="16"/>
              </w:rPr>
              <w:t>Server and ID</w:t>
            </w:r>
          </w:p>
        </w:tc>
        <w:tc>
          <w:tcPr>
            <w:tcW w:type="dxa" w:w="1944"/>
            <w:shd w:fill="18344F"/>
            <w:vAlign w:val="center"/>
          </w:tcPr>
          <w:p>
            <w:pPr>
              <w:spacing w:before="0" w:after="0" w:line="240" w:lineRule="auto"/>
            </w:pPr>
            <w:r/>
            <w:r>
              <w:rPr>
                <w:rFonts w:ascii="Aptos" w:hAnsi="Aptos"/>
                <w:b/>
                <w:color w:val="FFFFFF"/>
                <w:sz w:val="16"/>
              </w:rPr>
              <w:t>Operating system</w:t>
            </w:r>
          </w:p>
        </w:tc>
        <w:tc>
          <w:tcPr>
            <w:tcW w:type="dxa" w:w="1368"/>
            <w:shd w:fill="18344F"/>
            <w:vAlign w:val="center"/>
          </w:tcPr>
          <w:p>
            <w:pPr>
              <w:spacing w:before="0" w:after="0" w:line="240" w:lineRule="auto"/>
            </w:pPr>
            <w:r/>
            <w:r>
              <w:rPr>
                <w:rFonts w:ascii="Aptos" w:hAnsi="Aptos"/>
                <w:b/>
                <w:color w:val="FFFFFF"/>
                <w:sz w:val="16"/>
              </w:rPr>
              <w:t>CPU and memory</w:t>
            </w:r>
          </w:p>
        </w:tc>
        <w:tc>
          <w:tcPr>
            <w:tcW w:type="dxa" w:w="1037"/>
            <w:shd w:fill="18344F"/>
            <w:vAlign w:val="center"/>
          </w:tcPr>
          <w:p>
            <w:pPr>
              <w:spacing w:before="0" w:after="0" w:line="240" w:lineRule="auto"/>
            </w:pPr>
            <w:r/>
            <w:r>
              <w:rPr>
                <w:rFonts w:ascii="Aptos" w:hAnsi="Aptos"/>
                <w:b/>
                <w:color w:val="FFFFFF"/>
                <w:sz w:val="16"/>
              </w:rPr>
              <w:t>System disk</w:t>
            </w:r>
          </w:p>
        </w:tc>
        <w:tc>
          <w:tcPr>
            <w:tcW w:type="dxa" w:w="3672"/>
            <w:shd w:fill="18344F"/>
            <w:vAlign w:val="center"/>
          </w:tcPr>
          <w:p>
            <w:pPr>
              <w:spacing w:before="0" w:after="0" w:line="240" w:lineRule="auto"/>
            </w:pPr>
            <w:r/>
            <w:r>
              <w:rPr>
                <w:rFonts w:ascii="Aptos" w:hAnsi="Aptos"/>
                <w:b/>
                <w:color w:val="FFFFFF"/>
                <w:sz w:val="16"/>
              </w:rPr>
              <w:t>Network and purpose</w:t>
            </w:r>
          </w:p>
        </w:tc>
      </w:tr>
      <w:tr>
        <w:trPr>
          <w:cantSplit/>
        </w:trPr>
        <w:tc>
          <w:tcPr>
            <w:tcW w:type="dxa" w:w="1656"/>
            <w:vAlign w:val="center"/>
          </w:tcPr>
          <w:p>
            <w:pPr>
              <w:spacing w:before="0" w:after="0" w:line="240" w:lineRule="auto"/>
            </w:pPr>
            <w:r/>
            <w:r>
              <w:rPr>
                <w:rFonts w:ascii="Aptos" w:hAnsi="Aptos"/>
                <w:b w:val="0"/>
                <w:color w:val="222222"/>
                <w:sz w:val="16"/>
              </w:rPr>
              <w:t>plex · CT 160</w:t>
            </w:r>
          </w:p>
        </w:tc>
        <w:tc>
          <w:tcPr>
            <w:tcW w:type="dxa" w:w="1944"/>
            <w:vAlign w:val="center"/>
          </w:tcPr>
          <w:p>
            <w:pPr>
              <w:spacing w:before="0" w:after="0" w:line="240" w:lineRule="auto"/>
            </w:pPr>
            <w:r/>
            <w:r>
              <w:rPr>
                <w:rFonts w:ascii="Aptos" w:hAnsi="Aptos"/>
                <w:b w:val="0"/>
                <w:color w:val="222222"/>
                <w:sz w:val="16"/>
              </w:rPr>
              <w:t>Ubuntu 24.04</w:t>
            </w:r>
          </w:p>
        </w:tc>
        <w:tc>
          <w:tcPr>
            <w:tcW w:type="dxa" w:w="1368"/>
            <w:vAlign w:val="center"/>
          </w:tcPr>
          <w:p>
            <w:pPr>
              <w:spacing w:before="0" w:after="0" w:line="240" w:lineRule="auto"/>
            </w:pPr>
            <w:r/>
            <w:r>
              <w:rPr>
                <w:rFonts w:ascii="Aptos" w:hAnsi="Aptos"/>
                <w:b w:val="0"/>
                <w:color w:val="222222"/>
                <w:sz w:val="16"/>
              </w:rPr>
              <w:t>2 cores · 2 GiB</w:t>
            </w:r>
          </w:p>
        </w:tc>
        <w:tc>
          <w:tcPr>
            <w:tcW w:type="dxa" w:w="1037"/>
            <w:vAlign w:val="center"/>
          </w:tcPr>
          <w:p>
            <w:pPr>
              <w:spacing w:before="0" w:after="0" w:line="240" w:lineRule="auto"/>
            </w:pPr>
            <w:r/>
            <w:r>
              <w:rPr>
                <w:rFonts w:ascii="Aptos" w:hAnsi="Aptos"/>
                <w:b w:val="0"/>
                <w:color w:val="222222"/>
                <w:sz w:val="16"/>
              </w:rPr>
              <w:t>8 GiB</w:t>
            </w:r>
          </w:p>
        </w:tc>
        <w:tc>
          <w:tcPr>
            <w:tcW w:type="dxa" w:w="3672"/>
            <w:vAlign w:val="center"/>
          </w:tcPr>
          <w:p>
            <w:pPr>
              <w:spacing w:before="0" w:after="0" w:line="240" w:lineRule="auto"/>
            </w:pPr>
            <w:r/>
            <w:r>
              <w:rPr>
                <w:rFonts w:ascii="Aptos" w:hAnsi="Aptos"/>
                <w:b w:val="0"/>
                <w:color w:val="222222"/>
                <w:sz w:val="16"/>
              </w:rPr>
              <w:t>VLAN 30 · 192.168.30.20 · MAC 02:00:00:00:01:60</w:t>
              <w:br/>
              <w:t>Plex media server profile.</w:t>
            </w:r>
          </w:p>
        </w:tc>
      </w:tr>
      <w:tr>
        <w:trPr>
          <w:cantSplit/>
        </w:trPr>
        <w:tc>
          <w:tcPr>
            <w:tcW w:type="dxa" w:w="1656"/>
            <w:shd w:fill="EDF3F7"/>
            <w:vAlign w:val="center"/>
          </w:tcPr>
          <w:p>
            <w:pPr>
              <w:spacing w:before="0" w:after="0" w:line="240" w:lineRule="auto"/>
            </w:pPr>
            <w:r/>
            <w:r>
              <w:rPr>
                <w:rFonts w:ascii="Aptos" w:hAnsi="Aptos"/>
                <w:b w:val="0"/>
                <w:color w:val="222222"/>
                <w:sz w:val="16"/>
              </w:rPr>
              <w:t>jellyfin · CT 161</w:t>
            </w:r>
          </w:p>
        </w:tc>
        <w:tc>
          <w:tcPr>
            <w:tcW w:type="dxa" w:w="1944"/>
            <w:shd w:fill="EDF3F7"/>
            <w:vAlign w:val="center"/>
          </w:tcPr>
          <w:p>
            <w:pPr>
              <w:spacing w:before="0" w:after="0" w:line="240" w:lineRule="auto"/>
            </w:pPr>
            <w:r/>
            <w:r>
              <w:rPr>
                <w:rFonts w:ascii="Aptos" w:hAnsi="Aptos"/>
                <w:b w:val="0"/>
                <w:color w:val="222222"/>
                <w:sz w:val="16"/>
              </w:rPr>
              <w:t>Ubuntu 24.04</w:t>
            </w:r>
          </w:p>
        </w:tc>
        <w:tc>
          <w:tcPr>
            <w:tcW w:type="dxa" w:w="1368"/>
            <w:shd w:fill="EDF3F7"/>
            <w:vAlign w:val="center"/>
          </w:tcPr>
          <w:p>
            <w:pPr>
              <w:spacing w:before="0" w:after="0" w:line="240" w:lineRule="auto"/>
            </w:pPr>
            <w:r/>
            <w:r>
              <w:rPr>
                <w:rFonts w:ascii="Aptos" w:hAnsi="Aptos"/>
                <w:b w:val="0"/>
                <w:color w:val="222222"/>
                <w:sz w:val="16"/>
              </w:rPr>
              <w:t>2 cores · 2 GiB</w:t>
            </w:r>
          </w:p>
        </w:tc>
        <w:tc>
          <w:tcPr>
            <w:tcW w:type="dxa" w:w="1037"/>
            <w:shd w:fill="EDF3F7"/>
            <w:vAlign w:val="center"/>
          </w:tcPr>
          <w:p>
            <w:pPr>
              <w:spacing w:before="0" w:after="0" w:line="240" w:lineRule="auto"/>
            </w:pPr>
            <w:r/>
            <w:r>
              <w:rPr>
                <w:rFonts w:ascii="Aptos" w:hAnsi="Aptos"/>
                <w:b w:val="0"/>
                <w:color w:val="222222"/>
                <w:sz w:val="16"/>
              </w:rPr>
              <w:t>16 GiB</w:t>
            </w:r>
          </w:p>
        </w:tc>
        <w:tc>
          <w:tcPr>
            <w:tcW w:type="dxa" w:w="3672"/>
            <w:shd w:fill="EDF3F7"/>
            <w:vAlign w:val="center"/>
          </w:tcPr>
          <w:p>
            <w:pPr>
              <w:spacing w:before="0" w:after="0" w:line="240" w:lineRule="auto"/>
            </w:pPr>
            <w:r/>
            <w:r>
              <w:rPr>
                <w:rFonts w:ascii="Aptos" w:hAnsi="Aptos"/>
                <w:b w:val="0"/>
                <w:color w:val="222222"/>
                <w:sz w:val="16"/>
              </w:rPr>
              <w:t>VLAN 30 · 192.168.30.21 · MAC 02:00:00:00:01:61</w:t>
              <w:br/>
              <w:t>Jellyfin media server profile.</w:t>
            </w:r>
          </w:p>
        </w:tc>
      </w:tr>
      <w:tr>
        <w:trPr>
          <w:cantSplit/>
        </w:trPr>
        <w:tc>
          <w:tcPr>
            <w:tcW w:type="dxa" w:w="1656"/>
            <w:vAlign w:val="center"/>
          </w:tcPr>
          <w:p>
            <w:pPr>
              <w:spacing w:before="0" w:after="0" w:line="240" w:lineRule="auto"/>
            </w:pPr>
            <w:r/>
            <w:r>
              <w:rPr>
                <w:rFonts w:ascii="Aptos" w:hAnsi="Aptos"/>
                <w:b w:val="0"/>
                <w:color w:val="222222"/>
                <w:sz w:val="16"/>
              </w:rPr>
              <w:t>fileflows · CT 162</w:t>
            </w:r>
          </w:p>
        </w:tc>
        <w:tc>
          <w:tcPr>
            <w:tcW w:type="dxa" w:w="1944"/>
            <w:vAlign w:val="center"/>
          </w:tcPr>
          <w:p>
            <w:pPr>
              <w:spacing w:before="0" w:after="0" w:line="240" w:lineRule="auto"/>
            </w:pPr>
            <w:r/>
            <w:r>
              <w:rPr>
                <w:rFonts w:ascii="Aptos" w:hAnsi="Aptos"/>
                <w:b w:val="0"/>
                <w:color w:val="222222"/>
                <w:sz w:val="16"/>
              </w:rPr>
              <w:t>Debian 13</w:t>
            </w:r>
          </w:p>
        </w:tc>
        <w:tc>
          <w:tcPr>
            <w:tcW w:type="dxa" w:w="1368"/>
            <w:vAlign w:val="center"/>
          </w:tcPr>
          <w:p>
            <w:pPr>
              <w:spacing w:before="0" w:after="0" w:line="240" w:lineRule="auto"/>
            </w:pPr>
            <w:r/>
            <w:r>
              <w:rPr>
                <w:rFonts w:ascii="Aptos" w:hAnsi="Aptos"/>
                <w:b w:val="0"/>
                <w:color w:val="222222"/>
                <w:sz w:val="16"/>
              </w:rPr>
              <w:t>2 cores · 2 GiB</w:t>
            </w:r>
          </w:p>
        </w:tc>
        <w:tc>
          <w:tcPr>
            <w:tcW w:type="dxa" w:w="1037"/>
            <w:vAlign w:val="center"/>
          </w:tcPr>
          <w:p>
            <w:pPr>
              <w:spacing w:before="0" w:after="0" w:line="240" w:lineRule="auto"/>
            </w:pPr>
            <w:r/>
            <w:r>
              <w:rPr>
                <w:rFonts w:ascii="Aptos" w:hAnsi="Aptos"/>
                <w:b w:val="0"/>
                <w:color w:val="222222"/>
                <w:sz w:val="16"/>
              </w:rPr>
              <w:t>8 GiB</w:t>
            </w:r>
          </w:p>
        </w:tc>
        <w:tc>
          <w:tcPr>
            <w:tcW w:type="dxa" w:w="3672"/>
            <w:vAlign w:val="center"/>
          </w:tcPr>
          <w:p>
            <w:pPr>
              <w:spacing w:before="0" w:after="0" w:line="240" w:lineRule="auto"/>
            </w:pPr>
            <w:r/>
            <w:r>
              <w:rPr>
                <w:rFonts w:ascii="Aptos" w:hAnsi="Aptos"/>
                <w:b w:val="0"/>
                <w:color w:val="222222"/>
                <w:sz w:val="16"/>
              </w:rPr>
              <w:t>VLAN 30 · 192.168.30.22 · MAC 02:00:00:00:01:62</w:t>
              <w:br/>
              <w:t>FileFlows media processing profile.</w:t>
            </w:r>
          </w:p>
        </w:tc>
      </w:tr>
    </w:tbl>
    <w:p>
      <w:pPr>
        <w:spacing w:after="0"/>
      </w:pPr>
    </w:p>
    <w:p>
      <w:pPr>
        <w:pStyle w:val="Heading2"/>
        <w:keepNext/>
      </w:pPr>
      <w:r>
        <w:t>Existing integration server</w:t>
      </w:r>
    </w:p>
    <w:p>
      <w:pPr>
        <w:spacing w:after="0"/>
      </w:pPr>
      <w:r>
        <w:t>OpenMediaVault (VMID 22000) is an existing storage service referenced by the project’s workflows. The repository does not provision it, and its CPU, memory, disk, and network settings are not defined by the server profiles listed above.</w:t>
      </w:r>
    </w:p>
    <w:sectPr w:rsidR="00FC693F" w:rsidRPr="0006063C" w:rsidSect="00034616">
      <w:headerReference w:type="default" r:id="rId9"/>
      <w:footerReference w:type="default" r:id="rId10"/>
      <w:pgSz w:w="11909" w:h="16834"/>
      <w:pgMar w:top="835" w:right="1123" w:bottom="792"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26575"/>
        <w:sz w:val="16"/>
      </w:rPr>
      <w:t xml:space="preserve">Business and product overview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26575"/>
        <w:sz w:val="16"/>
      </w:rPr>
      <w:t>HOMELAB JENKINS 3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147D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Homelab Jenkins 3 Project Overview</dc:title>
  <dc:subject>Business and product handoff for analysis and development</dc:subject>
  <dc:creator>Homelab Jenkins 3 Project</dc:creator>
  <cp:keywords>homelab, Jenkins, Proxmox, operations, product overview</cp:keywords>
  <dc:description>generated by python-docx</dc:description>
  <cp:lastModifiedBy/>
  <cp:revision>1</cp:revision>
  <dcterms:created xsi:type="dcterms:W3CDTF">2013-12-23T23:15:00Z</dcterms:created>
  <dcterms:modified xsi:type="dcterms:W3CDTF">2013-12-23T23:15:00Z</dcterms:modified>
  <cp:category/>
</cp:coreProperties>
</file>