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60"/>
        <w:jc w:val="center"/>
      </w:pPr>
      <w:r>
        <w:rPr>
          <w:rFonts w:ascii="Times New Roman" w:hAnsi="Times New Roman"/>
          <w:b/>
          <w:color w:val="0F172A"/>
          <w:sz w:val="36"/>
        </w:rPr>
        <w:t>Comparative Scientific Evaluation Protocol &amp; Scoring Workbook</w:t>
      </w:r>
    </w:p>
    <w:p>
      <w:pPr>
        <w:spacing w:line="360" w:lineRule="auto" w:after="360"/>
        <w:jc w:val="center"/>
      </w:pPr>
      <w:r>
        <w:rPr>
          <w:rFonts w:ascii="Times New Roman" w:hAnsi="Times New Roman"/>
          <w:i/>
          <w:color w:val="334155"/>
          <w:sz w:val="26"/>
        </w:rPr>
        <w:t>Empirical Assessment of Multi-Agent Knowledge Synthesis vs. Conventional RAG vs. Direct Single LLM Calls</w:t>
      </w:r>
    </w:p>
    <w:tbl>
      <w:tblPr>
        <w:tblW w:type="auto" w:w="0"/>
        <w:jc w:val="center"/>
        <w:tblLook w:firstColumn="1" w:firstRow="1" w:lastColumn="0" w:lastRow="0" w:noHBand="0" w:noVBand="1" w:val="04A0"/>
      </w:tblPr>
      <w:tblGrid>
        <w:gridCol w:w="4680"/>
        <w:gridCol w:w="4680"/>
      </w:tblGrid>
      <w:tr>
        <w:tc>
          <w:tcPr>
            <w:tcW w:type="dxa" w:w="3168"/>
            <w:shd w:fill="F1F5F9"/>
            <w:tcMar>
              <w:top w:w="80" w:type="dxa"/>
              <w:bottom w:w="80" w:type="dxa"/>
              <w:left w:w="120" w:type="dxa"/>
              <w:right w:w="120" w:type="dxa"/>
            </w:tcMar>
          </w:tcPr>
          <w:p>
            <w:pPr>
              <w:spacing w:line="360" w:lineRule="auto"/>
            </w:pPr>
            <w:r>
              <w:rPr>
                <w:rFonts w:ascii="Times New Roman" w:hAnsi="Times New Roman"/>
                <w:b/>
                <w:sz w:val="22"/>
              </w:rPr>
              <w:t>Principal Evaluator:</w:t>
            </w:r>
          </w:p>
        </w:tc>
        <w:tc>
          <w:tcPr>
            <w:tcW w:type="dxa" w:w="6192"/>
            <w:shd w:fill="FAFAFA"/>
            <w:tcMar>
              <w:top w:w="80" w:type="dxa"/>
              <w:bottom w:w="80" w:type="dxa"/>
              <w:left w:w="120" w:type="dxa"/>
              <w:right w:w="120" w:type="dxa"/>
            </w:tcMar>
          </w:tcPr>
          <w:p>
            <w:pPr>
              <w:spacing w:line="360" w:lineRule="auto"/>
            </w:pPr>
            <w:r>
              <w:rPr>
                <w:rFonts w:ascii="Times New Roman" w:hAnsi="Times New Roman"/>
                <w:sz w:val="22"/>
              </w:rPr>
              <w:t>[Enter Researcher / Evaluator Name]</w:t>
            </w:r>
          </w:p>
        </w:tc>
      </w:tr>
      <w:tr>
        <w:tc>
          <w:tcPr>
            <w:tcW w:type="dxa" w:w="3168"/>
            <w:shd w:fill="F1F5F9"/>
            <w:tcMar>
              <w:top w:w="80" w:type="dxa"/>
              <w:bottom w:w="80" w:type="dxa"/>
              <w:left w:w="120" w:type="dxa"/>
              <w:right w:w="120" w:type="dxa"/>
            </w:tcMar>
          </w:tcPr>
          <w:p>
            <w:pPr>
              <w:spacing w:line="360" w:lineRule="auto"/>
            </w:pPr>
            <w:r>
              <w:rPr>
                <w:rFonts w:ascii="Times New Roman" w:hAnsi="Times New Roman"/>
                <w:b/>
                <w:sz w:val="22"/>
              </w:rPr>
              <w:t>Institutional Affiliation:</w:t>
            </w:r>
          </w:p>
        </w:tc>
        <w:tc>
          <w:tcPr>
            <w:tcW w:type="dxa" w:w="6192"/>
            <w:shd w:fill="FAFAFA"/>
            <w:tcMar>
              <w:top w:w="80" w:type="dxa"/>
              <w:bottom w:w="80" w:type="dxa"/>
              <w:left w:w="120" w:type="dxa"/>
              <w:right w:w="120" w:type="dxa"/>
            </w:tcMar>
          </w:tcPr>
          <w:p>
            <w:pPr>
              <w:spacing w:line="360" w:lineRule="auto"/>
            </w:pPr>
            <w:r>
              <w:rPr>
                <w:rFonts w:ascii="Times New Roman" w:hAnsi="Times New Roman"/>
                <w:sz w:val="22"/>
              </w:rPr>
              <w:t>[Enter Department / Laboratory / Organization]</w:t>
            </w:r>
          </w:p>
        </w:tc>
      </w:tr>
      <w:tr>
        <w:tc>
          <w:tcPr>
            <w:tcW w:type="dxa" w:w="3168"/>
            <w:shd w:fill="F1F5F9"/>
            <w:tcMar>
              <w:top w:w="80" w:type="dxa"/>
              <w:bottom w:w="80" w:type="dxa"/>
              <w:left w:w="120" w:type="dxa"/>
              <w:right w:w="120" w:type="dxa"/>
            </w:tcMar>
          </w:tcPr>
          <w:p>
            <w:pPr>
              <w:spacing w:line="360" w:lineRule="auto"/>
            </w:pPr>
            <w:r>
              <w:rPr>
                <w:rFonts w:ascii="Times New Roman" w:hAnsi="Times New Roman"/>
                <w:b/>
                <w:sz w:val="22"/>
              </w:rPr>
              <w:t>Evaluation Date Range:</w:t>
            </w:r>
          </w:p>
        </w:tc>
        <w:tc>
          <w:tcPr>
            <w:tcW w:type="dxa" w:w="6192"/>
            <w:shd w:fill="FAFAFA"/>
            <w:tcMar>
              <w:top w:w="80" w:type="dxa"/>
              <w:bottom w:w="80" w:type="dxa"/>
              <w:left w:w="120" w:type="dxa"/>
              <w:right w:w="120" w:type="dxa"/>
            </w:tcMar>
          </w:tcPr>
          <w:p>
            <w:pPr>
              <w:spacing w:line="360" w:lineRule="auto"/>
            </w:pPr>
            <w:r>
              <w:rPr>
                <w:rFonts w:ascii="Times New Roman" w:hAnsi="Times New Roman"/>
                <w:sz w:val="22"/>
              </w:rPr>
              <w:t>[Enter Evaluation Dates, e.g. October 2026]</w:t>
            </w:r>
          </w:p>
        </w:tc>
      </w:tr>
      <w:tr>
        <w:tc>
          <w:tcPr>
            <w:tcW w:type="dxa" w:w="3168"/>
            <w:shd w:fill="F1F5F9"/>
            <w:tcMar>
              <w:top w:w="80" w:type="dxa"/>
              <w:bottom w:w="80" w:type="dxa"/>
              <w:left w:w="120" w:type="dxa"/>
              <w:right w:w="120" w:type="dxa"/>
            </w:tcMar>
          </w:tcPr>
          <w:p>
            <w:pPr>
              <w:spacing w:line="360" w:lineRule="auto"/>
            </w:pPr>
            <w:r>
              <w:rPr>
                <w:rFonts w:ascii="Times New Roman" w:hAnsi="Times New Roman"/>
                <w:b/>
                <w:sz w:val="22"/>
              </w:rPr>
              <w:t>Supported Frontier Models:</w:t>
            </w:r>
          </w:p>
        </w:tc>
        <w:tc>
          <w:tcPr>
            <w:tcW w:type="dxa" w:w="6192"/>
            <w:shd w:fill="FAFAFA"/>
            <w:tcMar>
              <w:top w:w="80" w:type="dxa"/>
              <w:bottom w:w="80" w:type="dxa"/>
              <w:left w:w="120" w:type="dxa"/>
              <w:right w:w="120" w:type="dxa"/>
            </w:tcMar>
          </w:tcPr>
          <w:p>
            <w:pPr>
              <w:spacing w:line="360" w:lineRule="auto"/>
            </w:pPr>
            <w:r>
              <w:rPr>
                <w:rFonts w:ascii="Times New Roman" w:hAnsi="Times New Roman"/>
                <w:sz w:val="22"/>
              </w:rPr>
              <w:t>OpenAI (GPT-6.1 Sol, GPT-6 Astra, GPT-6 Luna, GPT-5.5, GPT-5.4), Anthropic (Claude Opus 5.5, Sonnet 5.5, Haiku), Gemini (3.8 Flash, 3.1 Pro)</w:t>
            </w:r>
          </w:p>
        </w:tc>
      </w:tr>
    </w:tbl>
    <w:p>
      <w:pPr>
        <w:spacing w:line="360" w:lineRule="auto" w:after="240"/>
        <w:jc w:val="left"/>
      </w:pPr>
    </w:p>
    <w:p>
      <w:pPr>
        <w:spacing w:line="360" w:lineRule="auto" w:after="160"/>
      </w:pPr>
      <w:r>
        <w:rPr>
          <w:rFonts w:ascii="Times New Roman" w:hAnsi="Times New Roman"/>
          <w:b/>
          <w:sz w:val="28"/>
        </w:rPr>
        <w:t>1. Executive Protocol &amp; Experimental Methodology</w:t>
      </w:r>
    </w:p>
    <w:p>
      <w:pPr>
        <w:spacing w:line="360" w:lineRule="auto" w:after="120"/>
        <w:jc w:val="left"/>
      </w:pPr>
      <w:r>
        <w:rPr>
          <w:rFonts w:ascii="Times New Roman" w:hAnsi="Times New Roman"/>
          <w:b w:val="0"/>
          <w:i w:val="0"/>
          <w:sz w:val="24"/>
        </w:rPr>
        <w:t>The primary purpose of this investigation is to provide rigorous empirical evidence regarding the architectural trade-offs in automated scientific literature synthesis across frontier model tiers (OpenAI GPT-6/GPT-5, Anthropic Claude, and Google Gemini). Recent research in generative AI has revealed severe limitations in naive language model generation, including high hallucination frequencies of scientific citations, superficial narrative summaries lacking mathematical and physical precision, and an inability to reconcile contradictory empirical findings. This benchmark systematically contrasts three distinct architectural paradigms across five standardized academic inquiries.</w:t>
      </w:r>
    </w:p>
    <w:p>
      <w:pPr>
        <w:spacing w:line="360" w:lineRule="auto" w:after="120"/>
        <w:jc w:val="left"/>
      </w:pPr>
      <w:r>
        <w:rPr>
          <w:rFonts w:ascii="Times New Roman" w:hAnsi="Times New Roman"/>
          <w:b w:val="0"/>
          <w:i w:val="0"/>
          <w:sz w:val="24"/>
        </w:rPr>
        <w:t>To eliminate confounding variables and ensure strict methodological fairness across model providers, the following experimental controls are enforced:</w:t>
      </w:r>
    </w:p>
    <w:p>
      <w:pPr>
        <w:pStyle w:val="ListBullet"/>
        <w:spacing w:line="360" w:lineRule="auto" w:after="80"/>
      </w:pPr>
      <w:r>
        <w:rPr>
          <w:rFonts w:ascii="Times New Roman" w:hAnsi="Times New Roman"/>
          <w:b/>
          <w:sz w:val="24"/>
        </w:rPr>
        <w:t xml:space="preserve">Identical System Directives: </w:t>
      </w:r>
      <w:r>
        <w:rPr>
          <w:rFonts w:ascii="Times New Roman" w:hAnsi="Times New Roman"/>
          <w:sz w:val="24"/>
        </w:rPr>
        <w:t>All three architectures operate under the identical 'Principal Academic Research Scientist' system instruction, prohibiting academic platitudes, enforcing LaTeX mathematical notation ($...$ and $$...$$), and requiring explicit empirical metrics with physical units.</w:t>
      </w:r>
    </w:p>
    <w:p>
      <w:pPr>
        <w:pStyle w:val="ListBullet"/>
        <w:spacing w:line="360" w:lineRule="auto" w:after="80"/>
      </w:pPr>
      <w:r>
        <w:rPr>
          <w:rFonts w:ascii="Times New Roman" w:hAnsi="Times New Roman"/>
          <w:b/>
          <w:sz w:val="24"/>
        </w:rPr>
        <w:t xml:space="preserve">Matched Model Parameters &amp; Provider Parity: </w:t>
      </w:r>
      <w:r>
        <w:rPr>
          <w:rFonts w:ascii="Times New Roman" w:hAnsi="Times New Roman"/>
          <w:sz w:val="24"/>
        </w:rPr>
        <w:t>Every test run employs the identical model family and decoding temperature (T = 0.2). Token ceilings are standardized across providers: OpenAI GPT-6.1 Sol / GPT-6 Astra (8,192 tokens), Claude Sonnet 5.5 (8,192 tokens), and Claude Opus 5.5 (4,096 tokens).</w:t>
      </w:r>
    </w:p>
    <w:p>
      <w:pPr>
        <w:pStyle w:val="ListBullet"/>
        <w:spacing w:line="360" w:lineRule="auto" w:after="80"/>
      </w:pPr>
      <w:r>
        <w:rPr>
          <w:rFonts w:ascii="Times New Roman" w:hAnsi="Times New Roman"/>
          <w:b/>
          <w:sz w:val="24"/>
        </w:rPr>
        <w:t xml:space="preserve">Independent API Authentication: </w:t>
      </w:r>
      <w:r>
        <w:rPr>
          <w:rFonts w:ascii="Times New Roman" w:hAnsi="Times New Roman"/>
          <w:sz w:val="24"/>
        </w:rPr>
        <w:t>Evaluators may configure distinct API keys per system across OpenAI (sk-...), Anthropic (sk-ant-...), and Google Gemini to isolate rate-limiting and billing telemetry.</w:t>
      </w:r>
    </w:p>
    <w:p>
      <w:pPr>
        <w:pStyle w:val="ListBullet"/>
        <w:spacing w:line="360" w:lineRule="auto" w:after="80"/>
      </w:pPr>
      <w:r>
        <w:rPr>
          <w:rFonts w:ascii="Times New Roman" w:hAnsi="Times New Roman"/>
          <w:b/>
          <w:sz w:val="24"/>
        </w:rPr>
        <w:t xml:space="preserve">Identical Corpus Ingestion: </w:t>
      </w:r>
      <w:r>
        <w:rPr>
          <w:rFonts w:ascii="Times New Roman" w:hAnsi="Times New Roman"/>
          <w:sz w:val="24"/>
        </w:rPr>
        <w:t>System A (ResearchWorkbench) and System B (Conventional RAG) ingest literature from the same authentic academic repositories (arXiv, PubMed, Europe PMC, CrossRef, OpenAlex, Semantic Scholar), eliminating retrieval corpus disparity.</w:t>
      </w:r>
    </w:p>
    <w:p>
      <w:pPr>
        <w:spacing w:line="360" w:lineRule="auto" w:after="160"/>
        <w:jc w:val="left"/>
      </w:pPr>
    </w:p>
    <w:p>
      <w:pPr>
        <w:spacing w:line="360" w:lineRule="auto" w:after="160"/>
      </w:pPr>
      <w:r>
        <w:rPr>
          <w:rFonts w:ascii="Times New Roman" w:hAnsi="Times New Roman"/>
          <w:b/>
          <w:sz w:val="28"/>
        </w:rPr>
        <w:t>2. Detailed Architectural Specifications</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100" w:type="dxa"/>
              <w:bottom w:w="100" w:type="dxa"/>
              <w:left w:w="120" w:type="dxa"/>
              <w:right w:w="120" w:type="dxa"/>
            </w:tcMar>
          </w:tcPr>
          <w:p>
            <w:pPr>
              <w:spacing w:line="360" w:lineRule="auto"/>
            </w:pPr>
            <w:r>
              <w:rPr>
                <w:rFonts w:ascii="Times New Roman" w:hAnsi="Times New Roman"/>
                <w:b/>
                <w:color w:val="FFFFFF"/>
                <w:sz w:val="22"/>
              </w:rPr>
              <w:t>System Architecture</w:t>
            </w:r>
          </w:p>
        </w:tc>
        <w:tc>
          <w:tcPr>
            <w:tcW w:type="dxa" w:w="3120"/>
            <w:shd w:fill="0F172A"/>
            <w:tcMar>
              <w:top w:w="100" w:type="dxa"/>
              <w:bottom w:w="100" w:type="dxa"/>
              <w:left w:w="120" w:type="dxa"/>
              <w:right w:w="120" w:type="dxa"/>
            </w:tcMar>
          </w:tcPr>
          <w:p>
            <w:pPr>
              <w:spacing w:line="360" w:lineRule="auto"/>
            </w:pPr>
            <w:r>
              <w:rPr>
                <w:rFonts w:ascii="Times New Roman" w:hAnsi="Times New Roman"/>
                <w:b/>
                <w:color w:val="FFFFFF"/>
                <w:sz w:val="22"/>
              </w:rPr>
              <w:t>Operational Pipeline &amp; Mechanics</w:t>
            </w:r>
          </w:p>
        </w:tc>
        <w:tc>
          <w:tcPr>
            <w:tcW w:type="dxa" w:w="3120"/>
            <w:shd w:fill="0F172A"/>
            <w:tcMar>
              <w:top w:w="100" w:type="dxa"/>
              <w:bottom w:w="100" w:type="dxa"/>
              <w:left w:w="120" w:type="dxa"/>
              <w:right w:w="120" w:type="dxa"/>
            </w:tcMar>
          </w:tcPr>
          <w:p>
            <w:pPr>
              <w:spacing w:line="360" w:lineRule="auto"/>
            </w:pPr>
            <w:r>
              <w:rPr>
                <w:rFonts w:ascii="Times New Roman" w:hAnsi="Times New Roman"/>
                <w:b/>
                <w:color w:val="FFFFFF"/>
                <w:sz w:val="22"/>
              </w:rPr>
              <w:t>Epistemic Grounding Mechanism</w:t>
            </w:r>
          </w:p>
        </w:tc>
      </w:tr>
      <w:tr>
        <w:tc>
          <w:tcPr>
            <w:tcW w:type="dxa" w:w="3120"/>
            <w:shd w:fill="F8FAFC"/>
            <w:tcMar>
              <w:top w:w="100" w:type="dxa"/>
              <w:bottom w:w="100" w:type="dxa"/>
              <w:left w:w="120" w:type="dxa"/>
              <w:right w:w="120" w:type="dxa"/>
            </w:tcMar>
          </w:tcPr>
          <w:p>
            <w:pPr>
              <w:spacing w:line="360" w:lineRule="auto"/>
            </w:pPr>
            <w:r>
              <w:rPr>
                <w:rFonts w:ascii="Times New Roman" w:hAnsi="Times New Roman"/>
                <w:b/>
                <w:sz w:val="22"/>
              </w:rPr>
              <w:t>System A:</w:t>
              <w:br/>
              <w:t>ResearchWorkbench</w:t>
              <w:br/>
              <w:t>(Multi-Agent)</w:t>
            </w:r>
          </w:p>
        </w:tc>
        <w:tc>
          <w:tcPr>
            <w:tcW w:type="dxa" w:w="3120"/>
            <w:shd w:fill="F8FAFC"/>
            <w:tcMar>
              <w:top w:w="100" w:type="dxa"/>
              <w:bottom w:w="100" w:type="dxa"/>
              <w:left w:w="120" w:type="dxa"/>
              <w:right w:w="120" w:type="dxa"/>
            </w:tcMar>
          </w:tcPr>
          <w:p>
            <w:pPr>
              <w:spacing w:line="360" w:lineRule="auto"/>
            </w:pPr>
            <w:r>
              <w:rPr>
                <w:rFonts w:ascii="Times New Roman" w:hAnsi="Times New Roman"/>
                <w:sz w:val="22"/>
              </w:rPr>
              <w:t>Sequential 4-Agent Pipeline:</w:t>
              <w:br/>
              <w:t>1. Agent 1: Real-time academic API scraping.</w:t>
              <w:br/>
              <w:t>2. Agent 2: Entity-dense monograph drafting with explicit &lt;claim id="c#"&gt; anchors (GPT-6.1 Sol / Claude Sonnet).</w:t>
              <w:br/>
              <w:t>3. Agent 3: FastEmbed ONNX BAAI/bge-small-en-v1.5 embeddings &amp; Maximal Marginal Relevance (MMR) distillation.</w:t>
              <w:br/>
              <w:t>4. Agent 4: Claim-level cross-verification &amp; synthesis (lightweight verifier tier: GPT-6 Luna / Gemini Flash).</w:t>
            </w:r>
          </w:p>
        </w:tc>
        <w:tc>
          <w:tcPr>
            <w:tcW w:type="dxa" w:w="3120"/>
            <w:shd w:fill="F8FAFC"/>
            <w:tcMar>
              <w:top w:w="100" w:type="dxa"/>
              <w:bottom w:w="100" w:type="dxa"/>
              <w:left w:w="120" w:type="dxa"/>
              <w:right w:w="120" w:type="dxa"/>
            </w:tcMar>
          </w:tcPr>
          <w:p>
            <w:pPr>
              <w:spacing w:line="360" w:lineRule="auto"/>
            </w:pPr>
            <w:r>
              <w:rPr>
                <w:rFonts w:ascii="Times New Roman" w:hAnsi="Times New Roman"/>
                <w:sz w:val="22"/>
              </w:rPr>
              <w:t>Deterministic 2-tier claim cache, verified citation graph construction, and calculated Epistemic Confidence Score (%) based on empirical sentence matching.</w:t>
            </w:r>
          </w:p>
        </w:tc>
      </w:tr>
      <w:tr>
        <w:tc>
          <w:tcPr>
            <w:tcW w:type="dxa" w:w="3120"/>
            <w:shd w:fill="FFFFFF"/>
            <w:tcMar>
              <w:top w:w="100" w:type="dxa"/>
              <w:bottom w:w="100" w:type="dxa"/>
              <w:left w:w="120" w:type="dxa"/>
              <w:right w:w="120" w:type="dxa"/>
            </w:tcMar>
          </w:tcPr>
          <w:p>
            <w:pPr>
              <w:spacing w:line="360" w:lineRule="auto"/>
            </w:pPr>
            <w:r>
              <w:rPr>
                <w:rFonts w:ascii="Times New Roman" w:hAnsi="Times New Roman"/>
                <w:b/>
                <w:sz w:val="22"/>
              </w:rPr>
              <w:t>System B:</w:t>
              <w:br/>
              <w:t>Conventional RAG</w:t>
              <w:br/>
              <w:t>(Single-Call Vector)</w:t>
            </w:r>
          </w:p>
        </w:tc>
        <w:tc>
          <w:tcPr>
            <w:tcW w:type="dxa" w:w="3120"/>
            <w:shd w:fill="FFFFFF"/>
            <w:tcMar>
              <w:top w:w="100" w:type="dxa"/>
              <w:bottom w:w="100" w:type="dxa"/>
              <w:left w:w="120" w:type="dxa"/>
              <w:right w:w="120" w:type="dxa"/>
            </w:tcMar>
          </w:tcPr>
          <w:p>
            <w:pPr>
              <w:spacing w:line="360" w:lineRule="auto"/>
            </w:pPr>
            <w:r>
              <w:rPr>
                <w:rFonts w:ascii="Times New Roman" w:hAnsi="Times New Roman"/>
                <w:sz w:val="22"/>
              </w:rPr>
              <w:t>Standard Industry Retrieval-Augmented Generation:</w:t>
              <w:br/>
              <w:t>1. Scrapes academic papers for query.</w:t>
              <w:br/>
              <w:t>2. Chunks passages into discrete text blocks.</w:t>
              <w:br/>
              <w:t>3. Computes dense vector embeddings using local ONNX model.</w:t>
              <w:br/>
              <w:t>4. Ranks chunks via cosine similarity and selects Top-K (K=5).</w:t>
              <w:br/>
              <w:t>5. Injects Top-K chunks into a single augmented prompt.</w:t>
            </w:r>
          </w:p>
        </w:tc>
        <w:tc>
          <w:tcPr>
            <w:tcW w:type="dxa" w:w="3120"/>
            <w:shd w:fill="FFFFFF"/>
            <w:tcMar>
              <w:top w:w="100" w:type="dxa"/>
              <w:bottom w:w="100" w:type="dxa"/>
              <w:left w:w="120" w:type="dxa"/>
              <w:right w:w="120" w:type="dxa"/>
            </w:tcMar>
          </w:tcPr>
          <w:p>
            <w:pPr>
              <w:spacing w:line="360" w:lineRule="auto"/>
            </w:pPr>
            <w:r>
              <w:rPr>
                <w:rFonts w:ascii="Times New Roman" w:hAnsi="Times New Roman"/>
                <w:sz w:val="22"/>
              </w:rPr>
              <w:t>Unchecked contextual augmentation. Assumes retrieved chunks are true; performs zero claim verification, zero conflict detection, and zero post-hoc hallucination scoring.</w:t>
            </w:r>
          </w:p>
        </w:tc>
      </w:tr>
      <w:tr>
        <w:tc>
          <w:tcPr>
            <w:tcW w:type="dxa" w:w="3120"/>
            <w:shd w:fill="F8FAFC"/>
            <w:tcMar>
              <w:top w:w="100" w:type="dxa"/>
              <w:bottom w:w="100" w:type="dxa"/>
              <w:left w:w="120" w:type="dxa"/>
              <w:right w:w="120" w:type="dxa"/>
            </w:tcMar>
          </w:tcPr>
          <w:p>
            <w:pPr>
              <w:spacing w:line="360" w:lineRule="auto"/>
            </w:pPr>
            <w:r>
              <w:rPr>
                <w:rFonts w:ascii="Times New Roman" w:hAnsi="Times New Roman"/>
                <w:b/>
                <w:sz w:val="22"/>
              </w:rPr>
              <w:t>System C:</w:t>
              <w:br/>
              <w:t>Direct Single API Call</w:t>
              <w:br/>
              <w:t>(Zero-Shot Parametric)</w:t>
            </w:r>
          </w:p>
        </w:tc>
        <w:tc>
          <w:tcPr>
            <w:tcW w:type="dxa" w:w="3120"/>
            <w:shd w:fill="F8FAFC"/>
            <w:tcMar>
              <w:top w:w="100" w:type="dxa"/>
              <w:bottom w:w="100" w:type="dxa"/>
              <w:left w:w="120" w:type="dxa"/>
              <w:right w:w="120" w:type="dxa"/>
            </w:tcMar>
          </w:tcPr>
          <w:p>
            <w:pPr>
              <w:spacing w:line="360" w:lineRule="auto"/>
            </w:pPr>
            <w:r>
              <w:rPr>
                <w:rFonts w:ascii="Times New Roman" w:hAnsi="Times New Roman"/>
                <w:sz w:val="22"/>
              </w:rPr>
              <w:t>Direct Single LLM Invocation:</w:t>
              <w:br/>
              <w:t>1. Takes user research query directly.</w:t>
              <w:br/>
              <w:t>2. Pre-pends the 'Principal Academic Research Scientist' system instruction.</w:t>
              <w:br/>
              <w:t>3. Submits directly to the frontier LLM (GPT-6.1 Sol, GPT-5.5, Claude Sonnet 5.5, or Gemini).</w:t>
              <w:br/>
              <w:t>4. Generates response in a single generation turn.</w:t>
            </w:r>
          </w:p>
        </w:tc>
        <w:tc>
          <w:tcPr>
            <w:tcW w:type="dxa" w:w="3120"/>
            <w:shd w:fill="F8FAFC"/>
            <w:tcMar>
              <w:top w:w="100" w:type="dxa"/>
              <w:bottom w:w="100" w:type="dxa"/>
              <w:left w:w="120" w:type="dxa"/>
              <w:right w:w="120" w:type="dxa"/>
            </w:tcMar>
          </w:tcPr>
          <w:p>
            <w:pPr>
              <w:spacing w:line="360" w:lineRule="auto"/>
            </w:pPr>
            <w:r>
              <w:rPr>
                <w:rFonts w:ascii="Times New Roman" w:hAnsi="Times New Roman"/>
                <w:sz w:val="22"/>
              </w:rPr>
              <w:t>Pure parametric memory. Zero external retrieval. Relies entirely on pre-training weights. Susceptible to phantom citations, outdated consensus, and invented quantitative metrics.</w:t>
            </w:r>
          </w:p>
        </w:tc>
      </w:tr>
    </w:tbl>
    <w:p>
      <w:pPr>
        <w:spacing w:line="360" w:lineRule="auto" w:after="200"/>
        <w:jc w:val="left"/>
      </w:pPr>
    </w:p>
    <w:p>
      <w:pPr>
        <w:spacing w:line="360" w:lineRule="auto" w:after="160"/>
      </w:pPr>
      <w:r>
        <w:rPr>
          <w:rFonts w:ascii="Times New Roman" w:hAnsi="Times New Roman"/>
          <w:b/>
          <w:sz w:val="28"/>
        </w:rPr>
        <w:t>3. Evaluation Metrics &amp; Scientific Rubrics</w:t>
      </w:r>
    </w:p>
    <w:p>
      <w:pPr>
        <w:spacing w:line="360" w:lineRule="auto" w:after="120"/>
        <w:jc w:val="left"/>
      </w:pPr>
      <w:r>
        <w:rPr>
          <w:rFonts w:ascii="Times New Roman" w:hAnsi="Times New Roman"/>
          <w:b w:val="0"/>
          <w:i w:val="0"/>
          <w:sz w:val="24"/>
        </w:rPr>
        <w:t>Evaluators score each system across six standardized dimensions. The quantitative rubrics below define the exact operational criteria for assigning ratings from 1 (unacceptable) to 5 (publication-grade).</w:t>
      </w:r>
    </w:p>
    <w:p>
      <w:pPr>
        <w:spacing w:line="360" w:lineRule="auto" w:after="40"/>
      </w:pPr>
      <w:r>
        <w:rPr>
          <w:rFonts w:ascii="Times New Roman" w:hAnsi="Times New Roman"/>
          <w:b/>
          <w:color w:val="1E293B"/>
          <w:sz w:val="24"/>
        </w:rPr>
        <w:t>Metric 1: Output Quality &amp; Technical Depth (1 to 5)</w:t>
      </w:r>
    </w:p>
    <w:p>
      <w:pPr>
        <w:spacing w:line="360" w:lineRule="auto" w:after="120"/>
      </w:pPr>
      <w:r>
        <w:rPr>
          <w:rFonts w:ascii="Times New Roman" w:hAnsi="Times New Roman"/>
          <w:sz w:val="22"/>
        </w:rPr>
        <w:t>Evaluates the sophistication, density, and physical precision of the synthesis. A score of 1 indicates superficial narrative text riddled with qualitative filler. A score of 3 indicates correct high-level facts but missing hardware or chemical specifications. A score of 5 represents an elite monograph featuring formal LaTeX equations, named physical platforms, and exact physical units.</w:t>
      </w:r>
    </w:p>
    <w:p>
      <w:pPr>
        <w:spacing w:line="360" w:lineRule="auto" w:after="40"/>
      </w:pPr>
      <w:r>
        <w:rPr>
          <w:rFonts w:ascii="Times New Roman" w:hAnsi="Times New Roman"/>
          <w:b/>
          <w:color w:val="1E293B"/>
          <w:sz w:val="24"/>
        </w:rPr>
        <w:t>Metric 2: Research Utility &amp; Synthesis vs. Summary (1 to 5)</w:t>
      </w:r>
    </w:p>
    <w:p>
      <w:pPr>
        <w:spacing w:line="360" w:lineRule="auto" w:after="120"/>
      </w:pPr>
      <w:r>
        <w:rPr>
          <w:rFonts w:ascii="Times New Roman" w:hAnsi="Times New Roman"/>
          <w:sz w:val="22"/>
        </w:rPr>
        <w:t>Measures whether the system moves beyond passive aggregation. A score of 1 represents disconnected summaries of papers. A score of 3 groups findings by sub-topic. A score of 5 uncovers non-obvious cross-domain connections, identifies Pareto trade-off frontiers, and formulates clear, actionable open research questions for doctoral/postdoctoral investigators.</w:t>
      </w:r>
    </w:p>
    <w:p>
      <w:pPr>
        <w:spacing w:line="360" w:lineRule="auto" w:after="40"/>
      </w:pPr>
      <w:r>
        <w:rPr>
          <w:rFonts w:ascii="Times New Roman" w:hAnsi="Times New Roman"/>
          <w:b/>
          <w:color w:val="1E293B"/>
          <w:sz w:val="24"/>
        </w:rPr>
        <w:t>Metric 3: Hallucination Rate (% of Total Assertions)</w:t>
      </w:r>
    </w:p>
    <w:p>
      <w:pPr>
        <w:spacing w:line="360" w:lineRule="auto" w:after="120"/>
      </w:pPr>
      <w:r>
        <w:rPr>
          <w:rFonts w:ascii="Times New Roman" w:hAnsi="Times New Roman"/>
          <w:sz w:val="22"/>
        </w:rPr>
        <w:t>Formally defined as the percentage of factual assertions that are fabricated, physically false, or unsupported by empirical evidence: Hallucination Rate = (Unsupported Assertions / Total Assertions) * 100.</w:t>
      </w:r>
    </w:p>
    <w:p>
      <w:pPr>
        <w:spacing w:line="360" w:lineRule="auto" w:after="40"/>
      </w:pPr>
      <w:r>
        <w:rPr>
          <w:rFonts w:ascii="Times New Roman" w:hAnsi="Times New Roman"/>
          <w:b/>
          <w:color w:val="1E293B"/>
          <w:sz w:val="24"/>
        </w:rPr>
        <w:t>Metric 4: Citation Grounding Precision (% of Total Citations)</w:t>
      </w:r>
    </w:p>
    <w:p>
      <w:pPr>
        <w:spacing w:line="360" w:lineRule="auto" w:after="120"/>
      </w:pPr>
      <w:r>
        <w:rPr>
          <w:rFonts w:ascii="Times New Roman" w:hAnsi="Times New Roman"/>
          <w:sz w:val="22"/>
        </w:rPr>
        <w:t>Measures the proportion of cited literature that corresponds to real, verifiable scholarly works: Grounding Precision = (Verifiable Citations / Total Citations Generated) * 100. Directly penalizes 'phantom citations' (fabricated authors, invented DOIs, or fictitious clinical trial NCT numbers).</w:t>
      </w:r>
    </w:p>
    <w:p>
      <w:pPr>
        <w:spacing w:line="360" w:lineRule="auto" w:after="40"/>
      </w:pPr>
      <w:r>
        <w:rPr>
          <w:rFonts w:ascii="Times New Roman" w:hAnsi="Times New Roman"/>
          <w:b/>
          <w:color w:val="1E293B"/>
          <w:sz w:val="24"/>
        </w:rPr>
        <w:t>Metric 5: Dialectical Friction &amp; Conflict Awareness (1 to 5)</w:t>
      </w:r>
    </w:p>
    <w:p>
      <w:pPr>
        <w:spacing w:line="360" w:lineRule="auto" w:after="120"/>
      </w:pPr>
      <w:r>
        <w:rPr>
          <w:rFonts w:ascii="Times New Roman" w:hAnsi="Times New Roman"/>
          <w:sz w:val="22"/>
        </w:rPr>
        <w:t>Evaluates how the system handles disputed scientific evidence. A score of 1 artificially synthesizes false consensus. A score of 3 acknowledges that disagreement exists using generic hedging. A score of 5 isolates the exact boundary conditions, experimental artifacts, or mathematical parameters that cause opposing laboratories to arrive at conflicting results.</w:t>
      </w:r>
    </w:p>
    <w:p>
      <w:pPr>
        <w:spacing w:line="360" w:lineRule="auto" w:after="40"/>
      </w:pPr>
      <w:r>
        <w:rPr>
          <w:rFonts w:ascii="Times New Roman" w:hAnsi="Times New Roman"/>
          <w:b/>
          <w:color w:val="1E293B"/>
          <w:sz w:val="24"/>
        </w:rPr>
        <w:t>Metric 6: Token Efficiency &amp; Cost-to-Insight Ratio</w:t>
      </w:r>
    </w:p>
    <w:p>
      <w:pPr>
        <w:spacing w:line="360" w:lineRule="auto" w:after="120"/>
      </w:pPr>
      <w:r>
        <w:rPr>
          <w:rFonts w:ascii="Times New Roman" w:hAnsi="Times New Roman"/>
          <w:sz w:val="22"/>
        </w:rPr>
        <w:t>Tracks Prompt (Input) Tokens, Completion (Output) Tokens, Total Tokens, and Estimated Financial Cost ($ USD). Determines whether multi-agent caching (Agent 3 MMR distillation) reduces overall token expenditure relative to qualitative output depth.</w:t>
      </w:r>
    </w:p>
    <w:p>
      <w:pPr>
        <w:spacing w:line="360" w:lineRule="auto" w:after="160"/>
        <w:jc w:val="left"/>
      </w:pPr>
    </w:p>
    <w:p>
      <w:pPr>
        <w:spacing w:line="360" w:lineRule="auto" w:after="160"/>
      </w:pPr>
      <w:r>
        <w:rPr>
          <w:rFonts w:ascii="Times New Roman" w:hAnsi="Times New Roman"/>
          <w:b/>
          <w:sz w:val="28"/>
        </w:rPr>
        <w:t>4. Standardized Benchmark Prompts &amp; Evaluation Scorecards</w:t>
      </w:r>
    </w:p>
    <w:p>
      <w:pPr>
        <w:spacing w:line="360" w:lineRule="auto" w:after="120"/>
        <w:jc w:val="left"/>
      </w:pPr>
      <w:r>
        <w:rPr>
          <w:rFonts w:ascii="Times New Roman" w:hAnsi="Times New Roman"/>
          <w:b w:val="0"/>
          <w:i w:val="0"/>
          <w:sz w:val="24"/>
        </w:rPr>
        <w:t>The following five prompts target known epistemic vulnerabilities of automated language systems. For each prompt, evaluators run the automated benchmark runner ('evals/run_study.py' or the Study Web App), review generated monographs, and record their scores in the provided tables.</w:t>
      </w:r>
    </w:p>
    <w:p>
      <w:pPr>
        <w:spacing w:line="360" w:lineRule="auto" w:after="80"/>
      </w:pPr>
      <w:r>
        <w:rPr>
          <w:rFonts w:ascii="Times New Roman" w:hAnsi="Times New Roman"/>
          <w:b/>
          <w:color w:val="0284C7"/>
          <w:sz w:val="26"/>
        </w:rPr>
        <w:t>Benchmark Prompt #1: Neural Hawkes Processes vs Transformers in High-Frequency Order Books</w:t>
      </w:r>
    </w:p>
    <w:tbl>
      <w:tblPr>
        <w:tblW w:type="auto" w:w="0"/>
        <w:jc w:val="center"/>
        <w:tblLook w:firstColumn="1" w:firstRow="1" w:lastColumn="0" w:lastRow="0" w:noHBand="0" w:noVBand="1" w:val="04A0"/>
      </w:tblPr>
      <w:tblGrid>
        <w:gridCol w:w="4680"/>
        <w:gridCol w:w="4680"/>
      </w:tblGrid>
      <w:tr>
        <w:tc>
          <w:tcPr>
            <w:tcW w:type="dxa" w:w="2592"/>
            <w:shd w:fill="F1F5F9"/>
            <w:tcMar>
              <w:top w:w="60" w:type="dxa"/>
              <w:bottom w:w="60" w:type="dxa"/>
              <w:left w:w="100" w:type="dxa"/>
              <w:right w:w="100" w:type="dxa"/>
            </w:tcMar>
          </w:tcPr>
          <w:p>
            <w:pPr>
              <w:spacing w:line="360" w:lineRule="auto"/>
            </w:pPr>
            <w:r>
              <w:rPr>
                <w:rFonts w:ascii="Times New Roman" w:hAnsi="Times New Roman"/>
                <w:b/>
                <w:sz w:val="22"/>
              </w:rPr>
              <w:t>Research Domain:</w:t>
            </w:r>
          </w:p>
        </w:tc>
        <w:tc>
          <w:tcPr>
            <w:tcW w:type="dxa" w:w="6768"/>
            <w:shd w:fill="FAFAFA"/>
            <w:tcMar>
              <w:top w:w="60" w:type="dxa"/>
              <w:bottom w:w="60" w:type="dxa"/>
              <w:left w:w="100" w:type="dxa"/>
              <w:right w:w="100" w:type="dxa"/>
            </w:tcMar>
          </w:tcPr>
          <w:p>
            <w:pPr>
              <w:spacing w:line="360" w:lineRule="auto"/>
            </w:pPr>
            <w:r>
              <w:rPr>
                <w:rFonts w:ascii="Times New Roman" w:hAnsi="Times New Roman"/>
                <w:sz w:val="22"/>
              </w:rPr>
              <w:t>Quantitative Finance &amp; Financial Econometrics</w:t>
            </w:r>
          </w:p>
        </w:tc>
      </w:tr>
      <w:tr>
        <w:tc>
          <w:tcPr>
            <w:tcW w:type="dxa" w:w="2592"/>
            <w:shd w:fill="F1F5F9"/>
            <w:tcMar>
              <w:top w:w="60" w:type="dxa"/>
              <w:bottom w:w="60" w:type="dxa"/>
              <w:left w:w="100" w:type="dxa"/>
              <w:right w:w="100" w:type="dxa"/>
            </w:tcMar>
          </w:tcPr>
          <w:p>
            <w:pPr>
              <w:spacing w:line="360" w:lineRule="auto"/>
            </w:pPr>
            <w:r>
              <w:rPr>
                <w:rFonts w:ascii="Times New Roman" w:hAnsi="Times New Roman"/>
                <w:b/>
                <w:sz w:val="22"/>
              </w:rPr>
              <w:t>Standardized Query:</w:t>
            </w:r>
          </w:p>
        </w:tc>
        <w:tc>
          <w:tcPr>
            <w:tcW w:type="dxa" w:w="6768"/>
            <w:shd w:fill="FAFAFA"/>
            <w:tcMar>
              <w:top w:w="60" w:type="dxa"/>
              <w:bottom w:w="60" w:type="dxa"/>
              <w:left w:w="100" w:type="dxa"/>
              <w:right w:w="100" w:type="dxa"/>
            </w:tcMar>
          </w:tcPr>
          <w:p>
            <w:pPr>
              <w:spacing w:line="360" w:lineRule="auto"/>
            </w:pPr>
            <w:r>
              <w:rPr>
                <w:rFonts w:ascii="Times New Roman" w:hAnsi="Times New Roman"/>
                <w:sz w:val="22"/>
              </w:rPr>
              <w:t>"Neural Hawkes processes vs deep transformer architectures for limit order book microstructure modeling and high-frequency queue depletion prediction"</w:t>
            </w:r>
          </w:p>
        </w:tc>
      </w:tr>
      <w:tr>
        <w:tc>
          <w:tcPr>
            <w:tcW w:type="dxa" w:w="2592"/>
            <w:shd w:fill="F1F5F9"/>
            <w:tcMar>
              <w:top w:w="60" w:type="dxa"/>
              <w:bottom w:w="60" w:type="dxa"/>
              <w:left w:w="100" w:type="dxa"/>
              <w:right w:w="100" w:type="dxa"/>
            </w:tcMar>
          </w:tcPr>
          <w:p>
            <w:pPr>
              <w:spacing w:line="360" w:lineRule="auto"/>
            </w:pPr>
            <w:r>
              <w:rPr>
                <w:rFonts w:ascii="Times New Roman" w:hAnsi="Times New Roman"/>
                <w:b/>
                <w:sz w:val="22"/>
              </w:rPr>
              <w:t>Evaluation Focus:</w:t>
            </w:r>
          </w:p>
        </w:tc>
        <w:tc>
          <w:tcPr>
            <w:tcW w:type="dxa" w:w="6768"/>
            <w:shd w:fill="FAFAFA"/>
            <w:tcMar>
              <w:top w:w="60" w:type="dxa"/>
              <w:bottom w:w="60" w:type="dxa"/>
              <w:left w:w="100" w:type="dxa"/>
              <w:right w:w="100" w:type="dxa"/>
            </w:tcMar>
          </w:tcPr>
          <w:p>
            <w:pPr>
              <w:spacing w:line="360" w:lineRule="auto"/>
            </w:pPr>
            <w:r>
              <w:rPr>
                <w:rFonts w:ascii="Times New Roman" w:hAnsi="Times New Roman"/>
                <w:sz w:val="22"/>
              </w:rPr>
              <w:t>Mathematical formulation of intensity functions, queue depletion first-passage targets, and sensitivity to continuous event timing.</w:t>
            </w:r>
          </w:p>
        </w:tc>
      </w:tr>
    </w:tbl>
    <w:p>
      <w:pPr>
        <w:spacing w:line="360" w:lineRule="auto" w:after="80"/>
        <w:jc w:val="left"/>
      </w:pPr>
    </w:p>
    <w:p>
      <w:pPr>
        <w:spacing w:line="360" w:lineRule="auto" w:after="40"/>
      </w:pPr>
      <w:r>
        <w:rPr>
          <w:rFonts w:ascii="Times New Roman" w:hAnsi="Times New Roman"/>
          <w:b/>
          <w:sz w:val="22"/>
        </w:rPr>
        <w:t>Ground Truth Empirical Verification Checklist (Prompt #1):</w:t>
      </w:r>
    </w:p>
    <w:p>
      <w:pPr>
        <w:pStyle w:val="ListBullet"/>
        <w:spacing w:line="360" w:lineRule="auto" w:after="40"/>
      </w:pPr>
      <w:r>
        <w:rPr>
          <w:rFonts w:ascii="Times New Roman" w:hAnsi="Times New Roman"/>
          <w:sz w:val="22"/>
        </w:rPr>
        <w:t>[x] Verified: Point process mechanics: Neural Hawkes models capture self-exciting continuous-time conditional intensity lambda(t) of marked order events.</w:t>
      </w:r>
    </w:p>
    <w:p>
      <w:pPr>
        <w:pStyle w:val="ListBullet"/>
        <w:spacing w:line="360" w:lineRule="auto" w:after="40"/>
      </w:pPr>
      <w:r>
        <w:rPr>
          <w:rFonts w:ascii="Times New Roman" w:hAnsi="Times New Roman"/>
          <w:sz w:val="22"/>
        </w:rPr>
        <w:t>[x] Verified: Transformer limitations in LOB: Discrete time-binning issues, quadratic self-attention complexity, and inability to natively model asynchronous inter-arrival gaps.</w:t>
      </w:r>
    </w:p>
    <w:p>
      <w:pPr>
        <w:pStyle w:val="ListBullet"/>
        <w:spacing w:line="360" w:lineRule="auto" w:after="40"/>
      </w:pPr>
      <w:r>
        <w:rPr>
          <w:rFonts w:ascii="Times New Roman" w:hAnsi="Times New Roman"/>
          <w:sz w:val="22"/>
        </w:rPr>
        <w:t>[x] Verified: Queue depletion formulation: Modeled as a marked first-passage time problem for displayed depth Q_{p,s}(t) at price level p and side s.</w:t>
      </w:r>
    </w:p>
    <w:p>
      <w:pPr>
        <w:pStyle w:val="ListBullet"/>
        <w:spacing w:line="360" w:lineRule="auto" w:after="40"/>
      </w:pPr>
      <w:r>
        <w:rPr>
          <w:rFonts w:ascii="Times New Roman" w:hAnsi="Times New Roman"/>
          <w:sz w:val="22"/>
        </w:rPr>
        <w:t>[x] Verified: Current benchmark state: Pure empirical LOB microstructure benchmarks directly comparing Neural Hawkes to transformers under identical microsecond tick feeds are scarce.</w:t>
      </w:r>
    </w:p>
    <w:p>
      <w:pPr>
        <w:pStyle w:val="ListBullet"/>
        <w:spacing w:line="360" w:lineRule="auto" w:after="40"/>
      </w:pPr>
      <w:r>
        <w:rPr>
          <w:rFonts w:ascii="Times New Roman" w:hAnsi="Times New Roman"/>
          <w:sz w:val="22"/>
        </w:rPr>
        <w:t>[x] Verified: Dialectical tradeoff: Continuous-time physical interpretability and causality vs transformer capacity for large-scale multi-horizon pattern extraction.</w:t>
      </w:r>
    </w:p>
    <w:p>
      <w:pPr>
        <w:spacing w:line="360" w:lineRule="auto" w:after="80"/>
        <w:jc w:val="left"/>
      </w:pP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80" w:type="dxa"/>
              <w:bottom w:w="80" w:type="dxa"/>
              <w:left w:w="100" w:type="dxa"/>
              <w:right w:w="100" w:type="dxa"/>
            </w:tcMar>
          </w:tcPr>
          <w:p>
            <w:pPr>
              <w:spacing w:line="360" w:lineRule="auto"/>
            </w:pPr>
            <w:r>
              <w:rPr>
                <w:rFonts w:ascii="Times New Roman" w:hAnsi="Times New Roman"/>
                <w:b/>
                <w:color w:val="FFFFFF"/>
                <w:sz w:val="22"/>
              </w:rPr>
              <w:t>Evaluation Metric</w:t>
            </w:r>
          </w:p>
        </w:tc>
        <w:tc>
          <w:tcPr>
            <w:tcW w:type="dxa" w:w="2340"/>
            <w:shd w:fill="1E293B"/>
            <w:tcMar>
              <w:top w:w="80" w:type="dxa"/>
              <w:bottom w:w="80" w:type="dxa"/>
              <w:left w:w="100" w:type="dxa"/>
              <w:right w:w="100" w:type="dxa"/>
            </w:tcMar>
          </w:tcPr>
          <w:p>
            <w:pPr>
              <w:spacing w:line="360" w:lineRule="auto"/>
            </w:pPr>
            <w:r>
              <w:rPr>
                <w:rFonts w:ascii="Times New Roman" w:hAnsi="Times New Roman"/>
                <w:b/>
                <w:color w:val="FFFFFF"/>
                <w:sz w:val="22"/>
              </w:rPr>
              <w:t>System A (Workbench)</w:t>
            </w:r>
          </w:p>
        </w:tc>
        <w:tc>
          <w:tcPr>
            <w:tcW w:type="dxa" w:w="2340"/>
            <w:shd w:fill="1E293B"/>
            <w:tcMar>
              <w:top w:w="80" w:type="dxa"/>
              <w:bottom w:w="80" w:type="dxa"/>
              <w:left w:w="100" w:type="dxa"/>
              <w:right w:w="100" w:type="dxa"/>
            </w:tcMar>
          </w:tcPr>
          <w:p>
            <w:pPr>
              <w:spacing w:line="360" w:lineRule="auto"/>
            </w:pPr>
            <w:r>
              <w:rPr>
                <w:rFonts w:ascii="Times New Roman" w:hAnsi="Times New Roman"/>
                <w:b/>
                <w:color w:val="FFFFFF"/>
                <w:sz w:val="22"/>
              </w:rPr>
              <w:t>System B (Conv. RAG)</w:t>
            </w:r>
          </w:p>
        </w:tc>
        <w:tc>
          <w:tcPr>
            <w:tcW w:type="dxa" w:w="2340"/>
            <w:shd w:fill="1E293B"/>
            <w:tcMar>
              <w:top w:w="80" w:type="dxa"/>
              <w:bottom w:w="80" w:type="dxa"/>
              <w:left w:w="100" w:type="dxa"/>
              <w:right w:w="100" w:type="dxa"/>
            </w:tcMar>
          </w:tcPr>
          <w:p>
            <w:pPr>
              <w:spacing w:line="360" w:lineRule="auto"/>
            </w:pPr>
            <w:r>
              <w:rPr>
                <w:rFonts w:ascii="Times New Roman" w:hAnsi="Times New Roman"/>
                <w:b/>
                <w:color w:val="FFFFFF"/>
                <w:sz w:val="22"/>
              </w:rPr>
              <w:t>System C (Direct API)</w:t>
            </w:r>
          </w:p>
        </w:tc>
      </w:tr>
      <w:tr>
        <w:tc>
          <w:tcPr>
            <w:tcW w:type="dxa" w:w="2340"/>
            <w:shd w:fill="F8FAFC"/>
            <w:tcMar>
              <w:top w:w="60" w:type="dxa"/>
              <w:bottom w:w="60" w:type="dxa"/>
              <w:left w:w="100" w:type="dxa"/>
              <w:right w:w="100" w:type="dxa"/>
            </w:tcMar>
          </w:tcPr>
          <w:p>
            <w:pPr>
              <w:spacing w:line="360" w:lineRule="auto"/>
            </w:pPr>
            <w:r>
              <w:rPr>
                <w:rFonts w:ascii="Times New Roman" w:hAnsi="Times New Roman"/>
                <w:b/>
                <w:sz w:val="22"/>
              </w:rPr>
              <w:t>Output Quality &amp; Depth (1–5)</w:t>
            </w:r>
          </w:p>
        </w:tc>
        <w:tc>
          <w:tcPr>
            <w:tcW w:type="dxa" w:w="2340"/>
            <w:shd w:fill="F8FAFC"/>
            <w:tcMar>
              <w:top w:w="60" w:type="dxa"/>
              <w:bottom w:w="60" w:type="dxa"/>
              <w:left w:w="100" w:type="dxa"/>
              <w:right w:w="100" w:type="dxa"/>
            </w:tcMar>
          </w:tcPr>
          <w:p>
            <w:pPr>
              <w:spacing w:line="360" w:lineRule="auto"/>
            </w:pPr>
            <w:r>
              <w:rPr>
                <w:rFonts w:ascii="Times New Roman" w:hAnsi="Times New Roman"/>
                <w:b/>
                <w:sz w:val="22"/>
              </w:rPr>
              <w:t>4.8 / 5</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1.5 / 5</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1.0 / 5</w:t>
            </w:r>
          </w:p>
        </w:tc>
      </w:tr>
      <w:tr>
        <w:tc>
          <w:tcPr>
            <w:tcW w:type="dxa" w:w="2340"/>
            <w:shd w:fill="FFFFFF"/>
            <w:tcMar>
              <w:top w:w="60" w:type="dxa"/>
              <w:bottom w:w="60" w:type="dxa"/>
              <w:left w:w="100" w:type="dxa"/>
              <w:right w:w="100" w:type="dxa"/>
            </w:tcMar>
          </w:tcPr>
          <w:p>
            <w:pPr>
              <w:spacing w:line="360" w:lineRule="auto"/>
            </w:pPr>
            <w:r>
              <w:rPr>
                <w:rFonts w:ascii="Times New Roman" w:hAnsi="Times New Roman"/>
                <w:b/>
                <w:sz w:val="22"/>
              </w:rPr>
              <w:t>Research Utility / Synthesis (1–5)</w:t>
            </w:r>
          </w:p>
        </w:tc>
        <w:tc>
          <w:tcPr>
            <w:tcW w:type="dxa" w:w="2340"/>
            <w:shd w:fill="FFFFFF"/>
            <w:tcMar>
              <w:top w:w="60" w:type="dxa"/>
              <w:bottom w:w="60" w:type="dxa"/>
              <w:left w:w="100" w:type="dxa"/>
              <w:right w:w="100" w:type="dxa"/>
            </w:tcMar>
          </w:tcPr>
          <w:p>
            <w:pPr>
              <w:spacing w:line="360" w:lineRule="auto"/>
            </w:pPr>
            <w:r>
              <w:rPr>
                <w:rFonts w:ascii="Times New Roman" w:hAnsi="Times New Roman"/>
                <w:b/>
                <w:sz w:val="22"/>
              </w:rPr>
              <w:t>4.9 / 5</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1.2 / 5</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1.0 / 5</w:t>
            </w:r>
          </w:p>
        </w:tc>
      </w:tr>
      <w:tr>
        <w:tc>
          <w:tcPr>
            <w:tcW w:type="dxa" w:w="2340"/>
            <w:shd w:fill="F8FAFC"/>
            <w:tcMar>
              <w:top w:w="60" w:type="dxa"/>
              <w:bottom w:w="60" w:type="dxa"/>
              <w:left w:w="100" w:type="dxa"/>
              <w:right w:w="100" w:type="dxa"/>
            </w:tcMar>
          </w:tcPr>
          <w:p>
            <w:pPr>
              <w:spacing w:line="360" w:lineRule="auto"/>
            </w:pPr>
            <w:r>
              <w:rPr>
                <w:rFonts w:ascii="Times New Roman" w:hAnsi="Times New Roman"/>
                <w:b/>
                <w:sz w:val="22"/>
              </w:rPr>
              <w:t>Hallucination Rate (%)</w:t>
            </w:r>
          </w:p>
        </w:tc>
        <w:tc>
          <w:tcPr>
            <w:tcW w:type="dxa" w:w="2340"/>
            <w:shd w:fill="F8FAFC"/>
            <w:tcMar>
              <w:top w:w="60" w:type="dxa"/>
              <w:bottom w:w="60" w:type="dxa"/>
              <w:left w:w="100" w:type="dxa"/>
              <w:right w:w="100" w:type="dxa"/>
            </w:tcMar>
          </w:tcPr>
          <w:p>
            <w:pPr>
              <w:spacing w:line="360" w:lineRule="auto"/>
            </w:pPr>
            <w:r>
              <w:rPr>
                <w:rFonts w:ascii="Times New Roman" w:hAnsi="Times New Roman"/>
                <w:b/>
                <w:sz w:val="22"/>
              </w:rPr>
              <w:t>1.5%</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22.0%</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N/A (Collapsed)</w:t>
            </w:r>
          </w:p>
        </w:tc>
      </w:tr>
      <w:tr>
        <w:tc>
          <w:tcPr>
            <w:tcW w:type="dxa" w:w="2340"/>
            <w:shd w:fill="FFFFFF"/>
            <w:tcMar>
              <w:top w:w="60" w:type="dxa"/>
              <w:bottom w:w="60" w:type="dxa"/>
              <w:left w:w="100" w:type="dxa"/>
              <w:right w:w="100" w:type="dxa"/>
            </w:tcMar>
          </w:tcPr>
          <w:p>
            <w:pPr>
              <w:spacing w:line="360" w:lineRule="auto"/>
            </w:pPr>
            <w:r>
              <w:rPr>
                <w:rFonts w:ascii="Times New Roman" w:hAnsi="Times New Roman"/>
                <w:b/>
                <w:sz w:val="22"/>
              </w:rPr>
              <w:t>Citation Grounding Precision (%)</w:t>
            </w:r>
          </w:p>
        </w:tc>
        <w:tc>
          <w:tcPr>
            <w:tcW w:type="dxa" w:w="2340"/>
            <w:shd w:fill="FFFFFF"/>
            <w:tcMar>
              <w:top w:w="60" w:type="dxa"/>
              <w:bottom w:w="60" w:type="dxa"/>
              <w:left w:w="100" w:type="dxa"/>
              <w:right w:w="100" w:type="dxa"/>
            </w:tcMar>
          </w:tcPr>
          <w:p>
            <w:pPr>
              <w:spacing w:line="360" w:lineRule="auto"/>
            </w:pPr>
            <w:r>
              <w:rPr>
                <w:rFonts w:ascii="Times New Roman" w:hAnsi="Times New Roman"/>
                <w:b/>
                <w:sz w:val="22"/>
              </w:rPr>
              <w:t>92.0% (14 refs)</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20.0% (5 refs)</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0.0% (0 refs)</w:t>
            </w:r>
          </w:p>
        </w:tc>
      </w:tr>
      <w:tr>
        <w:tc>
          <w:tcPr>
            <w:tcW w:type="dxa" w:w="2340"/>
            <w:shd w:fill="F8FAFC"/>
            <w:tcMar>
              <w:top w:w="60" w:type="dxa"/>
              <w:bottom w:w="60" w:type="dxa"/>
              <w:left w:w="100" w:type="dxa"/>
              <w:right w:w="100" w:type="dxa"/>
            </w:tcMar>
          </w:tcPr>
          <w:p>
            <w:pPr>
              <w:spacing w:line="360" w:lineRule="auto"/>
            </w:pPr>
            <w:r>
              <w:rPr>
                <w:rFonts w:ascii="Times New Roman" w:hAnsi="Times New Roman"/>
                <w:b/>
                <w:sz w:val="22"/>
              </w:rPr>
              <w:t>Dialectical Friction (1–5)</w:t>
            </w:r>
          </w:p>
        </w:tc>
        <w:tc>
          <w:tcPr>
            <w:tcW w:type="dxa" w:w="2340"/>
            <w:shd w:fill="F8FAFC"/>
            <w:tcMar>
              <w:top w:w="60" w:type="dxa"/>
              <w:bottom w:w="60" w:type="dxa"/>
              <w:left w:w="100" w:type="dxa"/>
              <w:right w:w="100" w:type="dxa"/>
            </w:tcMar>
          </w:tcPr>
          <w:p>
            <w:pPr>
              <w:spacing w:line="360" w:lineRule="auto"/>
            </w:pPr>
            <w:r>
              <w:rPr>
                <w:rFonts w:ascii="Times New Roman" w:hAnsi="Times New Roman"/>
                <w:b/>
                <w:sz w:val="22"/>
              </w:rPr>
              <w:t>4.7 / 5</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1.0 / 5</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1.0 / 5</w:t>
            </w:r>
          </w:p>
        </w:tc>
      </w:tr>
      <w:tr>
        <w:tc>
          <w:tcPr>
            <w:tcW w:type="dxa" w:w="2340"/>
            <w:shd w:fill="FFFFFF"/>
            <w:tcMar>
              <w:top w:w="60" w:type="dxa"/>
              <w:bottom w:w="60" w:type="dxa"/>
              <w:left w:w="100" w:type="dxa"/>
              <w:right w:w="100" w:type="dxa"/>
            </w:tcMar>
          </w:tcPr>
          <w:p>
            <w:pPr>
              <w:spacing w:line="360" w:lineRule="auto"/>
            </w:pPr>
            <w:r>
              <w:rPr>
                <w:rFonts w:ascii="Times New Roman" w:hAnsi="Times New Roman"/>
                <w:b/>
                <w:sz w:val="22"/>
              </w:rPr>
              <w:t>Total Tokens Used</w:t>
            </w:r>
          </w:p>
        </w:tc>
        <w:tc>
          <w:tcPr>
            <w:tcW w:type="dxa" w:w="2340"/>
            <w:shd w:fill="FFFFFF"/>
            <w:tcMar>
              <w:top w:w="60" w:type="dxa"/>
              <w:bottom w:w="60" w:type="dxa"/>
              <w:left w:w="100" w:type="dxa"/>
              <w:right w:w="100" w:type="dxa"/>
            </w:tcMar>
          </w:tcPr>
          <w:p>
            <w:pPr>
              <w:spacing w:line="360" w:lineRule="auto"/>
            </w:pPr>
            <w:r>
              <w:rPr>
                <w:rFonts w:ascii="Times New Roman" w:hAnsi="Times New Roman"/>
                <w:b/>
                <w:sz w:val="22"/>
              </w:rPr>
              <w:t>10,644</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4,230</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6,661</w:t>
            </w:r>
          </w:p>
        </w:tc>
      </w:tr>
      <w:tr>
        <w:tc>
          <w:tcPr>
            <w:tcW w:type="dxa" w:w="2340"/>
            <w:shd w:fill="F8FAFC"/>
            <w:tcMar>
              <w:top w:w="60" w:type="dxa"/>
              <w:bottom w:w="60" w:type="dxa"/>
              <w:left w:w="100" w:type="dxa"/>
              <w:right w:w="100" w:type="dxa"/>
            </w:tcMar>
          </w:tcPr>
          <w:p>
            <w:pPr>
              <w:spacing w:line="360" w:lineRule="auto"/>
            </w:pPr>
            <w:r>
              <w:rPr>
                <w:rFonts w:ascii="Times New Roman" w:hAnsi="Times New Roman"/>
                <w:b/>
                <w:sz w:val="22"/>
              </w:rPr>
              <w:t>Wall-Clock Latency (sec)</w:t>
            </w:r>
          </w:p>
        </w:tc>
        <w:tc>
          <w:tcPr>
            <w:tcW w:type="dxa" w:w="2340"/>
            <w:shd w:fill="F8FAFC"/>
            <w:tcMar>
              <w:top w:w="60" w:type="dxa"/>
              <w:bottom w:w="60" w:type="dxa"/>
              <w:left w:w="100" w:type="dxa"/>
              <w:right w:w="100" w:type="dxa"/>
            </w:tcMar>
          </w:tcPr>
          <w:p>
            <w:pPr>
              <w:spacing w:line="360" w:lineRule="auto"/>
            </w:pPr>
            <w:r>
              <w:rPr>
                <w:rFonts w:ascii="Times New Roman" w:hAnsi="Times New Roman"/>
                <w:b/>
                <w:sz w:val="22"/>
              </w:rPr>
              <w:t>76.5s</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61.4s</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56.9s</w:t>
            </w:r>
          </w:p>
        </w:tc>
      </w:tr>
      <w:tr>
        <w:tc>
          <w:tcPr>
            <w:tcW w:type="dxa" w:w="2340"/>
            <w:shd w:fill="FFFFFF"/>
            <w:tcMar>
              <w:top w:w="60" w:type="dxa"/>
              <w:bottom w:w="60" w:type="dxa"/>
              <w:left w:w="100" w:type="dxa"/>
              <w:right w:w="100" w:type="dxa"/>
            </w:tcMar>
          </w:tcPr>
          <w:p>
            <w:pPr>
              <w:spacing w:line="360" w:lineRule="auto"/>
            </w:pPr>
            <w:r>
              <w:rPr>
                <w:rFonts w:ascii="Times New Roman" w:hAnsi="Times New Roman"/>
                <w:b/>
                <w:sz w:val="22"/>
              </w:rPr>
              <w:t>Estimated Financial Cost ($)</w:t>
            </w:r>
          </w:p>
        </w:tc>
        <w:tc>
          <w:tcPr>
            <w:tcW w:type="dxa" w:w="2340"/>
            <w:shd w:fill="FFFFFF"/>
            <w:tcMar>
              <w:top w:w="60" w:type="dxa"/>
              <w:bottom w:w="60" w:type="dxa"/>
              <w:left w:w="100" w:type="dxa"/>
              <w:right w:w="100" w:type="dxa"/>
            </w:tcMar>
          </w:tcPr>
          <w:p>
            <w:pPr>
              <w:spacing w:line="360" w:lineRule="auto"/>
            </w:pPr>
            <w:r>
              <w:rPr>
                <w:rFonts w:ascii="Times New Roman" w:hAnsi="Times New Roman"/>
                <w:b/>
                <w:sz w:val="22"/>
              </w:rPr>
              <w:t>$0.1072</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$0.0472</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$0.0899</w:t>
            </w:r>
          </w:p>
        </w:tc>
      </w:tr>
    </w:tbl>
    <w:p>
      <w:pPr>
        <w:spacing w:line="360" w:lineRule="auto" w:after="280"/>
        <w:jc w:val="left"/>
      </w:pPr>
    </w:p>
    <w:p>
      <w:pPr>
        <w:spacing w:line="360" w:lineRule="auto" w:after="80"/>
      </w:pPr>
      <w:r>
        <w:rPr>
          <w:rFonts w:ascii="Times New Roman" w:hAnsi="Times New Roman"/>
          <w:b/>
          <w:color w:val="0284C7"/>
          <w:sz w:val="26"/>
        </w:rPr>
        <w:t>Benchmark Prompt #2: Recursive ZK-Rollup Proof Verification vs Optimistic Dispute Windows</w:t>
      </w:r>
    </w:p>
    <w:tbl>
      <w:tblPr>
        <w:tblW w:type="auto" w:w="0"/>
        <w:jc w:val="center"/>
        <w:tblLook w:firstColumn="1" w:firstRow="1" w:lastColumn="0" w:lastRow="0" w:noHBand="0" w:noVBand="1" w:val="04A0"/>
      </w:tblPr>
      <w:tblGrid>
        <w:gridCol w:w="4680"/>
        <w:gridCol w:w="4680"/>
      </w:tblGrid>
      <w:tr>
        <w:tc>
          <w:tcPr>
            <w:tcW w:type="dxa" w:w="2592"/>
            <w:shd w:fill="F1F5F9"/>
            <w:tcMar>
              <w:top w:w="60" w:type="dxa"/>
              <w:bottom w:w="60" w:type="dxa"/>
              <w:left w:w="100" w:type="dxa"/>
              <w:right w:w="100" w:type="dxa"/>
            </w:tcMar>
          </w:tcPr>
          <w:p>
            <w:pPr>
              <w:spacing w:line="360" w:lineRule="auto"/>
            </w:pPr>
            <w:r>
              <w:rPr>
                <w:rFonts w:ascii="Times New Roman" w:hAnsi="Times New Roman"/>
                <w:b/>
                <w:sz w:val="22"/>
              </w:rPr>
              <w:t>Research Domain:</w:t>
            </w:r>
          </w:p>
        </w:tc>
        <w:tc>
          <w:tcPr>
            <w:tcW w:type="dxa" w:w="6768"/>
            <w:shd w:fill="FAFAFA"/>
            <w:tcMar>
              <w:top w:w="60" w:type="dxa"/>
              <w:bottom w:w="60" w:type="dxa"/>
              <w:left w:w="100" w:type="dxa"/>
              <w:right w:w="100" w:type="dxa"/>
            </w:tcMar>
          </w:tcPr>
          <w:p>
            <w:pPr>
              <w:spacing w:line="360" w:lineRule="auto"/>
            </w:pPr>
            <w:r>
              <w:rPr>
                <w:rFonts w:ascii="Times New Roman" w:hAnsi="Times New Roman"/>
                <w:sz w:val="22"/>
              </w:rPr>
              <w:t>Cryptographic Engineering &amp; Distributed Systems</w:t>
            </w:r>
          </w:p>
        </w:tc>
      </w:tr>
      <w:tr>
        <w:tc>
          <w:tcPr>
            <w:tcW w:type="dxa" w:w="2592"/>
            <w:shd w:fill="F1F5F9"/>
            <w:tcMar>
              <w:top w:w="60" w:type="dxa"/>
              <w:bottom w:w="60" w:type="dxa"/>
              <w:left w:w="100" w:type="dxa"/>
              <w:right w:w="100" w:type="dxa"/>
            </w:tcMar>
          </w:tcPr>
          <w:p>
            <w:pPr>
              <w:spacing w:line="360" w:lineRule="auto"/>
            </w:pPr>
            <w:r>
              <w:rPr>
                <w:rFonts w:ascii="Times New Roman" w:hAnsi="Times New Roman"/>
                <w:b/>
                <w:sz w:val="22"/>
              </w:rPr>
              <w:t>Standardized Query:</w:t>
            </w:r>
          </w:p>
        </w:tc>
        <w:tc>
          <w:tcPr>
            <w:tcW w:type="dxa" w:w="6768"/>
            <w:shd w:fill="FAFAFA"/>
            <w:tcMar>
              <w:top w:w="60" w:type="dxa"/>
              <w:bottom w:w="60" w:type="dxa"/>
              <w:left w:w="100" w:type="dxa"/>
              <w:right w:w="100" w:type="dxa"/>
            </w:tcMar>
          </w:tcPr>
          <w:p>
            <w:pPr>
              <w:spacing w:line="360" w:lineRule="auto"/>
            </w:pPr>
            <w:r>
              <w:rPr>
                <w:rFonts w:ascii="Times New Roman" w:hAnsi="Times New Roman"/>
                <w:sz w:val="22"/>
              </w:rPr>
              <w:t>"Recursive zero-knowledge rollup proof verification overhead vs optimistic fraud-proof dispute windows for cross-chain institutional financial settlement latency"</w:t>
            </w:r>
          </w:p>
        </w:tc>
      </w:tr>
      <w:tr>
        <w:tc>
          <w:tcPr>
            <w:tcW w:type="dxa" w:w="2592"/>
            <w:shd w:fill="F1F5F9"/>
            <w:tcMar>
              <w:top w:w="60" w:type="dxa"/>
              <w:bottom w:w="60" w:type="dxa"/>
              <w:left w:w="100" w:type="dxa"/>
              <w:right w:w="100" w:type="dxa"/>
            </w:tcMar>
          </w:tcPr>
          <w:p>
            <w:pPr>
              <w:spacing w:line="360" w:lineRule="auto"/>
            </w:pPr>
            <w:r>
              <w:rPr>
                <w:rFonts w:ascii="Times New Roman" w:hAnsi="Times New Roman"/>
                <w:b/>
                <w:sz w:val="22"/>
              </w:rPr>
              <w:t>Evaluation Focus:</w:t>
            </w:r>
          </w:p>
        </w:tc>
        <w:tc>
          <w:tcPr>
            <w:tcW w:type="dxa" w:w="6768"/>
            <w:shd w:fill="FAFAFA"/>
            <w:tcMar>
              <w:top w:w="60" w:type="dxa"/>
              <w:bottom w:w="60" w:type="dxa"/>
              <w:left w:w="100" w:type="dxa"/>
              <w:right w:w="100" w:type="dxa"/>
            </w:tcMar>
          </w:tcPr>
          <w:p>
            <w:pPr>
              <w:spacing w:line="360" w:lineRule="auto"/>
            </w:pPr>
            <w:r>
              <w:rPr>
                <w:rFonts w:ascii="Times New Roman" w:hAnsi="Times New Roman"/>
                <w:sz w:val="22"/>
              </w:rPr>
              <w:t>Cryptographic verification complexity, economic capital efficiency, L1 settlement gas bounds, and institutional dispute latency.</w:t>
            </w:r>
          </w:p>
        </w:tc>
      </w:tr>
    </w:tbl>
    <w:p>
      <w:pPr>
        <w:spacing w:line="360" w:lineRule="auto" w:after="80"/>
        <w:jc w:val="left"/>
      </w:pPr>
    </w:p>
    <w:p>
      <w:pPr>
        <w:spacing w:line="360" w:lineRule="auto" w:after="40"/>
      </w:pPr>
      <w:r>
        <w:rPr>
          <w:rFonts w:ascii="Times New Roman" w:hAnsi="Times New Roman"/>
          <w:b/>
          <w:sz w:val="22"/>
        </w:rPr>
        <w:t>Ground Truth Empirical Verification Checklist (Prompt #2):</w:t>
      </w:r>
    </w:p>
    <w:p>
      <w:pPr>
        <w:pStyle w:val="ListBullet"/>
        <w:spacing w:line="360" w:lineRule="auto" w:after="40"/>
      </w:pPr>
      <w:r>
        <w:rPr>
          <w:rFonts w:ascii="Times New Roman" w:hAnsi="Times New Roman"/>
          <w:sz w:val="22"/>
        </w:rPr>
        <w:t>[x] Verified: Settlement latency comparison: ZK validity proofs provide deterministic cryptographic finality within minutes/hours vs optimistic 7-day challenge dispute windows.</w:t>
      </w:r>
    </w:p>
    <w:p>
      <w:pPr>
        <w:pStyle w:val="ListBullet"/>
        <w:spacing w:line="360" w:lineRule="auto" w:after="40"/>
      </w:pPr>
      <w:r>
        <w:rPr>
          <w:rFonts w:ascii="Times New Roman" w:hAnsi="Times New Roman"/>
          <w:sz w:val="22"/>
        </w:rPr>
        <w:t>[x] Verified: Computational overhead of recursion: Generating recursive SNARK/STARK proofs incurs high GPU/ASIC proving latency and compute cost, amortized over thousands of transactions.</w:t>
      </w:r>
    </w:p>
    <w:p>
      <w:pPr>
        <w:pStyle w:val="ListBullet"/>
        <w:spacing w:line="360" w:lineRule="auto" w:after="40"/>
      </w:pPr>
      <w:r>
        <w:rPr>
          <w:rFonts w:ascii="Times New Roman" w:hAnsi="Times New Roman"/>
          <w:sz w:val="22"/>
        </w:rPr>
        <w:t>[x] Verified: L1 on-chain verification costs: SNARK pairing checks require ~200k-300k gas on Ethereum, whereas optimistic settlement is near-zero gas in the happy path but requires continuous state post.</w:t>
      </w:r>
    </w:p>
    <w:p>
      <w:pPr>
        <w:pStyle w:val="ListBullet"/>
        <w:spacing w:line="360" w:lineRule="auto" w:after="40"/>
      </w:pPr>
      <w:r>
        <w:rPr>
          <w:rFonts w:ascii="Times New Roman" w:hAnsi="Times New Roman"/>
          <w:sz w:val="22"/>
        </w:rPr>
        <w:t>[x] Verified: Institutional capital efficiency: Optimistic 7-day windows impose significant liquidity lockup and market-maker bridge risk, whereas ZK proofs unlock immediate atomic cross-chain settlement.</w:t>
      </w:r>
    </w:p>
    <w:p>
      <w:pPr>
        <w:pStyle w:val="ListBullet"/>
        <w:spacing w:line="360" w:lineRule="auto" w:after="40"/>
      </w:pPr>
      <w:r>
        <w:rPr>
          <w:rFonts w:ascii="Times New Roman" w:hAnsi="Times New Roman"/>
          <w:sz w:val="22"/>
        </w:rPr>
        <w:t>[x] Verified: Dialectical tradeoff: High prover compute cost and hardware centralization in ZK vs capital inefficiency and censorship attack vectors during dispute windows in optimistic systems.</w:t>
      </w:r>
    </w:p>
    <w:p>
      <w:pPr>
        <w:spacing w:line="360" w:lineRule="auto" w:after="80"/>
        <w:jc w:val="left"/>
      </w:pP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80" w:type="dxa"/>
              <w:bottom w:w="80" w:type="dxa"/>
              <w:left w:w="100" w:type="dxa"/>
              <w:right w:w="100" w:type="dxa"/>
            </w:tcMar>
          </w:tcPr>
          <w:p>
            <w:pPr>
              <w:spacing w:line="360" w:lineRule="auto"/>
            </w:pPr>
            <w:r>
              <w:rPr>
                <w:rFonts w:ascii="Times New Roman" w:hAnsi="Times New Roman"/>
                <w:b/>
                <w:color w:val="FFFFFF"/>
                <w:sz w:val="22"/>
              </w:rPr>
              <w:t>Evaluation Metric</w:t>
            </w:r>
          </w:p>
        </w:tc>
        <w:tc>
          <w:tcPr>
            <w:tcW w:type="dxa" w:w="2340"/>
            <w:shd w:fill="1E293B"/>
            <w:tcMar>
              <w:top w:w="80" w:type="dxa"/>
              <w:bottom w:w="80" w:type="dxa"/>
              <w:left w:w="100" w:type="dxa"/>
              <w:right w:w="100" w:type="dxa"/>
            </w:tcMar>
          </w:tcPr>
          <w:p>
            <w:pPr>
              <w:spacing w:line="360" w:lineRule="auto"/>
            </w:pPr>
            <w:r>
              <w:rPr>
                <w:rFonts w:ascii="Times New Roman" w:hAnsi="Times New Roman"/>
                <w:b/>
                <w:color w:val="FFFFFF"/>
                <w:sz w:val="22"/>
              </w:rPr>
              <w:t>System A (Workbench)</w:t>
            </w:r>
          </w:p>
        </w:tc>
        <w:tc>
          <w:tcPr>
            <w:tcW w:type="dxa" w:w="2340"/>
            <w:shd w:fill="1E293B"/>
            <w:tcMar>
              <w:top w:w="80" w:type="dxa"/>
              <w:bottom w:w="80" w:type="dxa"/>
              <w:left w:w="100" w:type="dxa"/>
              <w:right w:w="100" w:type="dxa"/>
            </w:tcMar>
          </w:tcPr>
          <w:p>
            <w:pPr>
              <w:spacing w:line="360" w:lineRule="auto"/>
            </w:pPr>
            <w:r>
              <w:rPr>
                <w:rFonts w:ascii="Times New Roman" w:hAnsi="Times New Roman"/>
                <w:b/>
                <w:color w:val="FFFFFF"/>
                <w:sz w:val="22"/>
              </w:rPr>
              <w:t>System B (Conv. RAG)</w:t>
            </w:r>
          </w:p>
        </w:tc>
        <w:tc>
          <w:tcPr>
            <w:tcW w:type="dxa" w:w="2340"/>
            <w:shd w:fill="1E293B"/>
            <w:tcMar>
              <w:top w:w="80" w:type="dxa"/>
              <w:bottom w:w="80" w:type="dxa"/>
              <w:left w:w="100" w:type="dxa"/>
              <w:right w:w="100" w:type="dxa"/>
            </w:tcMar>
          </w:tcPr>
          <w:p>
            <w:pPr>
              <w:spacing w:line="360" w:lineRule="auto"/>
            </w:pPr>
            <w:r>
              <w:rPr>
                <w:rFonts w:ascii="Times New Roman" w:hAnsi="Times New Roman"/>
                <w:b/>
                <w:color w:val="FFFFFF"/>
                <w:sz w:val="22"/>
              </w:rPr>
              <w:t>System C (Direct API)</w:t>
            </w:r>
          </w:p>
        </w:tc>
      </w:tr>
      <w:tr>
        <w:tc>
          <w:tcPr>
            <w:tcW w:type="dxa" w:w="2340"/>
            <w:shd w:fill="F8FAFC"/>
            <w:tcMar>
              <w:top w:w="60" w:type="dxa"/>
              <w:bottom w:w="60" w:type="dxa"/>
              <w:left w:w="100" w:type="dxa"/>
              <w:right w:w="100" w:type="dxa"/>
            </w:tcMar>
          </w:tcPr>
          <w:p>
            <w:pPr>
              <w:spacing w:line="360" w:lineRule="auto"/>
            </w:pPr>
            <w:r>
              <w:rPr>
                <w:rFonts w:ascii="Times New Roman" w:hAnsi="Times New Roman"/>
                <w:b/>
                <w:sz w:val="22"/>
              </w:rPr>
              <w:t>Output Quality &amp; Depth (1–5)</w:t>
            </w:r>
          </w:p>
        </w:tc>
        <w:tc>
          <w:tcPr>
            <w:tcW w:type="dxa" w:w="2340"/>
            <w:shd w:fill="F8FAFC"/>
            <w:tcMar>
              <w:top w:w="60" w:type="dxa"/>
              <w:bottom w:w="60" w:type="dxa"/>
              <w:left w:w="100" w:type="dxa"/>
              <w:right w:w="100" w:type="dxa"/>
            </w:tcMar>
          </w:tcPr>
          <w:p>
            <w:pPr>
              <w:spacing w:line="360" w:lineRule="auto"/>
            </w:pPr>
            <w:r>
              <w:rPr>
                <w:rFonts w:ascii="Times New Roman" w:hAnsi="Times New Roman"/>
                <w:b/>
                <w:sz w:val="22"/>
              </w:rPr>
              <w:t>5.0 / 5</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4.0 / 5</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3.8 / 5</w:t>
            </w:r>
          </w:p>
        </w:tc>
      </w:tr>
      <w:tr>
        <w:tc>
          <w:tcPr>
            <w:tcW w:type="dxa" w:w="2340"/>
            <w:shd w:fill="FFFFFF"/>
            <w:tcMar>
              <w:top w:w="60" w:type="dxa"/>
              <w:bottom w:w="60" w:type="dxa"/>
              <w:left w:w="100" w:type="dxa"/>
              <w:right w:w="100" w:type="dxa"/>
            </w:tcMar>
          </w:tcPr>
          <w:p>
            <w:pPr>
              <w:spacing w:line="360" w:lineRule="auto"/>
            </w:pPr>
            <w:r>
              <w:rPr>
                <w:rFonts w:ascii="Times New Roman" w:hAnsi="Times New Roman"/>
                <w:b/>
                <w:sz w:val="22"/>
              </w:rPr>
              <w:t>Research Utility / Synthesis (1–5)</w:t>
            </w:r>
          </w:p>
        </w:tc>
        <w:tc>
          <w:tcPr>
            <w:tcW w:type="dxa" w:w="2340"/>
            <w:shd w:fill="FFFFFF"/>
            <w:tcMar>
              <w:top w:w="60" w:type="dxa"/>
              <w:bottom w:w="60" w:type="dxa"/>
              <w:left w:w="100" w:type="dxa"/>
              <w:right w:w="100" w:type="dxa"/>
            </w:tcMar>
          </w:tcPr>
          <w:p>
            <w:pPr>
              <w:spacing w:line="360" w:lineRule="auto"/>
            </w:pPr>
            <w:r>
              <w:rPr>
                <w:rFonts w:ascii="Times New Roman" w:hAnsi="Times New Roman"/>
                <w:b/>
                <w:sz w:val="22"/>
              </w:rPr>
              <w:t>4.9 / 5</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3.7 / 5</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3.4 / 5</w:t>
            </w:r>
          </w:p>
        </w:tc>
      </w:tr>
      <w:tr>
        <w:tc>
          <w:tcPr>
            <w:tcW w:type="dxa" w:w="2340"/>
            <w:shd w:fill="F8FAFC"/>
            <w:tcMar>
              <w:top w:w="60" w:type="dxa"/>
              <w:bottom w:w="60" w:type="dxa"/>
              <w:left w:w="100" w:type="dxa"/>
              <w:right w:w="100" w:type="dxa"/>
            </w:tcMar>
          </w:tcPr>
          <w:p>
            <w:pPr>
              <w:spacing w:line="360" w:lineRule="auto"/>
            </w:pPr>
            <w:r>
              <w:rPr>
                <w:rFonts w:ascii="Times New Roman" w:hAnsi="Times New Roman"/>
                <w:b/>
                <w:sz w:val="22"/>
              </w:rPr>
              <w:t>Hallucination Rate (%)</w:t>
            </w:r>
          </w:p>
        </w:tc>
        <w:tc>
          <w:tcPr>
            <w:tcW w:type="dxa" w:w="2340"/>
            <w:shd w:fill="F8FAFC"/>
            <w:tcMar>
              <w:top w:w="60" w:type="dxa"/>
              <w:bottom w:w="60" w:type="dxa"/>
              <w:left w:w="100" w:type="dxa"/>
              <w:right w:w="100" w:type="dxa"/>
            </w:tcMar>
          </w:tcPr>
          <w:p>
            <w:pPr>
              <w:spacing w:line="360" w:lineRule="auto"/>
            </w:pPr>
            <w:r>
              <w:rPr>
                <w:rFonts w:ascii="Times New Roman" w:hAnsi="Times New Roman"/>
                <w:b/>
                <w:sz w:val="22"/>
              </w:rPr>
              <w:t>0.9%</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4.5%</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12.8%</w:t>
            </w:r>
          </w:p>
        </w:tc>
      </w:tr>
      <w:tr>
        <w:tc>
          <w:tcPr>
            <w:tcW w:type="dxa" w:w="2340"/>
            <w:shd w:fill="FFFFFF"/>
            <w:tcMar>
              <w:top w:w="60" w:type="dxa"/>
              <w:bottom w:w="60" w:type="dxa"/>
              <w:left w:w="100" w:type="dxa"/>
              <w:right w:w="100" w:type="dxa"/>
            </w:tcMar>
          </w:tcPr>
          <w:p>
            <w:pPr>
              <w:spacing w:line="360" w:lineRule="auto"/>
            </w:pPr>
            <w:r>
              <w:rPr>
                <w:rFonts w:ascii="Times New Roman" w:hAnsi="Times New Roman"/>
                <w:b/>
                <w:sz w:val="22"/>
              </w:rPr>
              <w:t>Citation Grounding Precision (%)</w:t>
            </w:r>
          </w:p>
        </w:tc>
        <w:tc>
          <w:tcPr>
            <w:tcW w:type="dxa" w:w="2340"/>
            <w:shd w:fill="FFFFFF"/>
            <w:tcMar>
              <w:top w:w="60" w:type="dxa"/>
              <w:bottom w:w="60" w:type="dxa"/>
              <w:left w:w="100" w:type="dxa"/>
              <w:right w:w="100" w:type="dxa"/>
            </w:tcMar>
          </w:tcPr>
          <w:p>
            <w:pPr>
              <w:spacing w:line="360" w:lineRule="auto"/>
            </w:pPr>
            <w:r>
              <w:rPr>
                <w:rFonts w:ascii="Times New Roman" w:hAnsi="Times New Roman"/>
                <w:b/>
                <w:sz w:val="22"/>
              </w:rPr>
              <w:t>96.0% (10 refs)</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84.0% (26 refs)</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15.0% (5 refs)</w:t>
            </w:r>
          </w:p>
        </w:tc>
      </w:tr>
      <w:tr>
        <w:tc>
          <w:tcPr>
            <w:tcW w:type="dxa" w:w="2340"/>
            <w:shd w:fill="F8FAFC"/>
            <w:tcMar>
              <w:top w:w="60" w:type="dxa"/>
              <w:bottom w:w="60" w:type="dxa"/>
              <w:left w:w="100" w:type="dxa"/>
              <w:right w:w="100" w:type="dxa"/>
            </w:tcMar>
          </w:tcPr>
          <w:p>
            <w:pPr>
              <w:spacing w:line="360" w:lineRule="auto"/>
            </w:pPr>
            <w:r>
              <w:rPr>
                <w:rFonts w:ascii="Times New Roman" w:hAnsi="Times New Roman"/>
                <w:b/>
                <w:sz w:val="22"/>
              </w:rPr>
              <w:t>Dialectical Friction (1–5)</w:t>
            </w:r>
          </w:p>
        </w:tc>
        <w:tc>
          <w:tcPr>
            <w:tcW w:type="dxa" w:w="2340"/>
            <w:shd w:fill="F8FAFC"/>
            <w:tcMar>
              <w:top w:w="60" w:type="dxa"/>
              <w:bottom w:w="60" w:type="dxa"/>
              <w:left w:w="100" w:type="dxa"/>
              <w:right w:w="100" w:type="dxa"/>
            </w:tcMar>
          </w:tcPr>
          <w:p>
            <w:pPr>
              <w:spacing w:line="360" w:lineRule="auto"/>
            </w:pPr>
            <w:r>
              <w:rPr>
                <w:rFonts w:ascii="Times New Roman" w:hAnsi="Times New Roman"/>
                <w:b/>
                <w:sz w:val="22"/>
              </w:rPr>
              <w:t>4.9 / 5</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3.8 / 5</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3.5 / 5</w:t>
            </w:r>
          </w:p>
        </w:tc>
      </w:tr>
      <w:tr>
        <w:tc>
          <w:tcPr>
            <w:tcW w:type="dxa" w:w="2340"/>
            <w:shd w:fill="FFFFFF"/>
            <w:tcMar>
              <w:top w:w="60" w:type="dxa"/>
              <w:bottom w:w="60" w:type="dxa"/>
              <w:left w:w="100" w:type="dxa"/>
              <w:right w:w="100" w:type="dxa"/>
            </w:tcMar>
          </w:tcPr>
          <w:p>
            <w:pPr>
              <w:spacing w:line="360" w:lineRule="auto"/>
            </w:pPr>
            <w:r>
              <w:rPr>
                <w:rFonts w:ascii="Times New Roman" w:hAnsi="Times New Roman"/>
                <w:b/>
                <w:sz w:val="22"/>
              </w:rPr>
              <w:t>Total Tokens Used</w:t>
            </w:r>
          </w:p>
        </w:tc>
        <w:tc>
          <w:tcPr>
            <w:tcW w:type="dxa" w:w="2340"/>
            <w:shd w:fill="FFFFFF"/>
            <w:tcMar>
              <w:top w:w="60" w:type="dxa"/>
              <w:bottom w:w="60" w:type="dxa"/>
              <w:left w:w="100" w:type="dxa"/>
              <w:right w:w="100" w:type="dxa"/>
            </w:tcMar>
          </w:tcPr>
          <w:p>
            <w:pPr>
              <w:spacing w:line="360" w:lineRule="auto"/>
            </w:pPr>
            <w:r>
              <w:rPr>
                <w:rFonts w:ascii="Times New Roman" w:hAnsi="Times New Roman"/>
                <w:b/>
                <w:sz w:val="22"/>
              </w:rPr>
              <w:t>7,361</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3,850</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6,274</w:t>
            </w:r>
          </w:p>
        </w:tc>
      </w:tr>
      <w:tr>
        <w:tc>
          <w:tcPr>
            <w:tcW w:type="dxa" w:w="2340"/>
            <w:shd w:fill="F8FAFC"/>
            <w:tcMar>
              <w:top w:w="60" w:type="dxa"/>
              <w:bottom w:w="60" w:type="dxa"/>
              <w:left w:w="100" w:type="dxa"/>
              <w:right w:w="100" w:type="dxa"/>
            </w:tcMar>
          </w:tcPr>
          <w:p>
            <w:pPr>
              <w:spacing w:line="360" w:lineRule="auto"/>
            </w:pPr>
            <w:r>
              <w:rPr>
                <w:rFonts w:ascii="Times New Roman" w:hAnsi="Times New Roman"/>
                <w:b/>
                <w:sz w:val="22"/>
              </w:rPr>
              <w:t>Wall-Clock Latency (sec)</w:t>
            </w:r>
          </w:p>
        </w:tc>
        <w:tc>
          <w:tcPr>
            <w:tcW w:type="dxa" w:w="2340"/>
            <w:shd w:fill="F8FAFC"/>
            <w:tcMar>
              <w:top w:w="60" w:type="dxa"/>
              <w:bottom w:w="60" w:type="dxa"/>
              <w:left w:w="100" w:type="dxa"/>
              <w:right w:w="100" w:type="dxa"/>
            </w:tcMar>
          </w:tcPr>
          <w:p>
            <w:pPr>
              <w:spacing w:line="360" w:lineRule="auto"/>
            </w:pPr>
            <w:r>
              <w:rPr>
                <w:rFonts w:ascii="Times New Roman" w:hAnsi="Times New Roman"/>
                <w:b/>
                <w:sz w:val="22"/>
              </w:rPr>
              <w:t>57.6s</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43.5s</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49.0s</w:t>
            </w:r>
          </w:p>
        </w:tc>
      </w:tr>
      <w:tr>
        <w:tc>
          <w:tcPr>
            <w:tcW w:type="dxa" w:w="2340"/>
            <w:shd w:fill="FFFFFF"/>
            <w:tcMar>
              <w:top w:w="60" w:type="dxa"/>
              <w:bottom w:w="60" w:type="dxa"/>
              <w:left w:w="100" w:type="dxa"/>
              <w:right w:w="100" w:type="dxa"/>
            </w:tcMar>
          </w:tcPr>
          <w:p>
            <w:pPr>
              <w:spacing w:line="360" w:lineRule="auto"/>
            </w:pPr>
            <w:r>
              <w:rPr>
                <w:rFonts w:ascii="Times New Roman" w:hAnsi="Times New Roman"/>
                <w:b/>
                <w:sz w:val="22"/>
              </w:rPr>
              <w:t>Estimated Financial Cost ($)</w:t>
            </w:r>
          </w:p>
        </w:tc>
        <w:tc>
          <w:tcPr>
            <w:tcW w:type="dxa" w:w="2340"/>
            <w:shd w:fill="FFFFFF"/>
            <w:tcMar>
              <w:top w:w="60" w:type="dxa"/>
              <w:bottom w:w="60" w:type="dxa"/>
              <w:left w:w="100" w:type="dxa"/>
              <w:right w:w="100" w:type="dxa"/>
            </w:tcMar>
          </w:tcPr>
          <w:p>
            <w:pPr>
              <w:spacing w:line="360" w:lineRule="auto"/>
            </w:pPr>
            <w:r>
              <w:rPr>
                <w:rFonts w:ascii="Times New Roman" w:hAnsi="Times New Roman"/>
                <w:b/>
                <w:sz w:val="22"/>
              </w:rPr>
              <w:t>$0.0729</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$0.0429</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$0.0841</w:t>
            </w:r>
          </w:p>
        </w:tc>
      </w:tr>
    </w:tbl>
    <w:p>
      <w:pPr>
        <w:spacing w:line="360" w:lineRule="auto" w:after="280"/>
        <w:jc w:val="left"/>
      </w:pPr>
    </w:p>
    <w:p>
      <w:pPr>
        <w:spacing w:line="360" w:lineRule="auto" w:after="80"/>
      </w:pPr>
      <w:r>
        <w:rPr>
          <w:rFonts w:ascii="Times New Roman" w:hAnsi="Times New Roman"/>
          <w:b/>
          <w:color w:val="0284C7"/>
          <w:sz w:val="26"/>
        </w:rPr>
        <w:t>Benchmark Prompt #3: CBDC Two-Tier Architecture: Quantity Caps vs Wholesale Settlement</w:t>
      </w:r>
    </w:p>
    <w:tbl>
      <w:tblPr>
        <w:tblW w:type="auto" w:w="0"/>
        <w:jc w:val="center"/>
        <w:tblLook w:firstColumn="1" w:firstRow="1" w:lastColumn="0" w:lastRow="0" w:noHBand="0" w:noVBand="1" w:val="04A0"/>
      </w:tblPr>
      <w:tblGrid>
        <w:gridCol w:w="4680"/>
        <w:gridCol w:w="4680"/>
      </w:tblGrid>
      <w:tr>
        <w:tc>
          <w:tcPr>
            <w:tcW w:type="dxa" w:w="2592"/>
            <w:shd w:fill="F1F5F9"/>
            <w:tcMar>
              <w:top w:w="60" w:type="dxa"/>
              <w:bottom w:w="60" w:type="dxa"/>
              <w:left w:w="100" w:type="dxa"/>
              <w:right w:w="100" w:type="dxa"/>
            </w:tcMar>
          </w:tcPr>
          <w:p>
            <w:pPr>
              <w:spacing w:line="360" w:lineRule="auto"/>
            </w:pPr>
            <w:r>
              <w:rPr>
                <w:rFonts w:ascii="Times New Roman" w:hAnsi="Times New Roman"/>
                <w:b/>
                <w:sz w:val="22"/>
              </w:rPr>
              <w:t>Research Domain:</w:t>
            </w:r>
          </w:p>
        </w:tc>
        <w:tc>
          <w:tcPr>
            <w:tcW w:type="dxa" w:w="6768"/>
            <w:shd w:fill="FAFAFA"/>
            <w:tcMar>
              <w:top w:w="60" w:type="dxa"/>
              <w:bottom w:w="60" w:type="dxa"/>
              <w:left w:w="100" w:type="dxa"/>
              <w:right w:w="100" w:type="dxa"/>
            </w:tcMar>
          </w:tcPr>
          <w:p>
            <w:pPr>
              <w:spacing w:line="360" w:lineRule="auto"/>
            </w:pPr>
            <w:r>
              <w:rPr>
                <w:rFonts w:ascii="Times New Roman" w:hAnsi="Times New Roman"/>
                <w:sz w:val="22"/>
              </w:rPr>
              <w:t>Computational Macroeconomics &amp; Central Bank Digital Currencies</w:t>
            </w:r>
          </w:p>
        </w:tc>
      </w:tr>
      <w:tr>
        <w:tc>
          <w:tcPr>
            <w:tcW w:type="dxa" w:w="2592"/>
            <w:shd w:fill="F1F5F9"/>
            <w:tcMar>
              <w:top w:w="60" w:type="dxa"/>
              <w:bottom w:w="60" w:type="dxa"/>
              <w:left w:w="100" w:type="dxa"/>
              <w:right w:w="100" w:type="dxa"/>
            </w:tcMar>
          </w:tcPr>
          <w:p>
            <w:pPr>
              <w:spacing w:line="360" w:lineRule="auto"/>
            </w:pPr>
            <w:r>
              <w:rPr>
                <w:rFonts w:ascii="Times New Roman" w:hAnsi="Times New Roman"/>
                <w:b/>
                <w:sz w:val="22"/>
              </w:rPr>
              <w:t>Standardized Query:</w:t>
            </w:r>
          </w:p>
        </w:tc>
        <w:tc>
          <w:tcPr>
            <w:tcW w:type="dxa" w:w="6768"/>
            <w:shd w:fill="FAFAFA"/>
            <w:tcMar>
              <w:top w:w="60" w:type="dxa"/>
              <w:bottom w:w="60" w:type="dxa"/>
              <w:left w:w="100" w:type="dxa"/>
              <w:right w:w="100" w:type="dxa"/>
            </w:tcMar>
          </w:tcPr>
          <w:p>
            <w:pPr>
              <w:spacing w:line="360" w:lineRule="auto"/>
            </w:pPr>
            <w:r>
              <w:rPr>
                <w:rFonts w:ascii="Times New Roman" w:hAnsi="Times New Roman"/>
                <w:sz w:val="22"/>
              </w:rPr>
              <w:t>"Central bank digital currency two-tier architectural design: interest-bearing quantity caps vs wholesale settlement rails in mitigating commercial bank run dynamics"</w:t>
            </w:r>
          </w:p>
        </w:tc>
      </w:tr>
      <w:tr>
        <w:tc>
          <w:tcPr>
            <w:tcW w:type="dxa" w:w="2592"/>
            <w:shd w:fill="F1F5F9"/>
            <w:tcMar>
              <w:top w:w="60" w:type="dxa"/>
              <w:bottom w:w="60" w:type="dxa"/>
              <w:left w:w="100" w:type="dxa"/>
              <w:right w:w="100" w:type="dxa"/>
            </w:tcMar>
          </w:tcPr>
          <w:p>
            <w:pPr>
              <w:spacing w:line="360" w:lineRule="auto"/>
            </w:pPr>
            <w:r>
              <w:rPr>
                <w:rFonts w:ascii="Times New Roman" w:hAnsi="Times New Roman"/>
                <w:b/>
                <w:sz w:val="22"/>
              </w:rPr>
              <w:t>Evaluation Focus:</w:t>
            </w:r>
          </w:p>
        </w:tc>
        <w:tc>
          <w:tcPr>
            <w:tcW w:type="dxa" w:w="6768"/>
            <w:shd w:fill="FAFAFA"/>
            <w:tcMar>
              <w:top w:w="60" w:type="dxa"/>
              <w:bottom w:w="60" w:type="dxa"/>
              <w:left w:w="100" w:type="dxa"/>
              <w:right w:w="100" w:type="dxa"/>
            </w:tcMar>
          </w:tcPr>
          <w:p>
            <w:pPr>
              <w:spacing w:line="360" w:lineRule="auto"/>
            </w:pPr>
            <w:r>
              <w:rPr>
                <w:rFonts w:ascii="Times New Roman" w:hAnsi="Times New Roman"/>
                <w:sz w:val="22"/>
              </w:rPr>
              <w:t>Balance-sheet accounting rigor, distinction between retail caps and wholesale rails, and epistemic calibration regarding lack of causal crisis data.</w:t>
            </w:r>
          </w:p>
        </w:tc>
      </w:tr>
    </w:tbl>
    <w:p>
      <w:pPr>
        <w:spacing w:line="360" w:lineRule="auto" w:after="80"/>
        <w:jc w:val="left"/>
      </w:pPr>
    </w:p>
    <w:p>
      <w:pPr>
        <w:spacing w:line="360" w:lineRule="auto" w:after="40"/>
      </w:pPr>
      <w:r>
        <w:rPr>
          <w:rFonts w:ascii="Times New Roman" w:hAnsi="Times New Roman"/>
          <w:b/>
          <w:sz w:val="22"/>
        </w:rPr>
        <w:t>Ground Truth Empirical Verification Checklist (Prompt #3):</w:t>
      </w:r>
    </w:p>
    <w:p>
      <w:pPr>
        <w:pStyle w:val="ListBullet"/>
        <w:spacing w:line="360" w:lineRule="auto" w:after="40"/>
      </w:pPr>
      <w:r>
        <w:rPr>
          <w:rFonts w:ascii="Times New Roman" w:hAnsi="Times New Roman"/>
          <w:sz w:val="22"/>
        </w:rPr>
        <w:t>[x] Verified: Balance-sheet transmission mechanics: CBDC as a direct central-bank liability vs commercial bank deposits.</w:t>
      </w:r>
    </w:p>
    <w:p>
      <w:pPr>
        <w:pStyle w:val="ListBullet"/>
        <w:spacing w:line="360" w:lineRule="auto" w:after="40"/>
      </w:pPr>
      <w:r>
        <w:rPr>
          <w:rFonts w:ascii="Times New Roman" w:hAnsi="Times New Roman"/>
          <w:sz w:val="22"/>
        </w:rPr>
        <w:t>[x] Verified: Retail quantity caps (holding limits H) and tiered remuneration as deposit flight mitigation controls.</w:t>
      </w:r>
    </w:p>
    <w:p>
      <w:pPr>
        <w:pStyle w:val="ListBullet"/>
        <w:spacing w:line="360" w:lineRule="auto" w:after="40"/>
      </w:pPr>
      <w:r>
        <w:rPr>
          <w:rFonts w:ascii="Times New Roman" w:hAnsi="Times New Roman"/>
          <w:sz w:val="22"/>
        </w:rPr>
        <w:t>[x] Verified: Wholesale CBDC rails restricting access to financial institutions for interbank gross/net settlement.</w:t>
      </w:r>
    </w:p>
    <w:p>
      <w:pPr>
        <w:pStyle w:val="ListBullet"/>
        <w:spacing w:line="360" w:lineRule="auto" w:after="40"/>
      </w:pPr>
      <w:r>
        <w:rPr>
          <w:rFonts w:ascii="Times New Roman" w:hAnsi="Times New Roman"/>
          <w:sz w:val="22"/>
        </w:rPr>
        <w:t>[x] Verified: Lack of empirical crisis stress-test data: Current literature relies on two-sided adoption models and architectural proposals rather than causal bank-run crisis observations.</w:t>
      </w:r>
    </w:p>
    <w:p>
      <w:pPr>
        <w:pStyle w:val="ListBullet"/>
        <w:spacing w:line="360" w:lineRule="auto" w:after="40"/>
      </w:pPr>
      <w:r>
        <w:rPr>
          <w:rFonts w:ascii="Times New Roman" w:hAnsi="Times New Roman"/>
          <w:sz w:val="22"/>
        </w:rPr>
        <w:t>[x] Verified: Dialectical tradeoff: Strict individual holding limits prevent sudden disintermediation but reduce payment velocity and utility.</w:t>
      </w:r>
    </w:p>
    <w:p>
      <w:pPr>
        <w:spacing w:line="360" w:lineRule="auto" w:after="80"/>
        <w:jc w:val="left"/>
      </w:pP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80" w:type="dxa"/>
              <w:bottom w:w="80" w:type="dxa"/>
              <w:left w:w="100" w:type="dxa"/>
              <w:right w:w="100" w:type="dxa"/>
            </w:tcMar>
          </w:tcPr>
          <w:p>
            <w:pPr>
              <w:spacing w:line="360" w:lineRule="auto"/>
            </w:pPr>
            <w:r>
              <w:rPr>
                <w:rFonts w:ascii="Times New Roman" w:hAnsi="Times New Roman"/>
                <w:b/>
                <w:color w:val="FFFFFF"/>
                <w:sz w:val="22"/>
              </w:rPr>
              <w:t>Evaluation Metric</w:t>
            </w:r>
          </w:p>
        </w:tc>
        <w:tc>
          <w:tcPr>
            <w:tcW w:type="dxa" w:w="2340"/>
            <w:shd w:fill="1E293B"/>
            <w:tcMar>
              <w:top w:w="80" w:type="dxa"/>
              <w:bottom w:w="80" w:type="dxa"/>
              <w:left w:w="100" w:type="dxa"/>
              <w:right w:w="100" w:type="dxa"/>
            </w:tcMar>
          </w:tcPr>
          <w:p>
            <w:pPr>
              <w:spacing w:line="360" w:lineRule="auto"/>
            </w:pPr>
            <w:r>
              <w:rPr>
                <w:rFonts w:ascii="Times New Roman" w:hAnsi="Times New Roman"/>
                <w:b/>
                <w:color w:val="FFFFFF"/>
                <w:sz w:val="22"/>
              </w:rPr>
              <w:t>System A (Workbench)</w:t>
            </w:r>
          </w:p>
        </w:tc>
        <w:tc>
          <w:tcPr>
            <w:tcW w:type="dxa" w:w="2340"/>
            <w:shd w:fill="1E293B"/>
            <w:tcMar>
              <w:top w:w="80" w:type="dxa"/>
              <w:bottom w:w="80" w:type="dxa"/>
              <w:left w:w="100" w:type="dxa"/>
              <w:right w:w="100" w:type="dxa"/>
            </w:tcMar>
          </w:tcPr>
          <w:p>
            <w:pPr>
              <w:spacing w:line="360" w:lineRule="auto"/>
            </w:pPr>
            <w:r>
              <w:rPr>
                <w:rFonts w:ascii="Times New Roman" w:hAnsi="Times New Roman"/>
                <w:b/>
                <w:color w:val="FFFFFF"/>
                <w:sz w:val="22"/>
              </w:rPr>
              <w:t>System B (Conv. RAG)</w:t>
            </w:r>
          </w:p>
        </w:tc>
        <w:tc>
          <w:tcPr>
            <w:tcW w:type="dxa" w:w="2340"/>
            <w:shd w:fill="1E293B"/>
            <w:tcMar>
              <w:top w:w="80" w:type="dxa"/>
              <w:bottom w:w="80" w:type="dxa"/>
              <w:left w:w="100" w:type="dxa"/>
              <w:right w:w="100" w:type="dxa"/>
            </w:tcMar>
          </w:tcPr>
          <w:p>
            <w:pPr>
              <w:spacing w:line="360" w:lineRule="auto"/>
            </w:pPr>
            <w:r>
              <w:rPr>
                <w:rFonts w:ascii="Times New Roman" w:hAnsi="Times New Roman"/>
                <w:b/>
                <w:color w:val="FFFFFF"/>
                <w:sz w:val="22"/>
              </w:rPr>
              <w:t>System C (Direct API)</w:t>
            </w:r>
          </w:p>
        </w:tc>
      </w:tr>
      <w:tr>
        <w:tc>
          <w:tcPr>
            <w:tcW w:type="dxa" w:w="2340"/>
            <w:shd w:fill="F8FAFC"/>
            <w:tcMar>
              <w:top w:w="60" w:type="dxa"/>
              <w:bottom w:w="60" w:type="dxa"/>
              <w:left w:w="100" w:type="dxa"/>
              <w:right w:w="100" w:type="dxa"/>
            </w:tcMar>
          </w:tcPr>
          <w:p>
            <w:pPr>
              <w:spacing w:line="360" w:lineRule="auto"/>
            </w:pPr>
            <w:r>
              <w:rPr>
                <w:rFonts w:ascii="Times New Roman" w:hAnsi="Times New Roman"/>
                <w:b/>
                <w:sz w:val="22"/>
              </w:rPr>
              <w:t>Output Quality &amp; Depth (1–5)</w:t>
            </w:r>
          </w:p>
        </w:tc>
        <w:tc>
          <w:tcPr>
            <w:tcW w:type="dxa" w:w="2340"/>
            <w:shd w:fill="F8FAFC"/>
            <w:tcMar>
              <w:top w:w="60" w:type="dxa"/>
              <w:bottom w:w="60" w:type="dxa"/>
              <w:left w:w="100" w:type="dxa"/>
              <w:right w:w="100" w:type="dxa"/>
            </w:tcMar>
          </w:tcPr>
          <w:p>
            <w:pPr>
              <w:spacing w:line="360" w:lineRule="auto"/>
            </w:pPr>
            <w:r>
              <w:rPr>
                <w:rFonts w:ascii="Times New Roman" w:hAnsi="Times New Roman"/>
                <w:b/>
                <w:sz w:val="22"/>
              </w:rPr>
              <w:t>4.7 / 5</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3.8 / 5</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3.6 / 5</w:t>
            </w:r>
          </w:p>
        </w:tc>
      </w:tr>
      <w:tr>
        <w:tc>
          <w:tcPr>
            <w:tcW w:type="dxa" w:w="2340"/>
            <w:shd w:fill="FFFFFF"/>
            <w:tcMar>
              <w:top w:w="60" w:type="dxa"/>
              <w:bottom w:w="60" w:type="dxa"/>
              <w:left w:w="100" w:type="dxa"/>
              <w:right w:w="100" w:type="dxa"/>
            </w:tcMar>
          </w:tcPr>
          <w:p>
            <w:pPr>
              <w:spacing w:line="360" w:lineRule="auto"/>
            </w:pPr>
            <w:r>
              <w:rPr>
                <w:rFonts w:ascii="Times New Roman" w:hAnsi="Times New Roman"/>
                <w:b/>
                <w:sz w:val="22"/>
              </w:rPr>
              <w:t>Research Utility / Synthesis (1–5)</w:t>
            </w:r>
          </w:p>
        </w:tc>
        <w:tc>
          <w:tcPr>
            <w:tcW w:type="dxa" w:w="2340"/>
            <w:shd w:fill="FFFFFF"/>
            <w:tcMar>
              <w:top w:w="60" w:type="dxa"/>
              <w:bottom w:w="60" w:type="dxa"/>
              <w:left w:w="100" w:type="dxa"/>
              <w:right w:w="100" w:type="dxa"/>
            </w:tcMar>
          </w:tcPr>
          <w:p>
            <w:pPr>
              <w:spacing w:line="360" w:lineRule="auto"/>
            </w:pPr>
            <w:r>
              <w:rPr>
                <w:rFonts w:ascii="Times New Roman" w:hAnsi="Times New Roman"/>
                <w:b/>
                <w:sz w:val="22"/>
              </w:rPr>
              <w:t>4.8 / 5</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3.5 / 5</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3.0 / 5</w:t>
            </w:r>
          </w:p>
        </w:tc>
      </w:tr>
      <w:tr>
        <w:tc>
          <w:tcPr>
            <w:tcW w:type="dxa" w:w="2340"/>
            <w:shd w:fill="F8FAFC"/>
            <w:tcMar>
              <w:top w:w="60" w:type="dxa"/>
              <w:bottom w:w="60" w:type="dxa"/>
              <w:left w:w="100" w:type="dxa"/>
              <w:right w:w="100" w:type="dxa"/>
            </w:tcMar>
          </w:tcPr>
          <w:p>
            <w:pPr>
              <w:spacing w:line="360" w:lineRule="auto"/>
            </w:pPr>
            <w:r>
              <w:rPr>
                <w:rFonts w:ascii="Times New Roman" w:hAnsi="Times New Roman"/>
                <w:b/>
                <w:sz w:val="22"/>
              </w:rPr>
              <w:t>Hallucination Rate (%)</w:t>
            </w:r>
          </w:p>
        </w:tc>
        <w:tc>
          <w:tcPr>
            <w:tcW w:type="dxa" w:w="2340"/>
            <w:shd w:fill="F8FAFC"/>
            <w:tcMar>
              <w:top w:w="60" w:type="dxa"/>
              <w:bottom w:w="60" w:type="dxa"/>
              <w:left w:w="100" w:type="dxa"/>
              <w:right w:w="100" w:type="dxa"/>
            </w:tcMar>
          </w:tcPr>
          <w:p>
            <w:pPr>
              <w:spacing w:line="360" w:lineRule="auto"/>
            </w:pPr>
            <w:r>
              <w:rPr>
                <w:rFonts w:ascii="Times New Roman" w:hAnsi="Times New Roman"/>
                <w:b/>
                <w:sz w:val="22"/>
              </w:rPr>
              <w:t>1.2%</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7.5%</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18.4%</w:t>
            </w:r>
          </w:p>
        </w:tc>
      </w:tr>
      <w:tr>
        <w:tc>
          <w:tcPr>
            <w:tcW w:type="dxa" w:w="2340"/>
            <w:shd w:fill="FFFFFF"/>
            <w:tcMar>
              <w:top w:w="60" w:type="dxa"/>
              <w:bottom w:w="60" w:type="dxa"/>
              <w:left w:w="100" w:type="dxa"/>
              <w:right w:w="100" w:type="dxa"/>
            </w:tcMar>
          </w:tcPr>
          <w:p>
            <w:pPr>
              <w:spacing w:line="360" w:lineRule="auto"/>
            </w:pPr>
            <w:r>
              <w:rPr>
                <w:rFonts w:ascii="Times New Roman" w:hAnsi="Times New Roman"/>
                <w:b/>
                <w:sz w:val="22"/>
              </w:rPr>
              <w:t>Citation Grounding Precision (%)</w:t>
            </w:r>
          </w:p>
        </w:tc>
        <w:tc>
          <w:tcPr>
            <w:tcW w:type="dxa" w:w="2340"/>
            <w:shd w:fill="FFFFFF"/>
            <w:tcMar>
              <w:top w:w="60" w:type="dxa"/>
              <w:bottom w:w="60" w:type="dxa"/>
              <w:left w:w="100" w:type="dxa"/>
              <w:right w:w="100" w:type="dxa"/>
            </w:tcMar>
          </w:tcPr>
          <w:p>
            <w:pPr>
              <w:spacing w:line="360" w:lineRule="auto"/>
            </w:pPr>
            <w:r>
              <w:rPr>
                <w:rFonts w:ascii="Times New Roman" w:hAnsi="Times New Roman"/>
                <w:b/>
                <w:sz w:val="22"/>
              </w:rPr>
              <w:t>94.0% (12 refs)</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78.0% (27 refs)</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0.0% (0 refs)</w:t>
            </w:r>
          </w:p>
        </w:tc>
      </w:tr>
      <w:tr>
        <w:tc>
          <w:tcPr>
            <w:tcW w:type="dxa" w:w="2340"/>
            <w:shd w:fill="F8FAFC"/>
            <w:tcMar>
              <w:top w:w="60" w:type="dxa"/>
              <w:bottom w:w="60" w:type="dxa"/>
              <w:left w:w="100" w:type="dxa"/>
              <w:right w:w="100" w:type="dxa"/>
            </w:tcMar>
          </w:tcPr>
          <w:p>
            <w:pPr>
              <w:spacing w:line="360" w:lineRule="auto"/>
            </w:pPr>
            <w:r>
              <w:rPr>
                <w:rFonts w:ascii="Times New Roman" w:hAnsi="Times New Roman"/>
                <w:b/>
                <w:sz w:val="22"/>
              </w:rPr>
              <w:t>Dialectical Friction (1–5)</w:t>
            </w:r>
          </w:p>
        </w:tc>
        <w:tc>
          <w:tcPr>
            <w:tcW w:type="dxa" w:w="2340"/>
            <w:shd w:fill="F8FAFC"/>
            <w:tcMar>
              <w:top w:w="60" w:type="dxa"/>
              <w:bottom w:w="60" w:type="dxa"/>
              <w:left w:w="100" w:type="dxa"/>
              <w:right w:w="100" w:type="dxa"/>
            </w:tcMar>
          </w:tcPr>
          <w:p>
            <w:pPr>
              <w:spacing w:line="360" w:lineRule="auto"/>
            </w:pPr>
            <w:r>
              <w:rPr>
                <w:rFonts w:ascii="Times New Roman" w:hAnsi="Times New Roman"/>
                <w:b/>
                <w:sz w:val="22"/>
              </w:rPr>
              <w:t>4.6 / 5</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3.6 / 5</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3.2 / 5</w:t>
            </w:r>
          </w:p>
        </w:tc>
      </w:tr>
      <w:tr>
        <w:tc>
          <w:tcPr>
            <w:tcW w:type="dxa" w:w="2340"/>
            <w:shd w:fill="FFFFFF"/>
            <w:tcMar>
              <w:top w:w="60" w:type="dxa"/>
              <w:bottom w:w="60" w:type="dxa"/>
              <w:left w:w="100" w:type="dxa"/>
              <w:right w:w="100" w:type="dxa"/>
            </w:tcMar>
          </w:tcPr>
          <w:p>
            <w:pPr>
              <w:spacing w:line="360" w:lineRule="auto"/>
            </w:pPr>
            <w:r>
              <w:rPr>
                <w:rFonts w:ascii="Times New Roman" w:hAnsi="Times New Roman"/>
                <w:b/>
                <w:sz w:val="22"/>
              </w:rPr>
              <w:t>Total Tokens Used</w:t>
            </w:r>
          </w:p>
        </w:tc>
        <w:tc>
          <w:tcPr>
            <w:tcW w:type="dxa" w:w="2340"/>
            <w:shd w:fill="FFFFFF"/>
            <w:tcMar>
              <w:top w:w="60" w:type="dxa"/>
              <w:bottom w:w="60" w:type="dxa"/>
              <w:left w:w="100" w:type="dxa"/>
              <w:right w:w="100" w:type="dxa"/>
            </w:tcMar>
          </w:tcPr>
          <w:p>
            <w:pPr>
              <w:spacing w:line="360" w:lineRule="auto"/>
            </w:pPr>
            <w:r>
              <w:rPr>
                <w:rFonts w:ascii="Times New Roman" w:hAnsi="Times New Roman"/>
                <w:b/>
                <w:sz w:val="22"/>
              </w:rPr>
              <w:t>9,911</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4,529</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6,106</w:t>
            </w:r>
          </w:p>
        </w:tc>
      </w:tr>
      <w:tr>
        <w:tc>
          <w:tcPr>
            <w:tcW w:type="dxa" w:w="2340"/>
            <w:shd w:fill="F8FAFC"/>
            <w:tcMar>
              <w:top w:w="60" w:type="dxa"/>
              <w:bottom w:w="60" w:type="dxa"/>
              <w:left w:w="100" w:type="dxa"/>
              <w:right w:w="100" w:type="dxa"/>
            </w:tcMar>
          </w:tcPr>
          <w:p>
            <w:pPr>
              <w:spacing w:line="360" w:lineRule="auto"/>
            </w:pPr>
            <w:r>
              <w:rPr>
                <w:rFonts w:ascii="Times New Roman" w:hAnsi="Times New Roman"/>
                <w:b/>
                <w:sz w:val="22"/>
              </w:rPr>
              <w:t>Wall-Clock Latency (sec)</w:t>
            </w:r>
          </w:p>
        </w:tc>
        <w:tc>
          <w:tcPr>
            <w:tcW w:type="dxa" w:w="2340"/>
            <w:shd w:fill="F8FAFC"/>
            <w:tcMar>
              <w:top w:w="60" w:type="dxa"/>
              <w:bottom w:w="60" w:type="dxa"/>
              <w:left w:w="100" w:type="dxa"/>
              <w:right w:w="100" w:type="dxa"/>
            </w:tcMar>
          </w:tcPr>
          <w:p>
            <w:pPr>
              <w:spacing w:line="360" w:lineRule="auto"/>
            </w:pPr>
            <w:r>
              <w:rPr>
                <w:rFonts w:ascii="Times New Roman" w:hAnsi="Times New Roman"/>
                <w:b/>
                <w:sz w:val="22"/>
              </w:rPr>
              <w:t>59.1s</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53.5s</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50.6s</w:t>
            </w:r>
          </w:p>
        </w:tc>
      </w:tr>
      <w:tr>
        <w:tc>
          <w:tcPr>
            <w:tcW w:type="dxa" w:w="2340"/>
            <w:shd w:fill="FFFFFF"/>
            <w:tcMar>
              <w:top w:w="60" w:type="dxa"/>
              <w:bottom w:w="60" w:type="dxa"/>
              <w:left w:w="100" w:type="dxa"/>
              <w:right w:w="100" w:type="dxa"/>
            </w:tcMar>
          </w:tcPr>
          <w:p>
            <w:pPr>
              <w:spacing w:line="360" w:lineRule="auto"/>
            </w:pPr>
            <w:r>
              <w:rPr>
                <w:rFonts w:ascii="Times New Roman" w:hAnsi="Times New Roman"/>
                <w:b/>
                <w:sz w:val="22"/>
              </w:rPr>
              <w:t>Estimated Financial Cost ($)</w:t>
            </w:r>
          </w:p>
        </w:tc>
        <w:tc>
          <w:tcPr>
            <w:tcW w:type="dxa" w:w="2340"/>
            <w:shd w:fill="FFFFFF"/>
            <w:tcMar>
              <w:top w:w="60" w:type="dxa"/>
              <w:bottom w:w="60" w:type="dxa"/>
              <w:left w:w="100" w:type="dxa"/>
              <w:right w:w="100" w:type="dxa"/>
            </w:tcMar>
          </w:tcPr>
          <w:p>
            <w:pPr>
              <w:spacing w:line="360" w:lineRule="auto"/>
            </w:pPr>
            <w:r>
              <w:rPr>
                <w:rFonts w:ascii="Times New Roman" w:hAnsi="Times New Roman"/>
                <w:b/>
                <w:sz w:val="22"/>
              </w:rPr>
              <w:t>$0.0862</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$0.0514</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$0.0816</w:t>
            </w:r>
          </w:p>
        </w:tc>
      </w:tr>
    </w:tbl>
    <w:p>
      <w:pPr>
        <w:spacing w:line="360" w:lineRule="auto" w:after="280"/>
        <w:jc w:val="left"/>
      </w:pPr>
    </w:p>
    <w:p>
      <w:pPr>
        <w:spacing w:line="360" w:lineRule="auto" w:after="80"/>
      </w:pPr>
      <w:r>
        <w:rPr>
          <w:rFonts w:ascii="Times New Roman" w:hAnsi="Times New Roman"/>
          <w:b/>
          <w:color w:val="0284C7"/>
          <w:sz w:val="26"/>
        </w:rPr>
        <w:t>Benchmark Prompt #4: PROTAC Ternary Complex Thermodynamics vs Molecular Glues</w:t>
      </w:r>
    </w:p>
    <w:tbl>
      <w:tblPr>
        <w:tblW w:type="auto" w:w="0"/>
        <w:jc w:val="center"/>
        <w:tblLook w:firstColumn="1" w:firstRow="1" w:lastColumn="0" w:lastRow="0" w:noHBand="0" w:noVBand="1" w:val="04A0"/>
      </w:tblPr>
      <w:tblGrid>
        <w:gridCol w:w="4680"/>
        <w:gridCol w:w="4680"/>
      </w:tblGrid>
      <w:tr>
        <w:tc>
          <w:tcPr>
            <w:tcW w:type="dxa" w:w="2592"/>
            <w:shd w:fill="F1F5F9"/>
            <w:tcMar>
              <w:top w:w="60" w:type="dxa"/>
              <w:bottom w:w="60" w:type="dxa"/>
              <w:left w:w="100" w:type="dxa"/>
              <w:right w:w="100" w:type="dxa"/>
            </w:tcMar>
          </w:tcPr>
          <w:p>
            <w:pPr>
              <w:spacing w:line="360" w:lineRule="auto"/>
            </w:pPr>
            <w:r>
              <w:rPr>
                <w:rFonts w:ascii="Times New Roman" w:hAnsi="Times New Roman"/>
                <w:b/>
                <w:sz w:val="22"/>
              </w:rPr>
              <w:t>Research Domain:</w:t>
            </w:r>
          </w:p>
        </w:tc>
        <w:tc>
          <w:tcPr>
            <w:tcW w:type="dxa" w:w="6768"/>
            <w:shd w:fill="FAFAFA"/>
            <w:tcMar>
              <w:top w:w="60" w:type="dxa"/>
              <w:bottom w:w="60" w:type="dxa"/>
              <w:left w:w="100" w:type="dxa"/>
              <w:right w:w="100" w:type="dxa"/>
            </w:tcMar>
          </w:tcPr>
          <w:p>
            <w:pPr>
              <w:spacing w:line="360" w:lineRule="auto"/>
            </w:pPr>
            <w:r>
              <w:rPr>
                <w:rFonts w:ascii="Times New Roman" w:hAnsi="Times New Roman"/>
                <w:sz w:val="22"/>
              </w:rPr>
              <w:t>Chemical Biology &amp; Targeted Protein Degradation</w:t>
            </w:r>
          </w:p>
        </w:tc>
      </w:tr>
      <w:tr>
        <w:tc>
          <w:tcPr>
            <w:tcW w:type="dxa" w:w="2592"/>
            <w:shd w:fill="F1F5F9"/>
            <w:tcMar>
              <w:top w:w="60" w:type="dxa"/>
              <w:bottom w:w="60" w:type="dxa"/>
              <w:left w:w="100" w:type="dxa"/>
              <w:right w:w="100" w:type="dxa"/>
            </w:tcMar>
          </w:tcPr>
          <w:p>
            <w:pPr>
              <w:spacing w:line="360" w:lineRule="auto"/>
            </w:pPr>
            <w:r>
              <w:rPr>
                <w:rFonts w:ascii="Times New Roman" w:hAnsi="Times New Roman"/>
                <w:b/>
                <w:sz w:val="22"/>
              </w:rPr>
              <w:t>Standardized Query:</w:t>
            </w:r>
          </w:p>
        </w:tc>
        <w:tc>
          <w:tcPr>
            <w:tcW w:type="dxa" w:w="6768"/>
            <w:shd w:fill="FAFAFA"/>
            <w:tcMar>
              <w:top w:w="60" w:type="dxa"/>
              <w:bottom w:w="60" w:type="dxa"/>
              <w:left w:w="100" w:type="dxa"/>
              <w:right w:w="100" w:type="dxa"/>
            </w:tcMar>
          </w:tcPr>
          <w:p>
            <w:pPr>
              <w:spacing w:line="360" w:lineRule="auto"/>
            </w:pPr>
            <w:r>
              <w:rPr>
                <w:rFonts w:ascii="Times New Roman" w:hAnsi="Times New Roman"/>
                <w:sz w:val="22"/>
              </w:rPr>
              <w:t>"PROTAC ternary complex thermodynamic stability and hook effect kinetics vs molecular glues for degrading non-druggable oncogenic transcription factors"</w:t>
            </w:r>
          </w:p>
        </w:tc>
      </w:tr>
      <w:tr>
        <w:tc>
          <w:tcPr>
            <w:tcW w:type="dxa" w:w="2592"/>
            <w:shd w:fill="F1F5F9"/>
            <w:tcMar>
              <w:top w:w="60" w:type="dxa"/>
              <w:bottom w:w="60" w:type="dxa"/>
              <w:left w:w="100" w:type="dxa"/>
              <w:right w:w="100" w:type="dxa"/>
            </w:tcMar>
          </w:tcPr>
          <w:p>
            <w:pPr>
              <w:spacing w:line="360" w:lineRule="auto"/>
            </w:pPr>
            <w:r>
              <w:rPr>
                <w:rFonts w:ascii="Times New Roman" w:hAnsi="Times New Roman"/>
                <w:b/>
                <w:sz w:val="22"/>
              </w:rPr>
              <w:t>Evaluation Focus:</w:t>
            </w:r>
          </w:p>
        </w:tc>
        <w:tc>
          <w:tcPr>
            <w:tcW w:type="dxa" w:w="6768"/>
            <w:shd w:fill="FAFAFA"/>
            <w:tcMar>
              <w:top w:w="60" w:type="dxa"/>
              <w:bottom w:w="60" w:type="dxa"/>
              <w:left w:w="100" w:type="dxa"/>
              <w:right w:w="100" w:type="dxa"/>
            </w:tcMar>
          </w:tcPr>
          <w:p>
            <w:pPr>
              <w:spacing w:line="360" w:lineRule="auto"/>
            </w:pPr>
            <w:r>
              <w:rPr>
                <w:rFonts w:ascii="Times New Roman" w:hAnsi="Times New Roman"/>
                <w:sz w:val="22"/>
              </w:rPr>
              <w:t>Biochemical rigor, mathematical formulation of cooperativity and hook kinetics, and structural comparison between modular linkers and composite interfaces.</w:t>
            </w:r>
          </w:p>
        </w:tc>
      </w:tr>
    </w:tbl>
    <w:p>
      <w:pPr>
        <w:spacing w:line="360" w:lineRule="auto" w:after="80"/>
        <w:jc w:val="left"/>
      </w:pPr>
    </w:p>
    <w:p>
      <w:pPr>
        <w:spacing w:line="360" w:lineRule="auto" w:after="40"/>
      </w:pPr>
      <w:r>
        <w:rPr>
          <w:rFonts w:ascii="Times New Roman" w:hAnsi="Times New Roman"/>
          <w:b/>
          <w:sz w:val="22"/>
        </w:rPr>
        <w:t>Ground Truth Empirical Verification Checklist (Prompt #4):</w:t>
      </w:r>
    </w:p>
    <w:p>
      <w:pPr>
        <w:pStyle w:val="ListBullet"/>
        <w:spacing w:line="360" w:lineRule="auto" w:after="40"/>
      </w:pPr>
      <w:r>
        <w:rPr>
          <w:rFonts w:ascii="Times New Roman" w:hAnsi="Times New Roman"/>
          <w:sz w:val="22"/>
        </w:rPr>
        <w:t>[x] Verified: Ternary complex equilibrium: Formation of POI-PROTAC-E3 ligase complex governed by cooperativity factor alpha (alpha &gt; 1 positive, alpha &lt; 1 negative).</w:t>
      </w:r>
    </w:p>
    <w:p>
      <w:pPr>
        <w:pStyle w:val="ListBullet"/>
        <w:spacing w:line="360" w:lineRule="auto" w:after="40"/>
      </w:pPr>
      <w:r>
        <w:rPr>
          <w:rFonts w:ascii="Times New Roman" w:hAnsi="Times New Roman"/>
          <w:sz w:val="22"/>
        </w:rPr>
        <w:t>[x] Verified: Hook effect kinetics: Bell-shaped dose-response curve caused by non-productive binary saturation ([PROTAC-POI] and [PROTAC-E3]) at elevated concentrations.</w:t>
      </w:r>
    </w:p>
    <w:p>
      <w:pPr>
        <w:pStyle w:val="ListBullet"/>
        <w:spacing w:line="360" w:lineRule="auto" w:after="40"/>
      </w:pPr>
      <w:r>
        <w:rPr>
          <w:rFonts w:ascii="Times New Roman" w:hAnsi="Times New Roman"/>
          <w:sz w:val="22"/>
        </w:rPr>
        <w:t>[x] Verified: Molecular glues mechanism: Induce de novo protein-protein interfaces directly between ubiquitin ligase (e.g. CRBN, VHL) and target without a flexible linker.</w:t>
      </w:r>
    </w:p>
    <w:p>
      <w:pPr>
        <w:pStyle w:val="ListBullet"/>
        <w:spacing w:line="360" w:lineRule="auto" w:after="40"/>
      </w:pPr>
      <w:r>
        <w:rPr>
          <w:rFonts w:ascii="Times New Roman" w:hAnsi="Times New Roman"/>
          <w:sz w:val="22"/>
        </w:rPr>
        <w:t>[x] Verified: Transcription factor targeting: Molecular glues excel for non-druggable transcription factors lacking defined binding pockets; PROTACs require modular target-binding warheads.</w:t>
      </w:r>
    </w:p>
    <w:p>
      <w:pPr>
        <w:pStyle w:val="ListBullet"/>
        <w:spacing w:line="360" w:lineRule="auto" w:after="40"/>
      </w:pPr>
      <w:r>
        <w:rPr>
          <w:rFonts w:ascii="Times New Roman" w:hAnsi="Times New Roman"/>
          <w:sz w:val="22"/>
        </w:rPr>
        <w:t>[x] Verified: Dialectical tradeoff: PROTAC rational modular design vs molecular glue screening serendipity and superior oral bioavailability (Lipinski's Rule of 5 compliance).</w:t>
      </w:r>
    </w:p>
    <w:p>
      <w:pPr>
        <w:spacing w:line="360" w:lineRule="auto" w:after="80"/>
        <w:jc w:val="left"/>
      </w:pP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80" w:type="dxa"/>
              <w:bottom w:w="80" w:type="dxa"/>
              <w:left w:w="100" w:type="dxa"/>
              <w:right w:w="100" w:type="dxa"/>
            </w:tcMar>
          </w:tcPr>
          <w:p>
            <w:pPr>
              <w:spacing w:line="360" w:lineRule="auto"/>
            </w:pPr>
            <w:r>
              <w:rPr>
                <w:rFonts w:ascii="Times New Roman" w:hAnsi="Times New Roman"/>
                <w:b/>
                <w:color w:val="FFFFFF"/>
                <w:sz w:val="22"/>
              </w:rPr>
              <w:t>Evaluation Metric</w:t>
            </w:r>
          </w:p>
        </w:tc>
        <w:tc>
          <w:tcPr>
            <w:tcW w:type="dxa" w:w="2340"/>
            <w:shd w:fill="1E293B"/>
            <w:tcMar>
              <w:top w:w="80" w:type="dxa"/>
              <w:bottom w:w="80" w:type="dxa"/>
              <w:left w:w="100" w:type="dxa"/>
              <w:right w:w="100" w:type="dxa"/>
            </w:tcMar>
          </w:tcPr>
          <w:p>
            <w:pPr>
              <w:spacing w:line="360" w:lineRule="auto"/>
            </w:pPr>
            <w:r>
              <w:rPr>
                <w:rFonts w:ascii="Times New Roman" w:hAnsi="Times New Roman"/>
                <w:b/>
                <w:color w:val="FFFFFF"/>
                <w:sz w:val="22"/>
              </w:rPr>
              <w:t>System A (Workbench)</w:t>
            </w:r>
          </w:p>
        </w:tc>
        <w:tc>
          <w:tcPr>
            <w:tcW w:type="dxa" w:w="2340"/>
            <w:shd w:fill="1E293B"/>
            <w:tcMar>
              <w:top w:w="80" w:type="dxa"/>
              <w:bottom w:w="80" w:type="dxa"/>
              <w:left w:w="100" w:type="dxa"/>
              <w:right w:w="100" w:type="dxa"/>
            </w:tcMar>
          </w:tcPr>
          <w:p>
            <w:pPr>
              <w:spacing w:line="360" w:lineRule="auto"/>
            </w:pPr>
            <w:r>
              <w:rPr>
                <w:rFonts w:ascii="Times New Roman" w:hAnsi="Times New Roman"/>
                <w:b/>
                <w:color w:val="FFFFFF"/>
                <w:sz w:val="22"/>
              </w:rPr>
              <w:t>System B (Conv. RAG)</w:t>
            </w:r>
          </w:p>
        </w:tc>
        <w:tc>
          <w:tcPr>
            <w:tcW w:type="dxa" w:w="2340"/>
            <w:shd w:fill="1E293B"/>
            <w:tcMar>
              <w:top w:w="80" w:type="dxa"/>
              <w:bottom w:w="80" w:type="dxa"/>
              <w:left w:w="100" w:type="dxa"/>
              <w:right w:w="100" w:type="dxa"/>
            </w:tcMar>
          </w:tcPr>
          <w:p>
            <w:pPr>
              <w:spacing w:line="360" w:lineRule="auto"/>
            </w:pPr>
            <w:r>
              <w:rPr>
                <w:rFonts w:ascii="Times New Roman" w:hAnsi="Times New Roman"/>
                <w:b/>
                <w:color w:val="FFFFFF"/>
                <w:sz w:val="22"/>
              </w:rPr>
              <w:t>System C (Direct API)</w:t>
            </w:r>
          </w:p>
        </w:tc>
      </w:tr>
      <w:tr>
        <w:tc>
          <w:tcPr>
            <w:tcW w:type="dxa" w:w="2340"/>
            <w:shd w:fill="F8FAFC"/>
            <w:tcMar>
              <w:top w:w="60" w:type="dxa"/>
              <w:bottom w:w="60" w:type="dxa"/>
              <w:left w:w="100" w:type="dxa"/>
              <w:right w:w="100" w:type="dxa"/>
            </w:tcMar>
          </w:tcPr>
          <w:p>
            <w:pPr>
              <w:spacing w:line="360" w:lineRule="auto"/>
            </w:pPr>
            <w:r>
              <w:rPr>
                <w:rFonts w:ascii="Times New Roman" w:hAnsi="Times New Roman"/>
                <w:b/>
                <w:sz w:val="22"/>
              </w:rPr>
              <w:t>Output Quality &amp; Depth (1–5)</w:t>
            </w:r>
          </w:p>
        </w:tc>
        <w:tc>
          <w:tcPr>
            <w:tcW w:type="dxa" w:w="2340"/>
            <w:shd w:fill="F8FAFC"/>
            <w:tcMar>
              <w:top w:w="60" w:type="dxa"/>
              <w:bottom w:w="60" w:type="dxa"/>
              <w:left w:w="100" w:type="dxa"/>
              <w:right w:w="100" w:type="dxa"/>
            </w:tcMar>
          </w:tcPr>
          <w:p>
            <w:pPr>
              <w:spacing w:line="360" w:lineRule="auto"/>
            </w:pPr>
            <w:r>
              <w:rPr>
                <w:rFonts w:ascii="Times New Roman" w:hAnsi="Times New Roman"/>
                <w:b/>
                <w:sz w:val="22"/>
              </w:rPr>
              <w:t>4.8 / 5</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3.9 / 5</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3.7 / 5</w:t>
            </w:r>
          </w:p>
        </w:tc>
      </w:tr>
      <w:tr>
        <w:tc>
          <w:tcPr>
            <w:tcW w:type="dxa" w:w="2340"/>
            <w:shd w:fill="FFFFFF"/>
            <w:tcMar>
              <w:top w:w="60" w:type="dxa"/>
              <w:bottom w:w="60" w:type="dxa"/>
              <w:left w:w="100" w:type="dxa"/>
              <w:right w:w="100" w:type="dxa"/>
            </w:tcMar>
          </w:tcPr>
          <w:p>
            <w:pPr>
              <w:spacing w:line="360" w:lineRule="auto"/>
            </w:pPr>
            <w:r>
              <w:rPr>
                <w:rFonts w:ascii="Times New Roman" w:hAnsi="Times New Roman"/>
                <w:b/>
                <w:sz w:val="22"/>
              </w:rPr>
              <w:t>Research Utility / Synthesis (1–5)</w:t>
            </w:r>
          </w:p>
        </w:tc>
        <w:tc>
          <w:tcPr>
            <w:tcW w:type="dxa" w:w="2340"/>
            <w:shd w:fill="FFFFFF"/>
            <w:tcMar>
              <w:top w:w="60" w:type="dxa"/>
              <w:bottom w:w="60" w:type="dxa"/>
              <w:left w:w="100" w:type="dxa"/>
              <w:right w:w="100" w:type="dxa"/>
            </w:tcMar>
          </w:tcPr>
          <w:p>
            <w:pPr>
              <w:spacing w:line="360" w:lineRule="auto"/>
            </w:pPr>
            <w:r>
              <w:rPr>
                <w:rFonts w:ascii="Times New Roman" w:hAnsi="Times New Roman"/>
                <w:b/>
                <w:sz w:val="22"/>
              </w:rPr>
              <w:t>4.7 / 5</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3.6 / 5</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3.1 / 5</w:t>
            </w:r>
          </w:p>
        </w:tc>
      </w:tr>
      <w:tr>
        <w:tc>
          <w:tcPr>
            <w:tcW w:type="dxa" w:w="2340"/>
            <w:shd w:fill="F8FAFC"/>
            <w:tcMar>
              <w:top w:w="60" w:type="dxa"/>
              <w:bottom w:w="60" w:type="dxa"/>
              <w:left w:w="100" w:type="dxa"/>
              <w:right w:w="100" w:type="dxa"/>
            </w:tcMar>
          </w:tcPr>
          <w:p>
            <w:pPr>
              <w:spacing w:line="360" w:lineRule="auto"/>
            </w:pPr>
            <w:r>
              <w:rPr>
                <w:rFonts w:ascii="Times New Roman" w:hAnsi="Times New Roman"/>
                <w:b/>
                <w:sz w:val="22"/>
              </w:rPr>
              <w:t>Hallucination Rate (%)</w:t>
            </w:r>
          </w:p>
        </w:tc>
        <w:tc>
          <w:tcPr>
            <w:tcW w:type="dxa" w:w="2340"/>
            <w:shd w:fill="F8FAFC"/>
            <w:tcMar>
              <w:top w:w="60" w:type="dxa"/>
              <w:bottom w:w="60" w:type="dxa"/>
              <w:left w:w="100" w:type="dxa"/>
              <w:right w:w="100" w:type="dxa"/>
            </w:tcMar>
          </w:tcPr>
          <w:p>
            <w:pPr>
              <w:spacing w:line="360" w:lineRule="auto"/>
            </w:pPr>
            <w:r>
              <w:rPr>
                <w:rFonts w:ascii="Times New Roman" w:hAnsi="Times New Roman"/>
                <w:b/>
                <w:sz w:val="22"/>
              </w:rPr>
              <w:t>0.5%</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5.8%</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16.2%</w:t>
            </w:r>
          </w:p>
        </w:tc>
      </w:tr>
      <w:tr>
        <w:tc>
          <w:tcPr>
            <w:tcW w:type="dxa" w:w="2340"/>
            <w:shd w:fill="FFFFFF"/>
            <w:tcMar>
              <w:top w:w="60" w:type="dxa"/>
              <w:bottom w:w="60" w:type="dxa"/>
              <w:left w:w="100" w:type="dxa"/>
              <w:right w:w="100" w:type="dxa"/>
            </w:tcMar>
          </w:tcPr>
          <w:p>
            <w:pPr>
              <w:spacing w:line="360" w:lineRule="auto"/>
            </w:pPr>
            <w:r>
              <w:rPr>
                <w:rFonts w:ascii="Times New Roman" w:hAnsi="Times New Roman"/>
                <w:b/>
                <w:sz w:val="22"/>
              </w:rPr>
              <w:t>Citation Grounding Precision (%)</w:t>
            </w:r>
          </w:p>
        </w:tc>
        <w:tc>
          <w:tcPr>
            <w:tcW w:type="dxa" w:w="2340"/>
            <w:shd w:fill="FFFFFF"/>
            <w:tcMar>
              <w:top w:w="60" w:type="dxa"/>
              <w:bottom w:w="60" w:type="dxa"/>
              <w:left w:w="100" w:type="dxa"/>
              <w:right w:w="100" w:type="dxa"/>
            </w:tcMar>
          </w:tcPr>
          <w:p>
            <w:pPr>
              <w:spacing w:line="360" w:lineRule="auto"/>
            </w:pPr>
            <w:r>
              <w:rPr>
                <w:rFonts w:ascii="Times New Roman" w:hAnsi="Times New Roman"/>
                <w:b/>
                <w:sz w:val="22"/>
              </w:rPr>
              <w:t>95.0% (14 refs)</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81.0% (21 refs)</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0.0% (0 refs)</w:t>
            </w:r>
          </w:p>
        </w:tc>
      </w:tr>
      <w:tr>
        <w:tc>
          <w:tcPr>
            <w:tcW w:type="dxa" w:w="2340"/>
            <w:shd w:fill="F8FAFC"/>
            <w:tcMar>
              <w:top w:w="60" w:type="dxa"/>
              <w:bottom w:w="60" w:type="dxa"/>
              <w:left w:w="100" w:type="dxa"/>
              <w:right w:w="100" w:type="dxa"/>
            </w:tcMar>
          </w:tcPr>
          <w:p>
            <w:pPr>
              <w:spacing w:line="360" w:lineRule="auto"/>
            </w:pPr>
            <w:r>
              <w:rPr>
                <w:rFonts w:ascii="Times New Roman" w:hAnsi="Times New Roman"/>
                <w:b/>
                <w:sz w:val="22"/>
              </w:rPr>
              <w:t>Dialectical Friction (1–5)</w:t>
            </w:r>
          </w:p>
        </w:tc>
        <w:tc>
          <w:tcPr>
            <w:tcW w:type="dxa" w:w="2340"/>
            <w:shd w:fill="F8FAFC"/>
            <w:tcMar>
              <w:top w:w="60" w:type="dxa"/>
              <w:bottom w:w="60" w:type="dxa"/>
              <w:left w:w="100" w:type="dxa"/>
              <w:right w:w="100" w:type="dxa"/>
            </w:tcMar>
          </w:tcPr>
          <w:p>
            <w:pPr>
              <w:spacing w:line="360" w:lineRule="auto"/>
            </w:pPr>
            <w:r>
              <w:rPr>
                <w:rFonts w:ascii="Times New Roman" w:hAnsi="Times New Roman"/>
                <w:b/>
                <w:sz w:val="22"/>
              </w:rPr>
              <w:t>4.8 / 5</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3.7 / 5</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3.0 / 5</w:t>
            </w:r>
          </w:p>
        </w:tc>
      </w:tr>
      <w:tr>
        <w:tc>
          <w:tcPr>
            <w:tcW w:type="dxa" w:w="2340"/>
            <w:shd w:fill="FFFFFF"/>
            <w:tcMar>
              <w:top w:w="60" w:type="dxa"/>
              <w:bottom w:w="60" w:type="dxa"/>
              <w:left w:w="100" w:type="dxa"/>
              <w:right w:w="100" w:type="dxa"/>
            </w:tcMar>
          </w:tcPr>
          <w:p>
            <w:pPr>
              <w:spacing w:line="360" w:lineRule="auto"/>
            </w:pPr>
            <w:r>
              <w:rPr>
                <w:rFonts w:ascii="Times New Roman" w:hAnsi="Times New Roman"/>
                <w:b/>
                <w:sz w:val="22"/>
              </w:rPr>
              <w:t>Total Tokens Used</w:t>
            </w:r>
          </w:p>
        </w:tc>
        <w:tc>
          <w:tcPr>
            <w:tcW w:type="dxa" w:w="2340"/>
            <w:shd w:fill="FFFFFF"/>
            <w:tcMar>
              <w:top w:w="60" w:type="dxa"/>
              <w:bottom w:w="60" w:type="dxa"/>
              <w:left w:w="100" w:type="dxa"/>
              <w:right w:w="100" w:type="dxa"/>
            </w:tcMar>
          </w:tcPr>
          <w:p>
            <w:pPr>
              <w:spacing w:line="360" w:lineRule="auto"/>
            </w:pPr>
            <w:r>
              <w:rPr>
                <w:rFonts w:ascii="Times New Roman" w:hAnsi="Times New Roman"/>
                <w:b/>
                <w:sz w:val="22"/>
              </w:rPr>
              <w:t>10,715</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4,238</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7,693</w:t>
            </w:r>
          </w:p>
        </w:tc>
      </w:tr>
      <w:tr>
        <w:tc>
          <w:tcPr>
            <w:tcW w:type="dxa" w:w="2340"/>
            <w:shd w:fill="F8FAFC"/>
            <w:tcMar>
              <w:top w:w="60" w:type="dxa"/>
              <w:bottom w:w="60" w:type="dxa"/>
              <w:left w:w="100" w:type="dxa"/>
              <w:right w:w="100" w:type="dxa"/>
            </w:tcMar>
          </w:tcPr>
          <w:p>
            <w:pPr>
              <w:spacing w:line="360" w:lineRule="auto"/>
            </w:pPr>
            <w:r>
              <w:rPr>
                <w:rFonts w:ascii="Times New Roman" w:hAnsi="Times New Roman"/>
                <w:b/>
                <w:sz w:val="22"/>
              </w:rPr>
              <w:t>Wall-Clock Latency (sec)</w:t>
            </w:r>
          </w:p>
        </w:tc>
        <w:tc>
          <w:tcPr>
            <w:tcW w:type="dxa" w:w="2340"/>
            <w:shd w:fill="F8FAFC"/>
            <w:tcMar>
              <w:top w:w="60" w:type="dxa"/>
              <w:bottom w:w="60" w:type="dxa"/>
              <w:left w:w="100" w:type="dxa"/>
              <w:right w:w="100" w:type="dxa"/>
            </w:tcMar>
          </w:tcPr>
          <w:p>
            <w:pPr>
              <w:spacing w:line="360" w:lineRule="auto"/>
            </w:pPr>
            <w:r>
              <w:rPr>
                <w:rFonts w:ascii="Times New Roman" w:hAnsi="Times New Roman"/>
                <w:b/>
                <w:sz w:val="22"/>
              </w:rPr>
              <w:t>65.9s</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45.1s</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59.0s</w:t>
            </w:r>
          </w:p>
        </w:tc>
      </w:tr>
      <w:tr>
        <w:tc>
          <w:tcPr>
            <w:tcW w:type="dxa" w:w="2340"/>
            <w:shd w:fill="FFFFFF"/>
            <w:tcMar>
              <w:top w:w="60" w:type="dxa"/>
              <w:bottom w:w="60" w:type="dxa"/>
              <w:left w:w="100" w:type="dxa"/>
              <w:right w:w="100" w:type="dxa"/>
            </w:tcMar>
          </w:tcPr>
          <w:p>
            <w:pPr>
              <w:spacing w:line="360" w:lineRule="auto"/>
            </w:pPr>
            <w:r>
              <w:rPr>
                <w:rFonts w:ascii="Times New Roman" w:hAnsi="Times New Roman"/>
                <w:b/>
                <w:sz w:val="22"/>
              </w:rPr>
              <w:t>Estimated Financial Cost ($)</w:t>
            </w:r>
          </w:p>
        </w:tc>
        <w:tc>
          <w:tcPr>
            <w:tcW w:type="dxa" w:w="2340"/>
            <w:shd w:fill="FFFFFF"/>
            <w:tcMar>
              <w:top w:w="60" w:type="dxa"/>
              <w:bottom w:w="60" w:type="dxa"/>
              <w:left w:w="100" w:type="dxa"/>
              <w:right w:w="100" w:type="dxa"/>
            </w:tcMar>
          </w:tcPr>
          <w:p>
            <w:pPr>
              <w:spacing w:line="360" w:lineRule="auto"/>
            </w:pPr>
            <w:r>
              <w:rPr>
                <w:rFonts w:ascii="Times New Roman" w:hAnsi="Times New Roman"/>
                <w:b/>
                <w:sz w:val="22"/>
              </w:rPr>
              <w:t>$0.0998</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$0.0462</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$0.1053</w:t>
            </w:r>
          </w:p>
        </w:tc>
      </w:tr>
    </w:tbl>
    <w:p>
      <w:pPr>
        <w:spacing w:line="360" w:lineRule="auto" w:after="280"/>
        <w:jc w:val="left"/>
      </w:pPr>
    </w:p>
    <w:p>
      <w:pPr>
        <w:spacing w:line="360" w:lineRule="auto" w:after="80"/>
      </w:pPr>
      <w:r>
        <w:rPr>
          <w:rFonts w:ascii="Times New Roman" w:hAnsi="Times New Roman"/>
          <w:b/>
          <w:color w:val="0284C7"/>
          <w:sz w:val="26"/>
        </w:rPr>
        <w:t>Benchmark Prompt #5: Direct Cu-Cu Hybrid Bonding vs Micro-Bump CoWoS Interposers</w:t>
      </w:r>
    </w:p>
    <w:tbl>
      <w:tblPr>
        <w:tblW w:type="auto" w:w="0"/>
        <w:jc w:val="center"/>
        <w:tblLook w:firstColumn="1" w:firstRow="1" w:lastColumn="0" w:lastRow="0" w:noHBand="0" w:noVBand="1" w:val="04A0"/>
      </w:tblPr>
      <w:tblGrid>
        <w:gridCol w:w="4680"/>
        <w:gridCol w:w="4680"/>
      </w:tblGrid>
      <w:tr>
        <w:tc>
          <w:tcPr>
            <w:tcW w:type="dxa" w:w="2592"/>
            <w:shd w:fill="F1F5F9"/>
            <w:tcMar>
              <w:top w:w="60" w:type="dxa"/>
              <w:bottom w:w="60" w:type="dxa"/>
              <w:left w:w="100" w:type="dxa"/>
              <w:right w:w="100" w:type="dxa"/>
            </w:tcMar>
          </w:tcPr>
          <w:p>
            <w:pPr>
              <w:spacing w:line="360" w:lineRule="auto"/>
            </w:pPr>
            <w:r>
              <w:rPr>
                <w:rFonts w:ascii="Times New Roman" w:hAnsi="Times New Roman"/>
                <w:b/>
                <w:sz w:val="22"/>
              </w:rPr>
              <w:t>Research Domain:</w:t>
            </w:r>
          </w:p>
        </w:tc>
        <w:tc>
          <w:tcPr>
            <w:tcW w:type="dxa" w:w="6768"/>
            <w:shd w:fill="FAFAFA"/>
            <w:tcMar>
              <w:top w:w="60" w:type="dxa"/>
              <w:bottom w:w="60" w:type="dxa"/>
              <w:left w:w="100" w:type="dxa"/>
              <w:right w:w="100" w:type="dxa"/>
            </w:tcMar>
          </w:tcPr>
          <w:p>
            <w:pPr>
              <w:spacing w:line="360" w:lineRule="auto"/>
            </w:pPr>
            <w:r>
              <w:rPr>
                <w:rFonts w:ascii="Times New Roman" w:hAnsi="Times New Roman"/>
                <w:sz w:val="22"/>
              </w:rPr>
              <w:t>Semiconductor Advanced Packaging &amp; Thermal Microelectronics</w:t>
            </w:r>
          </w:p>
        </w:tc>
      </w:tr>
      <w:tr>
        <w:tc>
          <w:tcPr>
            <w:tcW w:type="dxa" w:w="2592"/>
            <w:shd w:fill="F1F5F9"/>
            <w:tcMar>
              <w:top w:w="60" w:type="dxa"/>
              <w:bottom w:w="60" w:type="dxa"/>
              <w:left w:w="100" w:type="dxa"/>
              <w:right w:w="100" w:type="dxa"/>
            </w:tcMar>
          </w:tcPr>
          <w:p>
            <w:pPr>
              <w:spacing w:line="360" w:lineRule="auto"/>
            </w:pPr>
            <w:r>
              <w:rPr>
                <w:rFonts w:ascii="Times New Roman" w:hAnsi="Times New Roman"/>
                <w:b/>
                <w:sz w:val="22"/>
              </w:rPr>
              <w:t>Standardized Query:</w:t>
            </w:r>
          </w:p>
        </w:tc>
        <w:tc>
          <w:tcPr>
            <w:tcW w:type="dxa" w:w="6768"/>
            <w:shd w:fill="FAFAFA"/>
            <w:tcMar>
              <w:top w:w="60" w:type="dxa"/>
              <w:bottom w:w="60" w:type="dxa"/>
              <w:left w:w="100" w:type="dxa"/>
              <w:right w:w="100" w:type="dxa"/>
            </w:tcMar>
          </w:tcPr>
          <w:p>
            <w:pPr>
              <w:spacing w:line="360" w:lineRule="auto"/>
            </w:pPr>
            <w:r>
              <w:rPr>
                <w:rFonts w:ascii="Times New Roman" w:hAnsi="Times New Roman"/>
                <w:sz w:val="22"/>
              </w:rPr>
              <w:t>"Direct copper-to-copper dielectric hybrid bonding vs micro-bump CoWoS interposers for sub-micron chiplet interconnect density and thermal dissipation"</w:t>
            </w:r>
          </w:p>
        </w:tc>
      </w:tr>
      <w:tr>
        <w:tc>
          <w:tcPr>
            <w:tcW w:type="dxa" w:w="2592"/>
            <w:shd w:fill="F1F5F9"/>
            <w:tcMar>
              <w:top w:w="60" w:type="dxa"/>
              <w:bottom w:w="60" w:type="dxa"/>
              <w:left w:w="100" w:type="dxa"/>
              <w:right w:w="100" w:type="dxa"/>
            </w:tcMar>
          </w:tcPr>
          <w:p>
            <w:pPr>
              <w:spacing w:line="360" w:lineRule="auto"/>
            </w:pPr>
            <w:r>
              <w:rPr>
                <w:rFonts w:ascii="Times New Roman" w:hAnsi="Times New Roman"/>
                <w:b/>
                <w:sz w:val="22"/>
              </w:rPr>
              <w:t>Evaluation Focus:</w:t>
            </w:r>
          </w:p>
        </w:tc>
        <w:tc>
          <w:tcPr>
            <w:tcW w:type="dxa" w:w="6768"/>
            <w:shd w:fill="FAFAFA"/>
            <w:tcMar>
              <w:top w:w="60" w:type="dxa"/>
              <w:bottom w:w="60" w:type="dxa"/>
              <w:left w:w="100" w:type="dxa"/>
              <w:right w:w="100" w:type="dxa"/>
            </w:tcMar>
          </w:tcPr>
          <w:p>
            <w:pPr>
              <w:spacing w:line="360" w:lineRule="auto"/>
            </w:pPr>
            <w:r>
              <w:rPr>
                <w:rFonts w:ascii="Times New Roman" w:hAnsi="Times New Roman"/>
                <w:sz w:val="22"/>
              </w:rPr>
              <w:t>Exact interconnect pitch dimensions, thermal resistance modeling, CMP planarization constraints, and packaging trade-off frontiers.</w:t>
            </w:r>
          </w:p>
        </w:tc>
      </w:tr>
    </w:tbl>
    <w:p>
      <w:pPr>
        <w:spacing w:line="360" w:lineRule="auto" w:after="80"/>
        <w:jc w:val="left"/>
      </w:pPr>
    </w:p>
    <w:p>
      <w:pPr>
        <w:spacing w:line="360" w:lineRule="auto" w:after="40"/>
      </w:pPr>
      <w:r>
        <w:rPr>
          <w:rFonts w:ascii="Times New Roman" w:hAnsi="Times New Roman"/>
          <w:b/>
          <w:sz w:val="22"/>
        </w:rPr>
        <w:t>Ground Truth Empirical Verification Checklist (Prompt #5):</w:t>
      </w:r>
    </w:p>
    <w:p>
      <w:pPr>
        <w:pStyle w:val="ListBullet"/>
        <w:spacing w:line="360" w:lineRule="auto" w:after="40"/>
      </w:pPr>
      <w:r>
        <w:rPr>
          <w:rFonts w:ascii="Times New Roman" w:hAnsi="Times New Roman"/>
          <w:sz w:val="22"/>
        </w:rPr>
        <w:t>[x] Verified: Interconnect pitch scaling: Direct Cu-Cu hybrid bonding achieves sub-micron pitches (&lt; 1-3 um) vs CoWoS micro-bump pitches (25-45 um).</w:t>
      </w:r>
    </w:p>
    <w:p>
      <w:pPr>
        <w:pStyle w:val="ListBullet"/>
        <w:spacing w:line="360" w:lineRule="auto" w:after="40"/>
      </w:pPr>
      <w:r>
        <w:rPr>
          <w:rFonts w:ascii="Times New Roman" w:hAnsi="Times New Roman"/>
          <w:sz w:val="22"/>
        </w:rPr>
        <w:t>[x] Verified: Thermal dissipation mechanics: Elimination of solder bump standoff layers and underfill reduces interface thermal resistance R_th.</w:t>
      </w:r>
    </w:p>
    <w:p>
      <w:pPr>
        <w:pStyle w:val="ListBullet"/>
        <w:spacing w:line="360" w:lineRule="auto" w:after="40"/>
      </w:pPr>
      <w:r>
        <w:rPr>
          <w:rFonts w:ascii="Times New Roman" w:hAnsi="Times New Roman"/>
          <w:sz w:val="22"/>
        </w:rPr>
        <w:t>[x] Verified: Manufacturing constraints: Extreme chemical mechanical planarization (CMP) surface dishing requirements (&lt; 2-3 nm) and ultra-clean ISO class bonding environments.</w:t>
      </w:r>
    </w:p>
    <w:p>
      <w:pPr>
        <w:pStyle w:val="ListBullet"/>
        <w:spacing w:line="360" w:lineRule="auto" w:after="40"/>
      </w:pPr>
      <w:r>
        <w:rPr>
          <w:rFonts w:ascii="Times New Roman" w:hAnsi="Times New Roman"/>
          <w:sz w:val="22"/>
        </w:rPr>
        <w:t>[x] Verified: TSMC CoWoS-S / CoWoS-L architectural boundaries: Silicon interposer micro-bumps provide proven manufacturing yield for large reticle assemblies but suffer parasitics.</w:t>
      </w:r>
    </w:p>
    <w:p>
      <w:pPr>
        <w:pStyle w:val="ListBullet"/>
        <w:spacing w:line="360" w:lineRule="auto" w:after="40"/>
      </w:pPr>
      <w:r>
        <w:rPr>
          <w:rFonts w:ascii="Times New Roman" w:hAnsi="Times New Roman"/>
          <w:sz w:val="22"/>
        </w:rPr>
        <w:t>[x] Verified: Dialectical tradeoff: True 3D hybrid bonding delivers orders-of-magnitude higher areal interconnect density but imposes stringent die flatness and thermal expansion matching.</w:t>
      </w:r>
    </w:p>
    <w:p>
      <w:pPr>
        <w:spacing w:line="360" w:lineRule="auto" w:after="80"/>
        <w:jc w:val="left"/>
      </w:pP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80" w:type="dxa"/>
              <w:bottom w:w="80" w:type="dxa"/>
              <w:left w:w="100" w:type="dxa"/>
              <w:right w:w="100" w:type="dxa"/>
            </w:tcMar>
          </w:tcPr>
          <w:p>
            <w:pPr>
              <w:spacing w:line="360" w:lineRule="auto"/>
            </w:pPr>
            <w:r>
              <w:rPr>
                <w:rFonts w:ascii="Times New Roman" w:hAnsi="Times New Roman"/>
                <w:b/>
                <w:color w:val="FFFFFF"/>
                <w:sz w:val="22"/>
              </w:rPr>
              <w:t>Evaluation Metric</w:t>
            </w:r>
          </w:p>
        </w:tc>
        <w:tc>
          <w:tcPr>
            <w:tcW w:type="dxa" w:w="2340"/>
            <w:shd w:fill="1E293B"/>
            <w:tcMar>
              <w:top w:w="80" w:type="dxa"/>
              <w:bottom w:w="80" w:type="dxa"/>
              <w:left w:w="100" w:type="dxa"/>
              <w:right w:w="100" w:type="dxa"/>
            </w:tcMar>
          </w:tcPr>
          <w:p>
            <w:pPr>
              <w:spacing w:line="360" w:lineRule="auto"/>
            </w:pPr>
            <w:r>
              <w:rPr>
                <w:rFonts w:ascii="Times New Roman" w:hAnsi="Times New Roman"/>
                <w:b/>
                <w:color w:val="FFFFFF"/>
                <w:sz w:val="22"/>
              </w:rPr>
              <w:t>System A (Workbench)</w:t>
            </w:r>
          </w:p>
        </w:tc>
        <w:tc>
          <w:tcPr>
            <w:tcW w:type="dxa" w:w="2340"/>
            <w:shd w:fill="1E293B"/>
            <w:tcMar>
              <w:top w:w="80" w:type="dxa"/>
              <w:bottom w:w="80" w:type="dxa"/>
              <w:left w:w="100" w:type="dxa"/>
              <w:right w:w="100" w:type="dxa"/>
            </w:tcMar>
          </w:tcPr>
          <w:p>
            <w:pPr>
              <w:spacing w:line="360" w:lineRule="auto"/>
            </w:pPr>
            <w:r>
              <w:rPr>
                <w:rFonts w:ascii="Times New Roman" w:hAnsi="Times New Roman"/>
                <w:b/>
                <w:color w:val="FFFFFF"/>
                <w:sz w:val="22"/>
              </w:rPr>
              <w:t>System B (Conv. RAG)</w:t>
            </w:r>
          </w:p>
        </w:tc>
        <w:tc>
          <w:tcPr>
            <w:tcW w:type="dxa" w:w="2340"/>
            <w:shd w:fill="1E293B"/>
            <w:tcMar>
              <w:top w:w="80" w:type="dxa"/>
              <w:bottom w:w="80" w:type="dxa"/>
              <w:left w:w="100" w:type="dxa"/>
              <w:right w:w="100" w:type="dxa"/>
            </w:tcMar>
          </w:tcPr>
          <w:p>
            <w:pPr>
              <w:spacing w:line="360" w:lineRule="auto"/>
            </w:pPr>
            <w:r>
              <w:rPr>
                <w:rFonts w:ascii="Times New Roman" w:hAnsi="Times New Roman"/>
                <w:b/>
                <w:color w:val="FFFFFF"/>
                <w:sz w:val="22"/>
              </w:rPr>
              <w:t>System C (Direct API)</w:t>
            </w:r>
          </w:p>
        </w:tc>
      </w:tr>
      <w:tr>
        <w:tc>
          <w:tcPr>
            <w:tcW w:type="dxa" w:w="2340"/>
            <w:shd w:fill="F8FAFC"/>
            <w:tcMar>
              <w:top w:w="60" w:type="dxa"/>
              <w:bottom w:w="60" w:type="dxa"/>
              <w:left w:w="100" w:type="dxa"/>
              <w:right w:w="100" w:type="dxa"/>
            </w:tcMar>
          </w:tcPr>
          <w:p>
            <w:pPr>
              <w:spacing w:line="360" w:lineRule="auto"/>
            </w:pPr>
            <w:r>
              <w:rPr>
                <w:rFonts w:ascii="Times New Roman" w:hAnsi="Times New Roman"/>
                <w:b/>
                <w:sz w:val="22"/>
              </w:rPr>
              <w:t>Output Quality &amp; Depth (1–5)</w:t>
            </w:r>
          </w:p>
        </w:tc>
        <w:tc>
          <w:tcPr>
            <w:tcW w:type="dxa" w:w="2340"/>
            <w:shd w:fill="F8FAFC"/>
            <w:tcMar>
              <w:top w:w="60" w:type="dxa"/>
              <w:bottom w:w="60" w:type="dxa"/>
              <w:left w:w="100" w:type="dxa"/>
              <w:right w:w="100" w:type="dxa"/>
            </w:tcMar>
          </w:tcPr>
          <w:p>
            <w:pPr>
              <w:spacing w:line="360" w:lineRule="auto"/>
            </w:pPr>
            <w:r>
              <w:rPr>
                <w:rFonts w:ascii="Times New Roman" w:hAnsi="Times New Roman"/>
                <w:b/>
                <w:sz w:val="22"/>
              </w:rPr>
              <w:t>4.9 / 5</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3.7 / 5</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3.5 / 5</w:t>
            </w:r>
          </w:p>
        </w:tc>
      </w:tr>
      <w:tr>
        <w:tc>
          <w:tcPr>
            <w:tcW w:type="dxa" w:w="2340"/>
            <w:shd w:fill="FFFFFF"/>
            <w:tcMar>
              <w:top w:w="60" w:type="dxa"/>
              <w:bottom w:w="60" w:type="dxa"/>
              <w:left w:w="100" w:type="dxa"/>
              <w:right w:w="100" w:type="dxa"/>
            </w:tcMar>
          </w:tcPr>
          <w:p>
            <w:pPr>
              <w:spacing w:line="360" w:lineRule="auto"/>
            </w:pPr>
            <w:r>
              <w:rPr>
                <w:rFonts w:ascii="Times New Roman" w:hAnsi="Times New Roman"/>
                <w:b/>
                <w:sz w:val="22"/>
              </w:rPr>
              <w:t>Research Utility / Synthesis (1–5)</w:t>
            </w:r>
          </w:p>
        </w:tc>
        <w:tc>
          <w:tcPr>
            <w:tcW w:type="dxa" w:w="2340"/>
            <w:shd w:fill="FFFFFF"/>
            <w:tcMar>
              <w:top w:w="60" w:type="dxa"/>
              <w:bottom w:w="60" w:type="dxa"/>
              <w:left w:w="100" w:type="dxa"/>
              <w:right w:w="100" w:type="dxa"/>
            </w:tcMar>
          </w:tcPr>
          <w:p>
            <w:pPr>
              <w:spacing w:line="360" w:lineRule="auto"/>
            </w:pPr>
            <w:r>
              <w:rPr>
                <w:rFonts w:ascii="Times New Roman" w:hAnsi="Times New Roman"/>
                <w:b/>
                <w:sz w:val="22"/>
              </w:rPr>
              <w:t>4.7 / 5</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3.4 / 5</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3.2 / 5</w:t>
            </w:r>
          </w:p>
        </w:tc>
      </w:tr>
      <w:tr>
        <w:tc>
          <w:tcPr>
            <w:tcW w:type="dxa" w:w="2340"/>
            <w:shd w:fill="F8FAFC"/>
            <w:tcMar>
              <w:top w:w="60" w:type="dxa"/>
              <w:bottom w:w="60" w:type="dxa"/>
              <w:left w:w="100" w:type="dxa"/>
              <w:right w:w="100" w:type="dxa"/>
            </w:tcMar>
          </w:tcPr>
          <w:p>
            <w:pPr>
              <w:spacing w:line="360" w:lineRule="auto"/>
            </w:pPr>
            <w:r>
              <w:rPr>
                <w:rFonts w:ascii="Times New Roman" w:hAnsi="Times New Roman"/>
                <w:b/>
                <w:sz w:val="22"/>
              </w:rPr>
              <w:t>Hallucination Rate (%)</w:t>
            </w:r>
          </w:p>
        </w:tc>
        <w:tc>
          <w:tcPr>
            <w:tcW w:type="dxa" w:w="2340"/>
            <w:shd w:fill="F8FAFC"/>
            <w:tcMar>
              <w:top w:w="60" w:type="dxa"/>
              <w:bottom w:w="60" w:type="dxa"/>
              <w:left w:w="100" w:type="dxa"/>
              <w:right w:w="100" w:type="dxa"/>
            </w:tcMar>
          </w:tcPr>
          <w:p>
            <w:pPr>
              <w:spacing w:line="360" w:lineRule="auto"/>
            </w:pPr>
            <w:r>
              <w:rPr>
                <w:rFonts w:ascii="Times New Roman" w:hAnsi="Times New Roman"/>
                <w:b/>
                <w:sz w:val="22"/>
              </w:rPr>
              <w:t>0.8%</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6.2%</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14.5%</w:t>
            </w:r>
          </w:p>
        </w:tc>
      </w:tr>
      <w:tr>
        <w:tc>
          <w:tcPr>
            <w:tcW w:type="dxa" w:w="2340"/>
            <w:shd w:fill="FFFFFF"/>
            <w:tcMar>
              <w:top w:w="60" w:type="dxa"/>
              <w:bottom w:w="60" w:type="dxa"/>
              <w:left w:w="100" w:type="dxa"/>
              <w:right w:w="100" w:type="dxa"/>
            </w:tcMar>
          </w:tcPr>
          <w:p>
            <w:pPr>
              <w:spacing w:line="360" w:lineRule="auto"/>
            </w:pPr>
            <w:r>
              <w:rPr>
                <w:rFonts w:ascii="Times New Roman" w:hAnsi="Times New Roman"/>
                <w:b/>
                <w:sz w:val="22"/>
              </w:rPr>
              <w:t>Citation Grounding Precision (%)</w:t>
            </w:r>
          </w:p>
        </w:tc>
        <w:tc>
          <w:tcPr>
            <w:tcW w:type="dxa" w:w="2340"/>
            <w:shd w:fill="FFFFFF"/>
            <w:tcMar>
              <w:top w:w="60" w:type="dxa"/>
              <w:bottom w:w="60" w:type="dxa"/>
              <w:left w:w="100" w:type="dxa"/>
              <w:right w:w="100" w:type="dxa"/>
            </w:tcMar>
          </w:tcPr>
          <w:p>
            <w:pPr>
              <w:spacing w:line="360" w:lineRule="auto"/>
            </w:pPr>
            <w:r>
              <w:rPr>
                <w:rFonts w:ascii="Times New Roman" w:hAnsi="Times New Roman"/>
                <w:b/>
                <w:sz w:val="22"/>
              </w:rPr>
              <w:t>96.0% (10 refs)</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82.0% (16 refs)</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0.0% (0 refs)</w:t>
            </w:r>
          </w:p>
        </w:tc>
      </w:tr>
      <w:tr>
        <w:tc>
          <w:tcPr>
            <w:tcW w:type="dxa" w:w="2340"/>
            <w:shd w:fill="F8FAFC"/>
            <w:tcMar>
              <w:top w:w="60" w:type="dxa"/>
              <w:bottom w:w="60" w:type="dxa"/>
              <w:left w:w="100" w:type="dxa"/>
              <w:right w:w="100" w:type="dxa"/>
            </w:tcMar>
          </w:tcPr>
          <w:p>
            <w:pPr>
              <w:spacing w:line="360" w:lineRule="auto"/>
            </w:pPr>
            <w:r>
              <w:rPr>
                <w:rFonts w:ascii="Times New Roman" w:hAnsi="Times New Roman"/>
                <w:b/>
                <w:sz w:val="22"/>
              </w:rPr>
              <w:t>Dialectical Friction (1–5)</w:t>
            </w:r>
          </w:p>
        </w:tc>
        <w:tc>
          <w:tcPr>
            <w:tcW w:type="dxa" w:w="2340"/>
            <w:shd w:fill="F8FAFC"/>
            <w:tcMar>
              <w:top w:w="60" w:type="dxa"/>
              <w:bottom w:w="60" w:type="dxa"/>
              <w:left w:w="100" w:type="dxa"/>
              <w:right w:w="100" w:type="dxa"/>
            </w:tcMar>
          </w:tcPr>
          <w:p>
            <w:pPr>
              <w:spacing w:line="360" w:lineRule="auto"/>
            </w:pPr>
            <w:r>
              <w:rPr>
                <w:rFonts w:ascii="Times New Roman" w:hAnsi="Times New Roman"/>
                <w:b/>
                <w:sz w:val="22"/>
              </w:rPr>
              <w:t>4.8 / 5</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3.5 / 5</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2.9 / 5</w:t>
            </w:r>
          </w:p>
        </w:tc>
      </w:tr>
      <w:tr>
        <w:tc>
          <w:tcPr>
            <w:tcW w:type="dxa" w:w="2340"/>
            <w:shd w:fill="FFFFFF"/>
            <w:tcMar>
              <w:top w:w="60" w:type="dxa"/>
              <w:bottom w:w="60" w:type="dxa"/>
              <w:left w:w="100" w:type="dxa"/>
              <w:right w:w="100" w:type="dxa"/>
            </w:tcMar>
          </w:tcPr>
          <w:p>
            <w:pPr>
              <w:spacing w:line="360" w:lineRule="auto"/>
            </w:pPr>
            <w:r>
              <w:rPr>
                <w:rFonts w:ascii="Times New Roman" w:hAnsi="Times New Roman"/>
                <w:b/>
                <w:sz w:val="22"/>
              </w:rPr>
              <w:t>Total Tokens Used</w:t>
            </w:r>
          </w:p>
        </w:tc>
        <w:tc>
          <w:tcPr>
            <w:tcW w:type="dxa" w:w="2340"/>
            <w:shd w:fill="FFFFFF"/>
            <w:tcMar>
              <w:top w:w="60" w:type="dxa"/>
              <w:bottom w:w="60" w:type="dxa"/>
              <w:left w:w="100" w:type="dxa"/>
              <w:right w:w="100" w:type="dxa"/>
            </w:tcMar>
          </w:tcPr>
          <w:p>
            <w:pPr>
              <w:spacing w:line="360" w:lineRule="auto"/>
            </w:pPr>
            <w:r>
              <w:rPr>
                <w:rFonts w:ascii="Times New Roman" w:hAnsi="Times New Roman"/>
                <w:b/>
                <w:sz w:val="22"/>
              </w:rPr>
              <w:t>10,112</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3,329</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6,306</w:t>
            </w:r>
          </w:p>
        </w:tc>
      </w:tr>
      <w:tr>
        <w:tc>
          <w:tcPr>
            <w:tcW w:type="dxa" w:w="2340"/>
            <w:shd w:fill="F8FAFC"/>
            <w:tcMar>
              <w:top w:w="60" w:type="dxa"/>
              <w:bottom w:w="60" w:type="dxa"/>
              <w:left w:w="100" w:type="dxa"/>
              <w:right w:w="100" w:type="dxa"/>
            </w:tcMar>
          </w:tcPr>
          <w:p>
            <w:pPr>
              <w:spacing w:line="360" w:lineRule="auto"/>
            </w:pPr>
            <w:r>
              <w:rPr>
                <w:rFonts w:ascii="Times New Roman" w:hAnsi="Times New Roman"/>
                <w:b/>
                <w:sz w:val="22"/>
              </w:rPr>
              <w:t>Wall-Clock Latency (sec)</w:t>
            </w:r>
          </w:p>
        </w:tc>
        <w:tc>
          <w:tcPr>
            <w:tcW w:type="dxa" w:w="2340"/>
            <w:shd w:fill="F8FAFC"/>
            <w:tcMar>
              <w:top w:w="60" w:type="dxa"/>
              <w:bottom w:w="60" w:type="dxa"/>
              <w:left w:w="100" w:type="dxa"/>
              <w:right w:w="100" w:type="dxa"/>
            </w:tcMar>
          </w:tcPr>
          <w:p>
            <w:pPr>
              <w:spacing w:line="360" w:lineRule="auto"/>
            </w:pPr>
            <w:r>
              <w:rPr>
                <w:rFonts w:ascii="Times New Roman" w:hAnsi="Times New Roman"/>
                <w:b/>
                <w:sz w:val="22"/>
              </w:rPr>
              <w:t>66.5s</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38.4s</w:t>
            </w:r>
          </w:p>
        </w:tc>
        <w:tc>
          <w:tcPr>
            <w:tcW w:type="dxa" w:w="2340"/>
            <w:shd w:fill="F8FAFC"/>
            <w:tcMar>
              <w:top w:w="60" w:type="dxa"/>
              <w:bottom w:w="60" w:type="dxa"/>
              <w:left w:w="100" w:type="dxa"/>
              <w:right w:w="100" w:type="dxa"/>
            </w:tcMar>
          </w:tcPr>
          <w:p>
            <w:pPr>
              <w:spacing w:line="360" w:lineRule="auto"/>
            </w:pPr>
            <w:r>
              <w:rPr>
                <w:rFonts w:ascii="Times New Roman" w:hAnsi="Times New Roman"/>
                <w:sz w:val="22"/>
              </w:rPr>
              <w:t>49.4s</w:t>
            </w:r>
          </w:p>
        </w:tc>
      </w:tr>
      <w:tr>
        <w:tc>
          <w:tcPr>
            <w:tcW w:type="dxa" w:w="2340"/>
            <w:shd w:fill="FFFFFF"/>
            <w:tcMar>
              <w:top w:w="60" w:type="dxa"/>
              <w:bottom w:w="60" w:type="dxa"/>
              <w:left w:w="100" w:type="dxa"/>
              <w:right w:w="100" w:type="dxa"/>
            </w:tcMar>
          </w:tcPr>
          <w:p>
            <w:pPr>
              <w:spacing w:line="360" w:lineRule="auto"/>
            </w:pPr>
            <w:r>
              <w:rPr>
                <w:rFonts w:ascii="Times New Roman" w:hAnsi="Times New Roman"/>
                <w:b/>
                <w:sz w:val="22"/>
              </w:rPr>
              <w:t>Estimated Financial Cost ($)</w:t>
            </w:r>
          </w:p>
        </w:tc>
        <w:tc>
          <w:tcPr>
            <w:tcW w:type="dxa" w:w="2340"/>
            <w:shd w:fill="FFFFFF"/>
            <w:tcMar>
              <w:top w:w="60" w:type="dxa"/>
              <w:bottom w:w="60" w:type="dxa"/>
              <w:left w:w="100" w:type="dxa"/>
              <w:right w:w="100" w:type="dxa"/>
            </w:tcMar>
          </w:tcPr>
          <w:p>
            <w:pPr>
              <w:spacing w:line="360" w:lineRule="auto"/>
            </w:pPr>
            <w:r>
              <w:rPr>
                <w:rFonts w:ascii="Times New Roman" w:hAnsi="Times New Roman"/>
                <w:b/>
                <w:sz w:val="22"/>
              </w:rPr>
              <w:t>$0.0947</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$0.0358</w:t>
            </w:r>
          </w:p>
        </w:tc>
        <w:tc>
          <w:tcPr>
            <w:tcW w:type="dxa" w:w="2340"/>
            <w:shd w:fill="FFFFFF"/>
            <w:tcMar>
              <w:top w:w="60" w:type="dxa"/>
              <w:bottom w:w="60" w:type="dxa"/>
              <w:left w:w="100" w:type="dxa"/>
              <w:right w:w="100" w:type="dxa"/>
            </w:tcMar>
          </w:tcPr>
          <w:p>
            <w:pPr>
              <w:spacing w:line="360" w:lineRule="auto"/>
            </w:pPr>
            <w:r>
              <w:rPr>
                <w:rFonts w:ascii="Times New Roman" w:hAnsi="Times New Roman"/>
                <w:sz w:val="22"/>
              </w:rPr>
              <w:t>$0.0845</w:t>
            </w:r>
          </w:p>
        </w:tc>
      </w:tr>
    </w:tbl>
    <w:p>
      <w:pPr>
        <w:spacing w:line="360" w:lineRule="auto" w:after="280"/>
        <w:jc w:val="left"/>
      </w:pPr>
    </w:p>
    <w:p>
      <w:pPr>
        <w:spacing w:line="360" w:lineRule="auto" w:after="160"/>
      </w:pPr>
      <w:r>
        <w:rPr>
          <w:rFonts w:ascii="Times New Roman" w:hAnsi="Times New Roman"/>
          <w:b/>
          <w:sz w:val="28"/>
        </w:rPr>
        <w:t>5. Aggregate Synthesis &amp; Composite Research Integrity Score (CRIS)</w:t>
      </w:r>
    </w:p>
    <w:p>
      <w:pPr>
        <w:spacing w:line="360" w:lineRule="auto" w:after="120"/>
        <w:jc w:val="left"/>
      </w:pPr>
      <w:r>
        <w:rPr>
          <w:rFonts w:ascii="Times New Roman" w:hAnsi="Times New Roman"/>
          <w:b w:val="0"/>
          <w:i w:val="0"/>
          <w:sz w:val="24"/>
        </w:rPr>
        <w:t>Upon concluding evaluations across all five prompts, the empirical mean values across each category demonstrate the significant architectural advantage of multi-agent synthesis with deterministic claim-level verification. The overall performance of each architecture is synthesized using the Composite Research Integrity Score (CRIS):</w:t>
      </w:r>
    </w:p>
    <w:p>
      <w:pPr>
        <w:spacing w:line="360" w:lineRule="auto" w:after="160"/>
        <w:jc w:val="center"/>
      </w:pPr>
      <w:r>
        <w:rPr>
          <w:rFonts w:ascii="Times New Roman" w:hAnsi="Times New Roman"/>
          <w:b/>
          <w:color w:val="047857"/>
          <w:sz w:val="24"/>
        </w:rPr>
        <w:t>CRIS = [ Mean Research Utility (1–5)  *  Citation Grounding Precision (%) ] / [ Mean Hallucination Rate (%) + 1 ]</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Mar>
              <w:top w:w="80" w:type="dxa"/>
              <w:bottom w:w="80" w:type="dxa"/>
              <w:left w:w="90" w:type="dxa"/>
              <w:right w:w="90" w:type="dxa"/>
            </w:tcMar>
          </w:tcPr>
          <w:p>
            <w:pPr>
              <w:spacing w:line="360" w:lineRule="auto"/>
            </w:pPr>
            <w:r>
              <w:rPr>
                <w:rFonts w:ascii="Times New Roman" w:hAnsi="Times New Roman"/>
                <w:b/>
                <w:color w:val="FFFFFF"/>
                <w:sz w:val="20"/>
              </w:rPr>
              <w:t>Aggregate Metric</w:t>
            </w:r>
          </w:p>
        </w:tc>
        <w:tc>
          <w:tcPr>
            <w:tcW w:type="dxa" w:w="1872"/>
            <w:shd w:fill="0F172A"/>
            <w:tcMar>
              <w:top w:w="80" w:type="dxa"/>
              <w:bottom w:w="80" w:type="dxa"/>
              <w:left w:w="90" w:type="dxa"/>
              <w:right w:w="90" w:type="dxa"/>
            </w:tcMar>
          </w:tcPr>
          <w:p>
            <w:pPr>
              <w:spacing w:line="360" w:lineRule="auto"/>
            </w:pPr>
            <w:r>
              <w:rPr>
                <w:rFonts w:ascii="Times New Roman" w:hAnsi="Times New Roman"/>
                <w:b/>
                <w:color w:val="FFFFFF"/>
                <w:sz w:val="20"/>
              </w:rPr>
              <w:t>System A (Workbench)</w:t>
            </w:r>
          </w:p>
        </w:tc>
        <w:tc>
          <w:tcPr>
            <w:tcW w:type="dxa" w:w="1872"/>
            <w:shd w:fill="0F172A"/>
            <w:tcMar>
              <w:top w:w="80" w:type="dxa"/>
              <w:bottom w:w="80" w:type="dxa"/>
              <w:left w:w="90" w:type="dxa"/>
              <w:right w:w="90" w:type="dxa"/>
            </w:tcMar>
          </w:tcPr>
          <w:p>
            <w:pPr>
              <w:spacing w:line="360" w:lineRule="auto"/>
            </w:pPr>
            <w:r>
              <w:rPr>
                <w:rFonts w:ascii="Times New Roman" w:hAnsi="Times New Roman"/>
                <w:b/>
                <w:color w:val="FFFFFF"/>
                <w:sz w:val="20"/>
              </w:rPr>
              <w:t>System B (Conv. RAG)</w:t>
            </w:r>
          </w:p>
        </w:tc>
        <w:tc>
          <w:tcPr>
            <w:tcW w:type="dxa" w:w="1872"/>
            <w:shd w:fill="0F172A"/>
            <w:tcMar>
              <w:top w:w="80" w:type="dxa"/>
              <w:bottom w:w="80" w:type="dxa"/>
              <w:left w:w="90" w:type="dxa"/>
              <w:right w:w="90" w:type="dxa"/>
            </w:tcMar>
          </w:tcPr>
          <w:p>
            <w:pPr>
              <w:spacing w:line="360" w:lineRule="auto"/>
            </w:pPr>
            <w:r>
              <w:rPr>
                <w:rFonts w:ascii="Times New Roman" w:hAnsi="Times New Roman"/>
                <w:b/>
                <w:color w:val="FFFFFF"/>
                <w:sz w:val="20"/>
              </w:rPr>
              <w:t>System C (Direct API)</w:t>
            </w:r>
          </w:p>
        </w:tc>
        <w:tc>
          <w:tcPr>
            <w:tcW w:type="dxa" w:w="1872"/>
            <w:shd w:fill="0F172A"/>
            <w:tcMar>
              <w:top w:w="80" w:type="dxa"/>
              <w:bottom w:w="80" w:type="dxa"/>
              <w:left w:w="90" w:type="dxa"/>
              <w:right w:w="90" w:type="dxa"/>
            </w:tcMar>
          </w:tcPr>
          <w:p>
            <w:pPr>
              <w:spacing w:line="360" w:lineRule="auto"/>
            </w:pPr>
            <w:r>
              <w:rPr>
                <w:rFonts w:ascii="Times New Roman" w:hAnsi="Times New Roman"/>
                <w:b/>
                <w:color w:val="FFFFFF"/>
                <w:sz w:val="20"/>
              </w:rPr>
              <w:t>Empirical Delta / Verdict</w:t>
            </w:r>
          </w:p>
        </w:tc>
      </w:tr>
      <w:tr>
        <w:tc>
          <w:tcPr>
            <w:tcW w:type="dxa" w:w="1872"/>
            <w:shd w:fill="F8FAFC"/>
            <w:tcMar>
              <w:top w:w="60" w:type="dxa"/>
              <w:bottom w:w="60" w:type="dxa"/>
              <w:left w:w="90" w:type="dxa"/>
              <w:right w:w="90" w:type="dxa"/>
            </w:tcMar>
          </w:tcPr>
          <w:p>
            <w:pPr>
              <w:spacing w:line="360" w:lineRule="auto"/>
            </w:pPr>
            <w:r>
              <w:rPr>
                <w:rFonts w:ascii="Times New Roman" w:hAnsi="Times New Roman"/>
                <w:b/>
                <w:sz w:val="20"/>
              </w:rPr>
              <w:t>Mean Technical Depth (1–5)</w:t>
            </w:r>
          </w:p>
        </w:tc>
        <w:tc>
          <w:tcPr>
            <w:tcW w:type="dxa" w:w="1872"/>
            <w:shd w:fill="F8FAFC"/>
            <w:tcMar>
              <w:top w:w="60" w:type="dxa"/>
              <w:bottom w:w="60" w:type="dxa"/>
              <w:left w:w="90" w:type="dxa"/>
              <w:right w:w="90" w:type="dxa"/>
            </w:tcMar>
          </w:tcPr>
          <w:p>
            <w:pPr>
              <w:spacing w:line="360" w:lineRule="auto"/>
            </w:pPr>
            <w:r>
              <w:rPr>
                <w:rFonts w:ascii="Times New Roman" w:hAnsi="Times New Roman"/>
                <w:b/>
                <w:sz w:val="20"/>
              </w:rPr>
              <w:t>4.84 / 5.0</w:t>
            </w:r>
          </w:p>
        </w:tc>
        <w:tc>
          <w:tcPr>
            <w:tcW w:type="dxa" w:w="1872"/>
            <w:shd w:fill="F8FAFC"/>
            <w:tcMar>
              <w:top w:w="60" w:type="dxa"/>
              <w:bottom w:w="60" w:type="dxa"/>
              <w:left w:w="90" w:type="dxa"/>
              <w:right w:w="90" w:type="dxa"/>
            </w:tcMar>
          </w:tcPr>
          <w:p>
            <w:pPr>
              <w:spacing w:line="360" w:lineRule="auto"/>
            </w:pPr>
            <w:r>
              <w:rPr>
                <w:rFonts w:ascii="Times New Roman" w:hAnsi="Times New Roman"/>
                <w:sz w:val="20"/>
              </w:rPr>
              <w:t>3.38 / 5.0</w:t>
            </w:r>
          </w:p>
        </w:tc>
        <w:tc>
          <w:tcPr>
            <w:tcW w:type="dxa" w:w="1872"/>
            <w:shd w:fill="F8FAFC"/>
            <w:tcMar>
              <w:top w:w="60" w:type="dxa"/>
              <w:bottom w:w="60" w:type="dxa"/>
              <w:left w:w="90" w:type="dxa"/>
              <w:right w:w="90" w:type="dxa"/>
            </w:tcMar>
          </w:tcPr>
          <w:p>
            <w:pPr>
              <w:spacing w:line="360" w:lineRule="auto"/>
            </w:pPr>
            <w:r>
              <w:rPr>
                <w:rFonts w:ascii="Times New Roman" w:hAnsi="Times New Roman"/>
                <w:sz w:val="20"/>
              </w:rPr>
              <w:t>3.12 / 5.0</w:t>
            </w:r>
          </w:p>
        </w:tc>
        <w:tc>
          <w:tcPr>
            <w:tcW w:type="dxa" w:w="1872"/>
            <w:shd w:fill="F8FAFC"/>
            <w:tcMar>
              <w:top w:w="60" w:type="dxa"/>
              <w:bottom w:w="60" w:type="dxa"/>
              <w:left w:w="90" w:type="dxa"/>
              <w:right w:w="90" w:type="dxa"/>
            </w:tcMar>
          </w:tcPr>
          <w:p>
            <w:pPr>
              <w:spacing w:line="360" w:lineRule="auto"/>
            </w:pPr>
            <w:r>
              <w:rPr>
                <w:rFonts w:ascii="Times New Roman" w:hAnsi="Times New Roman"/>
                <w:sz w:val="20"/>
              </w:rPr>
              <w:t>+43.2% over System B</w:t>
            </w:r>
          </w:p>
        </w:tc>
      </w:tr>
      <w:tr>
        <w:tc>
          <w:tcPr>
            <w:tcW w:type="dxa" w:w="1872"/>
            <w:shd w:fill="FFFFFF"/>
            <w:tcMar>
              <w:top w:w="60" w:type="dxa"/>
              <w:bottom w:w="60" w:type="dxa"/>
              <w:left w:w="90" w:type="dxa"/>
              <w:right w:w="90" w:type="dxa"/>
            </w:tcMar>
          </w:tcPr>
          <w:p>
            <w:pPr>
              <w:spacing w:line="360" w:lineRule="auto"/>
            </w:pPr>
            <w:r>
              <w:rPr>
                <w:rFonts w:ascii="Times New Roman" w:hAnsi="Times New Roman"/>
                <w:b/>
                <w:sz w:val="20"/>
              </w:rPr>
              <w:t>Mean Research Utility (1–5)</w:t>
            </w:r>
          </w:p>
        </w:tc>
        <w:tc>
          <w:tcPr>
            <w:tcW w:type="dxa" w:w="1872"/>
            <w:shd w:fill="FFFFFF"/>
            <w:tcMar>
              <w:top w:w="60" w:type="dxa"/>
              <w:bottom w:w="60" w:type="dxa"/>
              <w:left w:w="90" w:type="dxa"/>
              <w:right w:w="90" w:type="dxa"/>
            </w:tcMar>
          </w:tcPr>
          <w:p>
            <w:pPr>
              <w:spacing w:line="360" w:lineRule="auto"/>
            </w:pPr>
            <w:r>
              <w:rPr>
                <w:rFonts w:ascii="Times New Roman" w:hAnsi="Times New Roman"/>
                <w:b/>
                <w:sz w:val="20"/>
              </w:rPr>
              <w:t>4.80 / 5.0</w:t>
            </w:r>
          </w:p>
        </w:tc>
        <w:tc>
          <w:tcPr>
            <w:tcW w:type="dxa" w:w="1872"/>
            <w:shd w:fill="FFFFFF"/>
            <w:tcMar>
              <w:top w:w="60" w:type="dxa"/>
              <w:bottom w:w="60" w:type="dxa"/>
              <w:left w:w="90" w:type="dxa"/>
              <w:right w:w="90" w:type="dxa"/>
            </w:tcMar>
          </w:tcPr>
          <w:p>
            <w:pPr>
              <w:spacing w:line="360" w:lineRule="auto"/>
            </w:pPr>
            <w:r>
              <w:rPr>
                <w:rFonts w:ascii="Times New Roman" w:hAnsi="Times New Roman"/>
                <w:sz w:val="20"/>
              </w:rPr>
              <w:t>3.08 / 5.0</w:t>
            </w:r>
          </w:p>
        </w:tc>
        <w:tc>
          <w:tcPr>
            <w:tcW w:type="dxa" w:w="1872"/>
            <w:shd w:fill="FFFFFF"/>
            <w:tcMar>
              <w:top w:w="60" w:type="dxa"/>
              <w:bottom w:w="60" w:type="dxa"/>
              <w:left w:w="90" w:type="dxa"/>
              <w:right w:w="90" w:type="dxa"/>
            </w:tcMar>
          </w:tcPr>
          <w:p>
            <w:pPr>
              <w:spacing w:line="360" w:lineRule="auto"/>
            </w:pPr>
            <w:r>
              <w:rPr>
                <w:rFonts w:ascii="Times New Roman" w:hAnsi="Times New Roman"/>
                <w:sz w:val="20"/>
              </w:rPr>
              <w:t>2.74 / 5.0</w:t>
            </w:r>
          </w:p>
        </w:tc>
        <w:tc>
          <w:tcPr>
            <w:tcW w:type="dxa" w:w="1872"/>
            <w:shd w:fill="FFFFFF"/>
            <w:tcMar>
              <w:top w:w="60" w:type="dxa"/>
              <w:bottom w:w="60" w:type="dxa"/>
              <w:left w:w="90" w:type="dxa"/>
              <w:right w:w="90" w:type="dxa"/>
            </w:tcMar>
          </w:tcPr>
          <w:p>
            <w:pPr>
              <w:spacing w:line="360" w:lineRule="auto"/>
            </w:pPr>
            <w:r>
              <w:rPr>
                <w:rFonts w:ascii="Times New Roman" w:hAnsi="Times New Roman"/>
                <w:sz w:val="20"/>
              </w:rPr>
              <w:t>+55.8% over System B</w:t>
            </w:r>
          </w:p>
        </w:tc>
      </w:tr>
      <w:tr>
        <w:tc>
          <w:tcPr>
            <w:tcW w:type="dxa" w:w="1872"/>
            <w:shd w:fill="F8FAFC"/>
            <w:tcMar>
              <w:top w:w="60" w:type="dxa"/>
              <w:bottom w:w="60" w:type="dxa"/>
              <w:left w:w="90" w:type="dxa"/>
              <w:right w:w="90" w:type="dxa"/>
            </w:tcMar>
          </w:tcPr>
          <w:p>
            <w:pPr>
              <w:spacing w:line="360" w:lineRule="auto"/>
            </w:pPr>
            <w:r>
              <w:rPr>
                <w:rFonts w:ascii="Times New Roman" w:hAnsi="Times New Roman"/>
                <w:b/>
                <w:sz w:val="20"/>
              </w:rPr>
              <w:t>Mean Hallucination Rate (%)</w:t>
            </w:r>
          </w:p>
        </w:tc>
        <w:tc>
          <w:tcPr>
            <w:tcW w:type="dxa" w:w="1872"/>
            <w:shd w:fill="F8FAFC"/>
            <w:tcMar>
              <w:top w:w="60" w:type="dxa"/>
              <w:bottom w:w="60" w:type="dxa"/>
              <w:left w:w="90" w:type="dxa"/>
              <w:right w:w="90" w:type="dxa"/>
            </w:tcMar>
          </w:tcPr>
          <w:p>
            <w:pPr>
              <w:spacing w:line="360" w:lineRule="auto"/>
            </w:pPr>
            <w:r>
              <w:rPr>
                <w:rFonts w:ascii="Times New Roman" w:hAnsi="Times New Roman"/>
                <w:b/>
                <w:sz w:val="20"/>
              </w:rPr>
              <w:t>1.18%</w:t>
            </w:r>
          </w:p>
        </w:tc>
        <w:tc>
          <w:tcPr>
            <w:tcW w:type="dxa" w:w="1872"/>
            <w:shd w:fill="F8FAFC"/>
            <w:tcMar>
              <w:top w:w="60" w:type="dxa"/>
              <w:bottom w:w="60" w:type="dxa"/>
              <w:left w:w="90" w:type="dxa"/>
              <w:right w:w="90" w:type="dxa"/>
            </w:tcMar>
          </w:tcPr>
          <w:p>
            <w:pPr>
              <w:spacing w:line="360" w:lineRule="auto"/>
            </w:pPr>
            <w:r>
              <w:rPr>
                <w:rFonts w:ascii="Times New Roman" w:hAnsi="Times New Roman"/>
                <w:sz w:val="20"/>
              </w:rPr>
              <w:t>9.20%</w:t>
            </w:r>
          </w:p>
        </w:tc>
        <w:tc>
          <w:tcPr>
            <w:tcW w:type="dxa" w:w="1872"/>
            <w:shd w:fill="F8FAFC"/>
            <w:tcMar>
              <w:top w:w="60" w:type="dxa"/>
              <w:bottom w:w="60" w:type="dxa"/>
              <w:left w:w="90" w:type="dxa"/>
              <w:right w:w="90" w:type="dxa"/>
            </w:tcMar>
          </w:tcPr>
          <w:p>
            <w:pPr>
              <w:spacing w:line="360" w:lineRule="auto"/>
            </w:pPr>
            <w:r>
              <w:rPr>
                <w:rFonts w:ascii="Times New Roman" w:hAnsi="Times New Roman"/>
                <w:sz w:val="20"/>
              </w:rPr>
              <w:t>15.48%</w:t>
            </w:r>
          </w:p>
        </w:tc>
        <w:tc>
          <w:tcPr>
            <w:tcW w:type="dxa" w:w="1872"/>
            <w:shd w:fill="F8FAFC"/>
            <w:tcMar>
              <w:top w:w="60" w:type="dxa"/>
              <w:bottom w:w="60" w:type="dxa"/>
              <w:left w:w="90" w:type="dxa"/>
              <w:right w:w="90" w:type="dxa"/>
            </w:tcMar>
          </w:tcPr>
          <w:p>
            <w:pPr>
              <w:spacing w:line="360" w:lineRule="auto"/>
            </w:pPr>
            <w:r>
              <w:rPr>
                <w:rFonts w:ascii="Times New Roman" w:hAnsi="Times New Roman"/>
                <w:sz w:val="20"/>
              </w:rPr>
              <w:t>7.8x Lower than System B</w:t>
            </w:r>
          </w:p>
        </w:tc>
      </w:tr>
      <w:tr>
        <w:tc>
          <w:tcPr>
            <w:tcW w:type="dxa" w:w="1872"/>
            <w:shd w:fill="FFFFFF"/>
            <w:tcMar>
              <w:top w:w="60" w:type="dxa"/>
              <w:bottom w:w="60" w:type="dxa"/>
              <w:left w:w="90" w:type="dxa"/>
              <w:right w:w="90" w:type="dxa"/>
            </w:tcMar>
          </w:tcPr>
          <w:p>
            <w:pPr>
              <w:spacing w:line="360" w:lineRule="auto"/>
            </w:pPr>
            <w:r>
              <w:rPr>
                <w:rFonts w:ascii="Times New Roman" w:hAnsi="Times New Roman"/>
                <w:b/>
                <w:sz w:val="20"/>
              </w:rPr>
              <w:t>Mean Citation Precision (%)</w:t>
            </w:r>
          </w:p>
        </w:tc>
        <w:tc>
          <w:tcPr>
            <w:tcW w:type="dxa" w:w="1872"/>
            <w:shd w:fill="FFFFFF"/>
            <w:tcMar>
              <w:top w:w="60" w:type="dxa"/>
              <w:bottom w:w="60" w:type="dxa"/>
              <w:left w:w="90" w:type="dxa"/>
              <w:right w:w="90" w:type="dxa"/>
            </w:tcMar>
          </w:tcPr>
          <w:p>
            <w:pPr>
              <w:spacing w:line="360" w:lineRule="auto"/>
            </w:pPr>
            <w:r>
              <w:rPr>
                <w:rFonts w:ascii="Times New Roman" w:hAnsi="Times New Roman"/>
                <w:b/>
                <w:sz w:val="20"/>
              </w:rPr>
              <w:t>94.6%</w:t>
            </w:r>
          </w:p>
        </w:tc>
        <w:tc>
          <w:tcPr>
            <w:tcW w:type="dxa" w:w="1872"/>
            <w:shd w:fill="FFFFFF"/>
            <w:tcMar>
              <w:top w:w="60" w:type="dxa"/>
              <w:bottom w:w="60" w:type="dxa"/>
              <w:left w:w="90" w:type="dxa"/>
              <w:right w:w="90" w:type="dxa"/>
            </w:tcMar>
          </w:tcPr>
          <w:p>
            <w:pPr>
              <w:spacing w:line="360" w:lineRule="auto"/>
            </w:pPr>
            <w:r>
              <w:rPr>
                <w:rFonts w:ascii="Times New Roman" w:hAnsi="Times New Roman"/>
                <w:sz w:val="20"/>
              </w:rPr>
              <w:t>69.0%</w:t>
            </w:r>
          </w:p>
        </w:tc>
        <w:tc>
          <w:tcPr>
            <w:tcW w:type="dxa" w:w="1872"/>
            <w:shd w:fill="FFFFFF"/>
            <w:tcMar>
              <w:top w:w="60" w:type="dxa"/>
              <w:bottom w:w="60" w:type="dxa"/>
              <w:left w:w="90" w:type="dxa"/>
              <w:right w:w="90" w:type="dxa"/>
            </w:tcMar>
          </w:tcPr>
          <w:p>
            <w:pPr>
              <w:spacing w:line="360" w:lineRule="auto"/>
            </w:pPr>
            <w:r>
              <w:rPr>
                <w:rFonts w:ascii="Times New Roman" w:hAnsi="Times New Roman"/>
                <w:sz w:val="20"/>
              </w:rPr>
              <w:t>3.0%</w:t>
            </w:r>
          </w:p>
        </w:tc>
        <w:tc>
          <w:tcPr>
            <w:tcW w:type="dxa" w:w="1872"/>
            <w:shd w:fill="FFFFFF"/>
            <w:tcMar>
              <w:top w:w="60" w:type="dxa"/>
              <w:bottom w:w="60" w:type="dxa"/>
              <w:left w:w="90" w:type="dxa"/>
              <w:right w:w="90" w:type="dxa"/>
            </w:tcMar>
          </w:tcPr>
          <w:p>
            <w:pPr>
              <w:spacing w:line="360" w:lineRule="auto"/>
            </w:pPr>
            <w:r>
              <w:rPr>
                <w:rFonts w:ascii="Times New Roman" w:hAnsi="Times New Roman"/>
                <w:sz w:val="20"/>
              </w:rPr>
              <w:t>+25.6% Verified Citations</w:t>
            </w:r>
          </w:p>
        </w:tc>
      </w:tr>
      <w:tr>
        <w:tc>
          <w:tcPr>
            <w:tcW w:type="dxa" w:w="1872"/>
            <w:shd w:fill="F8FAFC"/>
            <w:tcMar>
              <w:top w:w="60" w:type="dxa"/>
              <w:bottom w:w="60" w:type="dxa"/>
              <w:left w:w="90" w:type="dxa"/>
              <w:right w:w="90" w:type="dxa"/>
            </w:tcMar>
          </w:tcPr>
          <w:p>
            <w:pPr>
              <w:spacing w:line="360" w:lineRule="auto"/>
            </w:pPr>
            <w:r>
              <w:rPr>
                <w:rFonts w:ascii="Times New Roman" w:hAnsi="Times New Roman"/>
                <w:b/>
                <w:sz w:val="20"/>
              </w:rPr>
              <w:t>Mean Dialectical Friction (1–5)</w:t>
            </w:r>
          </w:p>
        </w:tc>
        <w:tc>
          <w:tcPr>
            <w:tcW w:type="dxa" w:w="1872"/>
            <w:shd w:fill="F8FAFC"/>
            <w:tcMar>
              <w:top w:w="60" w:type="dxa"/>
              <w:bottom w:w="60" w:type="dxa"/>
              <w:left w:w="90" w:type="dxa"/>
              <w:right w:w="90" w:type="dxa"/>
            </w:tcMar>
          </w:tcPr>
          <w:p>
            <w:pPr>
              <w:spacing w:line="360" w:lineRule="auto"/>
            </w:pPr>
            <w:r>
              <w:rPr>
                <w:rFonts w:ascii="Times New Roman" w:hAnsi="Times New Roman"/>
                <w:b/>
                <w:sz w:val="20"/>
              </w:rPr>
              <w:t>4.76 / 5.0</w:t>
            </w:r>
          </w:p>
        </w:tc>
        <w:tc>
          <w:tcPr>
            <w:tcW w:type="dxa" w:w="1872"/>
            <w:shd w:fill="F8FAFC"/>
            <w:tcMar>
              <w:top w:w="60" w:type="dxa"/>
              <w:bottom w:w="60" w:type="dxa"/>
              <w:left w:w="90" w:type="dxa"/>
              <w:right w:w="90" w:type="dxa"/>
            </w:tcMar>
          </w:tcPr>
          <w:p>
            <w:pPr>
              <w:spacing w:line="360" w:lineRule="auto"/>
            </w:pPr>
            <w:r>
              <w:rPr>
                <w:rFonts w:ascii="Times New Roman" w:hAnsi="Times New Roman"/>
                <w:sz w:val="20"/>
              </w:rPr>
              <w:t>3.12 / 5.0</w:t>
            </w:r>
          </w:p>
        </w:tc>
        <w:tc>
          <w:tcPr>
            <w:tcW w:type="dxa" w:w="1872"/>
            <w:shd w:fill="F8FAFC"/>
            <w:tcMar>
              <w:top w:w="60" w:type="dxa"/>
              <w:bottom w:w="60" w:type="dxa"/>
              <w:left w:w="90" w:type="dxa"/>
              <w:right w:w="90" w:type="dxa"/>
            </w:tcMar>
          </w:tcPr>
          <w:p>
            <w:pPr>
              <w:spacing w:line="360" w:lineRule="auto"/>
            </w:pPr>
            <w:r>
              <w:rPr>
                <w:rFonts w:ascii="Times New Roman" w:hAnsi="Times New Roman"/>
                <w:sz w:val="20"/>
              </w:rPr>
              <w:t>2.72 / 5.0</w:t>
            </w:r>
          </w:p>
        </w:tc>
        <w:tc>
          <w:tcPr>
            <w:tcW w:type="dxa" w:w="1872"/>
            <w:shd w:fill="F8FAFC"/>
            <w:tcMar>
              <w:top w:w="60" w:type="dxa"/>
              <w:bottom w:w="60" w:type="dxa"/>
              <w:left w:w="90" w:type="dxa"/>
              <w:right w:w="90" w:type="dxa"/>
            </w:tcMar>
          </w:tcPr>
          <w:p>
            <w:pPr>
              <w:spacing w:line="360" w:lineRule="auto"/>
            </w:pPr>
            <w:r>
              <w:rPr>
                <w:rFonts w:ascii="Times New Roman" w:hAnsi="Times New Roman"/>
                <w:sz w:val="20"/>
              </w:rPr>
              <w:t>+52.6% over System B</w:t>
            </w:r>
          </w:p>
        </w:tc>
      </w:tr>
      <w:tr>
        <w:tc>
          <w:tcPr>
            <w:tcW w:type="dxa" w:w="1872"/>
            <w:shd w:fill="FFFFFF"/>
            <w:tcMar>
              <w:top w:w="60" w:type="dxa"/>
              <w:bottom w:w="60" w:type="dxa"/>
              <w:left w:w="90" w:type="dxa"/>
              <w:right w:w="90" w:type="dxa"/>
            </w:tcMar>
          </w:tcPr>
          <w:p>
            <w:pPr>
              <w:spacing w:line="360" w:lineRule="auto"/>
            </w:pPr>
            <w:r>
              <w:rPr>
                <w:rFonts w:ascii="Times New Roman" w:hAnsi="Times New Roman"/>
                <w:b/>
                <w:sz w:val="20"/>
              </w:rPr>
              <w:t>Average Cost per Monograph ($)</w:t>
            </w:r>
          </w:p>
        </w:tc>
        <w:tc>
          <w:tcPr>
            <w:tcW w:type="dxa" w:w="1872"/>
            <w:shd w:fill="FFFFFF"/>
            <w:tcMar>
              <w:top w:w="60" w:type="dxa"/>
              <w:bottom w:w="60" w:type="dxa"/>
              <w:left w:w="90" w:type="dxa"/>
              <w:right w:w="90" w:type="dxa"/>
            </w:tcMar>
          </w:tcPr>
          <w:p>
            <w:pPr>
              <w:spacing w:line="360" w:lineRule="auto"/>
            </w:pPr>
            <w:r>
              <w:rPr>
                <w:rFonts w:ascii="Times New Roman" w:hAnsi="Times New Roman"/>
                <w:b/>
                <w:sz w:val="20"/>
              </w:rPr>
              <w:t>$0.092</w:t>
            </w:r>
          </w:p>
        </w:tc>
        <w:tc>
          <w:tcPr>
            <w:tcW w:type="dxa" w:w="1872"/>
            <w:shd w:fill="FFFFFF"/>
            <w:tcMar>
              <w:top w:w="60" w:type="dxa"/>
              <w:bottom w:w="60" w:type="dxa"/>
              <w:left w:w="90" w:type="dxa"/>
              <w:right w:w="90" w:type="dxa"/>
            </w:tcMar>
          </w:tcPr>
          <w:p>
            <w:pPr>
              <w:spacing w:line="360" w:lineRule="auto"/>
            </w:pPr>
            <w:r>
              <w:rPr>
                <w:rFonts w:ascii="Times New Roman" w:hAnsi="Times New Roman"/>
                <w:sz w:val="20"/>
              </w:rPr>
              <w:t>$0.045</w:t>
            </w:r>
          </w:p>
        </w:tc>
        <w:tc>
          <w:tcPr>
            <w:tcW w:type="dxa" w:w="1872"/>
            <w:shd w:fill="FFFFFF"/>
            <w:tcMar>
              <w:top w:w="60" w:type="dxa"/>
              <w:bottom w:w="60" w:type="dxa"/>
              <w:left w:w="90" w:type="dxa"/>
              <w:right w:w="90" w:type="dxa"/>
            </w:tcMar>
          </w:tcPr>
          <w:p>
            <w:pPr>
              <w:spacing w:line="360" w:lineRule="auto"/>
            </w:pPr>
            <w:r>
              <w:rPr>
                <w:rFonts w:ascii="Times New Roman" w:hAnsi="Times New Roman"/>
                <w:sz w:val="20"/>
              </w:rPr>
              <w:t>$0.089</w:t>
            </w:r>
          </w:p>
        </w:tc>
        <w:tc>
          <w:tcPr>
            <w:tcW w:type="dxa" w:w="1872"/>
            <w:shd w:fill="FFFFFF"/>
            <w:tcMar>
              <w:top w:w="60" w:type="dxa"/>
              <w:bottom w:w="60" w:type="dxa"/>
              <w:left w:w="90" w:type="dxa"/>
              <w:right w:w="90" w:type="dxa"/>
            </w:tcMar>
          </w:tcPr>
          <w:p>
            <w:pPr>
              <w:spacing w:line="360" w:lineRule="auto"/>
            </w:pPr>
            <w:r>
              <w:rPr>
                <w:rFonts w:ascii="Times New Roman" w:hAnsi="Times New Roman"/>
                <w:sz w:val="20"/>
              </w:rPr>
              <w:t>System B Most Economical</w:t>
            </w:r>
          </w:p>
        </w:tc>
      </w:tr>
      <w:tr>
        <w:tc>
          <w:tcPr>
            <w:tcW w:type="dxa" w:w="1872"/>
            <w:shd w:fill="F8FAFC"/>
            <w:tcMar>
              <w:top w:w="60" w:type="dxa"/>
              <w:bottom w:w="60" w:type="dxa"/>
              <w:left w:w="90" w:type="dxa"/>
              <w:right w:w="90" w:type="dxa"/>
            </w:tcMar>
          </w:tcPr>
          <w:p>
            <w:pPr>
              <w:spacing w:line="360" w:lineRule="auto"/>
            </w:pPr>
            <w:r>
              <w:rPr>
                <w:rFonts w:ascii="Times New Roman" w:hAnsi="Times New Roman"/>
                <w:b/>
                <w:sz w:val="20"/>
              </w:rPr>
              <w:t>Composite Integrity Score (CRIS)</w:t>
            </w:r>
          </w:p>
        </w:tc>
        <w:tc>
          <w:tcPr>
            <w:tcW w:type="dxa" w:w="1872"/>
            <w:shd w:fill="F8FAFC"/>
            <w:tcMar>
              <w:top w:w="60" w:type="dxa"/>
              <w:bottom w:w="60" w:type="dxa"/>
              <w:left w:w="90" w:type="dxa"/>
              <w:right w:w="90" w:type="dxa"/>
            </w:tcMar>
          </w:tcPr>
          <w:p>
            <w:pPr>
              <w:spacing w:line="360" w:lineRule="auto"/>
            </w:pPr>
            <w:r>
              <w:rPr>
                <w:rFonts w:ascii="Times New Roman" w:hAnsi="Times New Roman"/>
                <w:b/>
                <w:sz w:val="20"/>
              </w:rPr>
              <w:t>208.3</w:t>
            </w:r>
          </w:p>
        </w:tc>
        <w:tc>
          <w:tcPr>
            <w:tcW w:type="dxa" w:w="1872"/>
            <w:shd w:fill="F8FAFC"/>
            <w:tcMar>
              <w:top w:w="60" w:type="dxa"/>
              <w:bottom w:w="60" w:type="dxa"/>
              <w:left w:w="90" w:type="dxa"/>
              <w:right w:w="90" w:type="dxa"/>
            </w:tcMar>
          </w:tcPr>
          <w:p>
            <w:pPr>
              <w:spacing w:line="360" w:lineRule="auto"/>
            </w:pPr>
            <w:r>
              <w:rPr>
                <w:rFonts w:ascii="Times New Roman" w:hAnsi="Times New Roman"/>
                <w:sz w:val="20"/>
              </w:rPr>
              <w:t>20.7</w:t>
            </w:r>
          </w:p>
        </w:tc>
        <w:tc>
          <w:tcPr>
            <w:tcW w:type="dxa" w:w="1872"/>
            <w:shd w:fill="F8FAFC"/>
            <w:tcMar>
              <w:top w:w="60" w:type="dxa"/>
              <w:bottom w:w="60" w:type="dxa"/>
              <w:left w:w="90" w:type="dxa"/>
              <w:right w:w="90" w:type="dxa"/>
            </w:tcMar>
          </w:tcPr>
          <w:p>
            <w:pPr>
              <w:spacing w:line="360" w:lineRule="auto"/>
            </w:pPr>
            <w:r>
              <w:rPr>
                <w:rFonts w:ascii="Times New Roman" w:hAnsi="Times New Roman"/>
                <w:sz w:val="20"/>
              </w:rPr>
              <w:t>0.50</w:t>
            </w:r>
          </w:p>
        </w:tc>
        <w:tc>
          <w:tcPr>
            <w:tcW w:type="dxa" w:w="1872"/>
            <w:shd w:fill="F8FAFC"/>
            <w:tcMar>
              <w:top w:w="60" w:type="dxa"/>
              <w:bottom w:w="60" w:type="dxa"/>
              <w:left w:w="90" w:type="dxa"/>
              <w:right w:w="90" w:type="dxa"/>
            </w:tcMar>
          </w:tcPr>
          <w:p>
            <w:pPr>
              <w:spacing w:line="360" w:lineRule="auto"/>
            </w:pPr>
            <w:r>
              <w:rPr>
                <w:rFonts w:ascii="Times New Roman" w:hAnsi="Times New Roman"/>
                <w:sz w:val="20"/>
              </w:rPr>
              <w:t>System A Wins (10.1x of B)</w:t>
            </w:r>
          </w:p>
        </w:tc>
      </w:tr>
    </w:tbl>
    <w:p>
      <w:pPr>
        <w:spacing w:line="360" w:lineRule="auto" w:after="280"/>
        <w:jc w:val="left"/>
      </w:pPr>
    </w:p>
    <w:p>
      <w:pPr>
        <w:spacing w:line="360" w:lineRule="auto" w:after="80"/>
      </w:pPr>
      <w:r>
        <w:rPr>
          <w:rFonts w:ascii="Times New Roman" w:hAnsi="Times New Roman"/>
          <w:sz w:val="24"/>
        </w:rPr>
        <w:t>Evaluator Signature: _____________________________________        Date: 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