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сознание-как-пространство-состояний"/>
    <w:p>
      <w:pPr>
        <w:pStyle w:val="Heading1"/>
      </w:pPr>
      <w:r>
        <w:t xml:space="preserve">Сознание как пространство состояний</w:t>
      </w:r>
    </w:p>
    <w:bookmarkStart w:id="20" w:name="задача-математической-формализации"/>
    <w:p>
      <w:pPr>
        <w:pStyle w:val="Heading2"/>
      </w:pPr>
      <w:r>
        <w:t xml:space="preserve">Задача математической формализации</w:t>
      </w:r>
    </w:p>
    <w:p>
      <w:pPr>
        <w:pStyle w:val="FirstParagraph"/>
      </w:pPr>
      <w:r>
        <w:t xml:space="preserve">Целью данного тома является не редукция Сознания к математическим объектам,</w:t>
      </w:r>
      <w:r>
        <w:t xml:space="preserve"> </w:t>
      </w:r>
      <w:r>
        <w:t xml:space="preserve">а формальное описание тех структур, которые были онтологически выведены в Томе I.</w:t>
      </w:r>
    </w:p>
    <w:p>
      <w:pPr>
        <w:pStyle w:val="BodyText"/>
      </w:pPr>
      <w:r>
        <w:t xml:space="preserve">Математика здесь выступает не как первооснова,</w:t>
      </w:r>
      <w:r>
        <w:t xml:space="preserve"> </w:t>
      </w:r>
      <w:r>
        <w:t xml:space="preserve">а как язык описания устойчивых структур различий в Сознании.</w:t>
      </w:r>
    </w:p>
    <w:p>
      <w:pPr>
        <w:pStyle w:val="BodyText"/>
      </w:pPr>
      <w:r>
        <w:t xml:space="preserve">Основной задачей настоящей главы является введение пространства состояний,</w:t>
      </w:r>
      <w:r>
        <w:t xml:space="preserve"> </w:t>
      </w:r>
      <w:r>
        <w:t xml:space="preserve">в котором Сознание может быть представлено формально.</w:t>
      </w:r>
    </w:p>
    <w:bookmarkEnd w:id="20"/>
    <w:bookmarkStart w:id="21" w:name="сознание-и-множество-возможных-состояний"/>
    <w:p>
      <w:pPr>
        <w:pStyle w:val="Heading2"/>
      </w:pPr>
      <w:r>
        <w:t xml:space="preserve">Сознание и множество возможных состояний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обозначает Сознание как фундаментальную реальность.</w:t>
      </w:r>
      <w:r>
        <w:t xml:space="preserve"> </w:t>
      </w:r>
      <w:r>
        <w:t xml:space="preserve">Сознание не является состоянием само по себе,</w:t>
      </w:r>
      <w:r>
        <w:t xml:space="preserve"> </w:t>
      </w:r>
      <w:r>
        <w:t xml:space="preserve">однако оно допускает множество возможных актуализаций.</w:t>
      </w:r>
    </w:p>
    <w:p>
      <w:pPr>
        <w:pStyle w:val="BodyText"/>
      </w:pPr>
      <w:r>
        <w:t xml:space="preserve">Определим множество возможных состояний: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— возможная конфигурация знания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Каждое состояние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соответствует определённой структуре различий,</w:t>
      </w:r>
      <w:r>
        <w:t xml:space="preserve"> </w:t>
      </w:r>
      <w:r>
        <w:t xml:space="preserve">актуализированной в Сознании.</w:t>
      </w:r>
    </w:p>
    <w:bookmarkEnd w:id="21"/>
    <w:bookmarkStart w:id="22" w:name="состояние-как-форма-знания"/>
    <w:p>
      <w:pPr>
        <w:pStyle w:val="Heading2"/>
      </w:pPr>
      <w:r>
        <w:t xml:space="preserve">Состояние как форма знания</w:t>
      </w:r>
    </w:p>
    <w:p>
      <w:pPr>
        <w:pStyle w:val="FirstParagraph"/>
      </w:pPr>
      <w:r>
        <w:t xml:space="preserve">Состояние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интерпретируется как форма знания,</w:t>
      </w:r>
      <w:r>
        <w:t xml:space="preserve"> </w:t>
      </w:r>
      <w:r>
        <w:t xml:space="preserve">то есть как устойчивый паттерн различий,</w:t>
      </w:r>
      <w:r>
        <w:t xml:space="preserve"> </w:t>
      </w:r>
      <w:r>
        <w:t xml:space="preserve">доступный локализации наблюдателя.</w:t>
      </w:r>
    </w:p>
    <w:p>
      <w:pPr>
        <w:pStyle w:val="BodyText"/>
      </w:pPr>
      <w:r>
        <w:t xml:space="preserve">Важно подчеркнуть, что:</w:t>
      </w:r>
    </w:p>
    <w:p>
      <w:pPr>
        <w:numPr>
          <w:ilvl w:val="0"/>
          <w:numId w:val="1001"/>
        </w:numPr>
      </w:pPr>
      <w:r>
        <w:t xml:space="preserve">состояния не являются объектами;</w:t>
      </w:r>
    </w:p>
    <w:p>
      <w:pPr>
        <w:numPr>
          <w:ilvl w:val="0"/>
          <w:numId w:val="1001"/>
        </w:numPr>
      </w:pPr>
      <w:r>
        <w:t xml:space="preserve">они не существуют независимо от Сознания;</w:t>
      </w:r>
    </w:p>
    <w:p>
      <w:pPr>
        <w:numPr>
          <w:ilvl w:val="0"/>
          <w:numId w:val="1001"/>
        </w:numPr>
      </w:pPr>
      <w:r>
        <w:t xml:space="preserve">они являются внутренними конфигурациями различий.</w:t>
      </w:r>
    </w:p>
    <w:p>
      <w:pPr>
        <w:pStyle w:val="FirstParagraph"/>
      </w:pPr>
      <w:r>
        <w:t xml:space="preserve">Таким образом, пространство состояний не является «вместилищем»,</w:t>
      </w:r>
      <w:r>
        <w:t xml:space="preserve"> </w:t>
      </w:r>
      <w:r>
        <w:t xml:space="preserve">а представляет собой формальное описание возможных форм знания.</w:t>
      </w:r>
    </w:p>
    <w:bookmarkEnd w:id="22"/>
    <w:bookmarkStart w:id="23" w:name="Xf253bb66ed7bbb0bf5d1deec4c95f230bfbcc1e"/>
    <w:p>
      <w:pPr>
        <w:pStyle w:val="Heading2"/>
      </w:pPr>
      <w:r>
        <w:t xml:space="preserve">Линейная структура пространства состояний</w:t>
      </w:r>
    </w:p>
    <w:p>
      <w:pPr>
        <w:pStyle w:val="FirstParagraph"/>
      </w:pPr>
      <w:r>
        <w:t xml:space="preserve">Для описания суперпозиции форм знания</w:t>
      </w:r>
      <w:r>
        <w:t xml:space="preserve"> </w:t>
      </w:r>
      <w:r>
        <w:t xml:space="preserve">предполагается, что пространство состояний обладает линейной структурой.</w:t>
      </w:r>
    </w:p>
    <w:p>
      <w:pPr>
        <w:pStyle w:val="BodyText"/>
      </w:pPr>
      <w:r>
        <w:t xml:space="preserve">Рассмотрим линейное пространство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над полем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,</w:t>
      </w:r>
      <w:r>
        <w:t xml:space="preserve"> </w:t>
      </w:r>
      <w:r>
        <w:t xml:space="preserve">элементы которого соответствуют состояниям Сознания: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H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Линейная комбинация состояний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ψ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интерпретируется как суперпозиция форм знания,</w:t>
      </w:r>
      <w:r>
        <w:t xml:space="preserve"> </w:t>
      </w:r>
      <w:r>
        <w:t xml:space="preserve">а не как физическое наложение объектов.</w:t>
      </w:r>
    </w:p>
    <w:bookmarkEnd w:id="23"/>
    <w:bookmarkStart w:id="24" w:name="нормировка-и-вероятность"/>
    <w:p>
      <w:pPr>
        <w:pStyle w:val="Heading2"/>
      </w:pPr>
      <w:r>
        <w:t xml:space="preserve">Нормировка и вероятность</w:t>
      </w:r>
    </w:p>
    <w:p>
      <w:pPr>
        <w:pStyle w:val="FirstParagraph"/>
      </w:pPr>
      <w:r>
        <w:t xml:space="preserve">Для введения вероятностной интерпретации</w:t>
      </w:r>
      <w:r>
        <w:t xml:space="preserve"> </w:t>
      </w:r>
      <w:r>
        <w:t xml:space="preserve">в пространстве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вводится скалярное произведение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ϕ</m:t>
          </m:r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Нормировка состояния: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ψ</m:t>
          </m:r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отражает полноту актуализации знания в рамках данной локализации наблюдателя.</w:t>
      </w:r>
    </w:p>
    <w:p>
      <w:pPr>
        <w:pStyle w:val="BodyText"/>
      </w:pPr>
      <w:r>
        <w:t xml:space="preserve">Вероятность актуализации состояния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определяется как: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⟨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d>
          <m:r>
            <m:t>ψ</m:t>
          </m:r>
          <m:r>
            <m:rPr>
              <m:sty m:val="p"/>
            </m:rPr>
            <m:t>⟩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4"/>
    <w:bookmarkStart w:id="25" w:name="суперпозиция-как-онтологическое-свойство"/>
    <w:p>
      <w:pPr>
        <w:pStyle w:val="Heading2"/>
      </w:pPr>
      <w:r>
        <w:t xml:space="preserve">Суперпозиция как онтологическое свойство</w:t>
      </w:r>
    </w:p>
    <w:p>
      <w:pPr>
        <w:pStyle w:val="FirstParagraph"/>
      </w:pPr>
      <w:r>
        <w:t xml:space="preserve">Суперпозиция не является следствием неполноты знания наблюдателя.</w:t>
      </w:r>
    </w:p>
    <w:p>
      <w:pPr>
        <w:pStyle w:val="BodyText"/>
      </w:pPr>
      <w:r>
        <w:t xml:space="preserve">Она отражает реальное онтологическое состояние до локализации:</w:t>
      </w:r>
      <w:r>
        <w:t xml:space="preserve"> </w:t>
      </w:r>
      <w:r>
        <w:t xml:space="preserve">несколько форм знания сосуществуют как потенциальные различия.</w:t>
      </w:r>
    </w:p>
    <w:p>
      <w:pPr>
        <w:pStyle w:val="BodyText"/>
      </w:pPr>
      <w:r>
        <w:t xml:space="preserve">Таким образом, принцип суперпозиции является</w:t>
      </w:r>
      <w:r>
        <w:t xml:space="preserve"> </w:t>
      </w:r>
      <w:r>
        <w:t xml:space="preserve">математическим выражением онтологической неопределённости.</w:t>
      </w:r>
    </w:p>
    <w:bookmarkEnd w:id="25"/>
    <w:bookmarkStart w:id="26" w:name="пространство-состояний-и-различие"/>
    <w:p>
      <w:pPr>
        <w:pStyle w:val="Heading2"/>
      </w:pPr>
      <w:r>
        <w:t xml:space="preserve">Пространство состояний и различие</w:t>
      </w:r>
    </w:p>
    <w:p>
      <w:pPr>
        <w:pStyle w:val="FirstParagraph"/>
      </w:pPr>
      <w:r>
        <w:t xml:space="preserve">Различие между состояниями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может быть формализовано через расстояние в пространстве состояний.</w:t>
      </w:r>
    </w:p>
    <w:p>
      <w:pPr>
        <w:pStyle w:val="BodyText"/>
      </w:pPr>
      <w:r>
        <w:t xml:space="preserve">Это открывает путь к введению:</w:t>
      </w:r>
    </w:p>
    <w:p>
      <w:pPr>
        <w:numPr>
          <w:ilvl w:val="0"/>
          <w:numId w:val="1002"/>
        </w:numPr>
      </w:pPr>
      <w:r>
        <w:t xml:space="preserve">метрик;</w:t>
      </w:r>
    </w:p>
    <w:p>
      <w:pPr>
        <w:numPr>
          <w:ilvl w:val="0"/>
          <w:numId w:val="1002"/>
        </w:numPr>
      </w:pPr>
      <w:r>
        <w:t xml:space="preserve">информационных дивергенций;</w:t>
      </w:r>
    </w:p>
    <w:p>
      <w:pPr>
        <w:numPr>
          <w:ilvl w:val="0"/>
          <w:numId w:val="1002"/>
        </w:numPr>
      </w:pPr>
      <w:r>
        <w:t xml:space="preserve">геометрических интерпретаций.</w:t>
      </w:r>
    </w:p>
    <w:p>
      <w:pPr>
        <w:pStyle w:val="FirstParagraph"/>
      </w:pPr>
      <w:r>
        <w:t xml:space="preserve">Эти инструменты будут подробно рассмотрены в последующих главах.</w:t>
      </w:r>
    </w:p>
    <w:bookmarkEnd w:id="26"/>
    <w:bookmarkStart w:id="27" w:name="X93ca0132cd0ab6d7831a412b41128d731c4f5e5"/>
    <w:p>
      <w:pPr>
        <w:pStyle w:val="Heading2"/>
      </w:pPr>
      <w:r>
        <w:t xml:space="preserve">Онтологический статус гильбертова пространства</w:t>
      </w:r>
    </w:p>
    <w:p>
      <w:pPr>
        <w:pStyle w:val="FirstParagraph"/>
      </w:pPr>
      <w:r>
        <w:t xml:space="preserve">Важно подчеркнуть:</w:t>
      </w:r>
      <w:r>
        <w:t xml:space="preserve"> </w:t>
      </w:r>
      <w:r>
        <w:t xml:space="preserve">гильбертово пространство не является «реальным пространством».</w:t>
      </w:r>
    </w:p>
    <w:p>
      <w:pPr>
        <w:pStyle w:val="BodyText"/>
      </w:pPr>
      <w:r>
        <w:t xml:space="preserve">Оно представляет собой:</w:t>
      </w:r>
    </w:p>
    <w:p>
      <w:pPr>
        <w:numPr>
          <w:ilvl w:val="0"/>
          <w:numId w:val="1003"/>
        </w:numPr>
      </w:pPr>
      <w:r>
        <w:t xml:space="preserve">формальную модель структуры различий;</w:t>
      </w:r>
    </w:p>
    <w:p>
      <w:pPr>
        <w:numPr>
          <w:ilvl w:val="0"/>
          <w:numId w:val="1003"/>
        </w:numPr>
      </w:pPr>
      <w:r>
        <w:t xml:space="preserve">язык описания форм знания;</w:t>
      </w:r>
    </w:p>
    <w:p>
      <w:pPr>
        <w:numPr>
          <w:ilvl w:val="0"/>
          <w:numId w:val="1003"/>
        </w:numPr>
      </w:pPr>
      <w:r>
        <w:t xml:space="preserve">средство вычисления вероятностей и динамики.</w:t>
      </w:r>
    </w:p>
    <w:p>
      <w:pPr>
        <w:pStyle w:val="FirstParagraph"/>
      </w:pPr>
      <w:r>
        <w:t xml:space="preserve">Онтология остаётся первичной по отношению к формализму.</w:t>
      </w:r>
    </w:p>
    <w:bookmarkEnd w:id="27"/>
    <w:bookmarkStart w:id="28" w:name="переход-к-динамике"/>
    <w:p>
      <w:pPr>
        <w:pStyle w:val="Heading2"/>
      </w:pPr>
      <w:r>
        <w:t xml:space="preserve">Переход к динамике</w:t>
      </w:r>
    </w:p>
    <w:p>
      <w:pPr>
        <w:pStyle w:val="FirstParagraph"/>
      </w:pPr>
      <w:r>
        <w:t xml:space="preserve">В данной главе пространство состояний было введено как статическая структура.</w:t>
      </w:r>
    </w:p>
    <w:p>
      <w:pPr>
        <w:pStyle w:val="BodyText"/>
      </w:pPr>
      <w:r>
        <w:t xml:space="preserve">В следующей главе будет показано,</w:t>
      </w:r>
      <w:r>
        <w:t xml:space="preserve"> </w:t>
      </w:r>
      <w:r>
        <w:t xml:space="preserve">как изменение различий приводит к динамике состояний</w:t>
      </w:r>
      <w:r>
        <w:t xml:space="preserve"> </w:t>
      </w:r>
      <w:r>
        <w:t xml:space="preserve">и к появлению формального времени.</w:t>
      </w:r>
    </w:p>
    <w:bookmarkEnd w:id="28"/>
    <w:bookmarkStart w:id="29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этой главе было показано, что:</w:t>
      </w:r>
    </w:p>
    <w:p>
      <w:pPr>
        <w:numPr>
          <w:ilvl w:val="0"/>
          <w:numId w:val="1004"/>
        </w:numPr>
      </w:pPr>
      <w:r>
        <w:t xml:space="preserve">Сознание допускает формальное описание через пространство состояний;</w:t>
      </w:r>
    </w:p>
    <w:p>
      <w:pPr>
        <w:numPr>
          <w:ilvl w:val="0"/>
          <w:numId w:val="1004"/>
        </w:numPr>
      </w:pPr>
      <w:r>
        <w:t xml:space="preserve">состояния интерпретируются как формы знания;</w:t>
      </w:r>
    </w:p>
    <w:p>
      <w:pPr>
        <w:numPr>
          <w:ilvl w:val="0"/>
          <w:numId w:val="1004"/>
        </w:numPr>
      </w:pPr>
      <w:r>
        <w:t xml:space="preserve">суперпозиция отражает онтологическую неопределённость;</w:t>
      </w:r>
    </w:p>
    <w:p>
      <w:pPr>
        <w:numPr>
          <w:ilvl w:val="0"/>
          <w:numId w:val="1004"/>
        </w:numPr>
      </w:pPr>
      <w:r>
        <w:t xml:space="preserve">вероятностная структура является фундаментальной.</w:t>
      </w:r>
    </w:p>
    <w:p>
      <w:pPr>
        <w:pStyle w:val="FirstParagraph"/>
      </w:pPr>
      <w:r>
        <w:t xml:space="preserve">Это создаёт основу для строгой математической динамики,</w:t>
      </w:r>
      <w:r>
        <w:t xml:space="preserve"> </w:t>
      </w:r>
      <w:r>
        <w:t xml:space="preserve">которая будет рассмотрена далее.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