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d774ce74089fd5473884bc6de6f1816cea9e37"/>
    <w:p>
      <w:pPr>
        <w:pStyle w:val="Heading1"/>
      </w:pPr>
      <w:r>
        <w:t xml:space="preserve">Метрики различия и геометрия пространства состояний</w:t>
      </w:r>
    </w:p>
    <w:bookmarkStart w:id="20" w:name="необходимость-метрики-различия"/>
    <w:p>
      <w:pPr>
        <w:pStyle w:val="Heading2"/>
      </w:pPr>
      <w:r>
        <w:t xml:space="preserve">Необходимость метрики различия</w:t>
      </w:r>
    </w:p>
    <w:p>
      <w:pPr>
        <w:pStyle w:val="FirstParagraph"/>
      </w:pPr>
      <w:r>
        <w:t xml:space="preserve">В предыдущей главе различие было формализовано</w:t>
      </w:r>
      <w:r>
        <w:t xml:space="preserve"> </w:t>
      </w:r>
      <w:r>
        <w:t xml:space="preserve">как информационная и вероятностная величина.</w:t>
      </w:r>
      <w:r>
        <w:t xml:space="preserve"> </w:t>
      </w:r>
      <w:r>
        <w:t xml:space="preserve">Однако для описания структуры пространства состояний</w:t>
      </w:r>
      <w:r>
        <w:t xml:space="preserve"> </w:t>
      </w:r>
      <w:r>
        <w:t xml:space="preserve">необходимо ввести количественную меру</w:t>
      </w:r>
      <w:r>
        <w:t xml:space="preserve"> </w:t>
      </w:r>
      <w:r>
        <w:rPr>
          <w:iCs/>
          <w:i/>
        </w:rPr>
        <w:t xml:space="preserve">близости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удалённости</w:t>
      </w:r>
      <w:r>
        <w:t xml:space="preserve"> </w:t>
      </w:r>
      <w:r>
        <w:t xml:space="preserve">между формами знания.</w:t>
      </w:r>
    </w:p>
    <w:p>
      <w:pPr>
        <w:pStyle w:val="BodyText"/>
      </w:pPr>
      <w:r>
        <w:t xml:space="preserve">Метрика различия позволяет:</w:t>
      </w:r>
    </w:p>
    <w:p>
      <w:pPr>
        <w:numPr>
          <w:ilvl w:val="0"/>
          <w:numId w:val="1001"/>
        </w:numPr>
      </w:pPr>
      <w:r>
        <w:t xml:space="preserve">сравнивать состояния между собой;</w:t>
      </w:r>
    </w:p>
    <w:p>
      <w:pPr>
        <w:numPr>
          <w:ilvl w:val="0"/>
          <w:numId w:val="1001"/>
        </w:numPr>
      </w:pPr>
      <w:r>
        <w:t xml:space="preserve">вводить геометрические структуры;</w:t>
      </w:r>
    </w:p>
    <w:p>
      <w:pPr>
        <w:numPr>
          <w:ilvl w:val="0"/>
          <w:numId w:val="1001"/>
        </w:numPr>
      </w:pPr>
      <w:r>
        <w:t xml:space="preserve">формализовать динамику как движение в пространстве состояний.</w:t>
      </w:r>
    </w:p>
    <w:bookmarkEnd w:id="20"/>
    <w:bookmarkStart w:id="21" w:name="требования-к-метрикам"/>
    <w:p>
      <w:pPr>
        <w:pStyle w:val="Heading2"/>
      </w:pPr>
      <w:r>
        <w:t xml:space="preserve">Требования к метрикам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два вероятностных распределения состояний.</w:t>
      </w:r>
    </w:p>
    <w:p>
      <w:pPr>
        <w:pStyle w:val="BodyText"/>
      </w:pPr>
      <w:r>
        <w:t xml:space="preserve">Функция различия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t xml:space="preserve">должна:</w:t>
      </w:r>
    </w:p>
    <w:p>
      <w:pPr>
        <w:numPr>
          <w:ilvl w:val="0"/>
          <w:numId w:val="1002"/>
        </w:numPr>
      </w:pPr>
      <w:r>
        <w:t xml:space="preserve">быть неотрицательной: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обращаться в ноль при совпадении распределений;</w:t>
      </w:r>
    </w:p>
    <w:p>
      <w:pPr>
        <w:numPr>
          <w:ilvl w:val="0"/>
          <w:numId w:val="1002"/>
        </w:numPr>
      </w:pPr>
      <w:r>
        <w:t xml:space="preserve">возрастать при увеличении различия.</w:t>
      </w:r>
    </w:p>
    <w:p>
      <w:pPr>
        <w:pStyle w:val="FirstParagraph"/>
      </w:pPr>
      <w:r>
        <w:t xml:space="preserve">Важно отметить:</w:t>
      </w:r>
      <w:r>
        <w:t xml:space="preserve"> </w:t>
      </w:r>
      <w:r>
        <w:t xml:space="preserve">не все меры различия являются метриками в строгом математическом смысле,</w:t>
      </w:r>
      <w:r>
        <w:t xml:space="preserve"> </w:t>
      </w:r>
      <w:r>
        <w:t xml:space="preserve">однако они сохраняют онтологическую интерпретируемость.</w:t>
      </w:r>
    </w:p>
    <w:bookmarkEnd w:id="21"/>
    <w:bookmarkStart w:id="22" w:name="дивергенция-кульбакалейблера"/>
    <w:p>
      <w:pPr>
        <w:pStyle w:val="Heading2"/>
      </w:pPr>
      <w:r>
        <w:t xml:space="preserve">Дивергенция Кульбака–Лейблера</w:t>
      </w:r>
    </w:p>
    <w:p>
      <w:pPr>
        <w:pStyle w:val="FirstParagraph"/>
      </w:pPr>
      <w:r>
        <w:t xml:space="preserve">Одной из фундаментальных мер различия является</w:t>
      </w:r>
      <w:r>
        <w:t xml:space="preserve"> </w:t>
      </w:r>
      <w:r>
        <w:t xml:space="preserve">дивергенция Кульбака–Лейблера: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‖</m:t>
              </m:r>
              <m:r>
                <m:t>q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Эта величина измеряет,</w:t>
      </w:r>
      <w:r>
        <w:t xml:space="preserve"> </w:t>
      </w:r>
      <w:r>
        <w:t xml:space="preserve">насколько распределение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отклоняется от распределения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В онтологическом смысле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характеризует</w:t>
      </w:r>
      <w:r>
        <w:t xml:space="preserve"> </w:t>
      </w:r>
      <w:r>
        <w:t xml:space="preserve">потерю или приобретение знания</w:t>
      </w:r>
      <w:r>
        <w:t xml:space="preserve"> </w:t>
      </w:r>
      <w:r>
        <w:t xml:space="preserve">при переходе между формами.</w:t>
      </w:r>
    </w:p>
    <w:bookmarkEnd w:id="22"/>
    <w:bookmarkStart w:id="23" w:name="асимметрия-и-направленность"/>
    <w:p>
      <w:pPr>
        <w:pStyle w:val="Heading2"/>
      </w:pPr>
      <w:r>
        <w:t xml:space="preserve">Асимметрия и направленность</w:t>
      </w:r>
    </w:p>
    <w:p>
      <w:pPr>
        <w:pStyle w:val="FirstParagraph"/>
      </w:pPr>
      <w:r>
        <w:t xml:space="preserve">Дивергенция Кульбака–Лейблера асимметрична: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‖</m:t>
              </m:r>
              <m:r>
                <m:t>q</m:t>
              </m:r>
            </m:e>
          </m:d>
          <m:r>
            <m:rPr>
              <m:sty m:val="p"/>
            </m:rPr>
            <m:t>≠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‖</m:t>
              </m:r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Эта асимметрия имеет онтологическое значение:</w:t>
      </w:r>
      <w:r>
        <w:t xml:space="preserve"> </w:t>
      </w:r>
      <w:r>
        <w:t xml:space="preserve">она отражает направленность процессов изменения различий</w:t>
      </w:r>
      <w:r>
        <w:t xml:space="preserve"> </w:t>
      </w:r>
      <w:r>
        <w:t xml:space="preserve">и связана со стрелой времени.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t xml:space="preserve">временная направленность</w:t>
      </w:r>
      <w:r>
        <w:t xml:space="preserve"> </w:t>
      </w:r>
      <w:r>
        <w:t xml:space="preserve">получает геометрическое выражение.</w:t>
      </w:r>
    </w:p>
    <w:bookmarkEnd w:id="23"/>
    <w:bookmarkStart w:id="24" w:name="симметризованные-меры-различия"/>
    <w:p>
      <w:pPr>
        <w:pStyle w:val="Heading2"/>
      </w:pPr>
      <w:r>
        <w:t xml:space="preserve">Симметризованные меры различия</w:t>
      </w:r>
    </w:p>
    <w:p>
      <w:pPr>
        <w:pStyle w:val="FirstParagraph"/>
      </w:pPr>
      <w:r>
        <w:t xml:space="preserve">Для построения геометрии</w:t>
      </w:r>
      <w:r>
        <w:t xml:space="preserve"> </w:t>
      </w:r>
      <w:r>
        <w:t xml:space="preserve">часто используются симметризованные меры.</w:t>
      </w:r>
    </w:p>
    <w:p>
      <w:pPr>
        <w:pStyle w:val="BodyText"/>
      </w:pPr>
      <w:r>
        <w:t xml:space="preserve">Одной из них является</w:t>
      </w:r>
      <w:r>
        <w:t xml:space="preserve"> </w:t>
      </w:r>
      <w:r>
        <w:t xml:space="preserve">дивергенция Йенсена–Шеннона: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‖</m:t>
              </m:r>
              <m:r>
                <m:t>m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‖</m:t>
              </m:r>
              <m:r>
                <m:t>m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D</m:t>
            </m:r>
          </m:e>
          <m:sub>
            <m:r>
              <m:rPr>
                <m:sty m:val="p"/>
              </m:rPr>
              <m:t>J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обладает ограниченностью</w:t>
      </w:r>
      <w:r>
        <w:t xml:space="preserve"> </w:t>
      </w:r>
      <w:r>
        <w:t xml:space="preserve">и симметрией,</w:t>
      </w:r>
      <w:r>
        <w:t xml:space="preserve"> </w:t>
      </w:r>
      <w:r>
        <w:t xml:space="preserve">что делает её удобной</w:t>
      </w:r>
      <w:r>
        <w:t xml:space="preserve"> </w:t>
      </w:r>
      <w:r>
        <w:t xml:space="preserve">для геометрической интерпретации.</w:t>
      </w:r>
    </w:p>
    <w:bookmarkEnd w:id="24"/>
    <w:bookmarkStart w:id="25" w:name="расстояние-хеллингера"/>
    <w:p>
      <w:pPr>
        <w:pStyle w:val="Heading2"/>
      </w:pPr>
      <w:r>
        <w:t xml:space="preserve">Расстояние Хеллингера</w:t>
      </w:r>
    </w:p>
    <w:p>
      <w:pPr>
        <w:pStyle w:val="FirstParagraph"/>
      </w:pPr>
      <w:r>
        <w:t xml:space="preserve">Ещё одной важной метрикой является расстояние Хеллингера: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</m:den>
          </m:f>
          <m:rad>
            <m:radPr>
              <m:degHide m:val="1"/>
            </m:radPr>
            <m:deg/>
            <m:e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ad>
                            <m:radPr>
                              <m:degHide m:val="1"/>
                            </m:radPr>
                            <m:deg/>
                            <m:e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1"/>
                            </m:radPr>
                            <m:deg/>
                            <m:e>
                              <m:sSub>
                                <m:e>
                                  <m:r>
                                    <m:t>q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ra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расстояние:</w:t>
      </w:r>
    </w:p>
    <w:p>
      <w:pPr>
        <w:numPr>
          <w:ilvl w:val="0"/>
          <w:numId w:val="1003"/>
        </w:numPr>
      </w:pPr>
      <w:r>
        <w:t xml:space="preserve">является истинной метрикой;</w:t>
      </w:r>
    </w:p>
    <w:p>
      <w:pPr>
        <w:numPr>
          <w:ilvl w:val="0"/>
          <w:numId w:val="1003"/>
        </w:numPr>
      </w:pPr>
      <w:r>
        <w:t xml:space="preserve">тесно связано с геометрией гильбертова пространства;</w:t>
      </w:r>
    </w:p>
    <w:p>
      <w:pPr>
        <w:numPr>
          <w:ilvl w:val="0"/>
          <w:numId w:val="1003"/>
        </w:numPr>
      </w:pPr>
      <w:r>
        <w:t xml:space="preserve">естественно интерпретируется как различие форм знания.</w:t>
      </w:r>
    </w:p>
    <w:bookmarkEnd w:id="25"/>
    <w:bookmarkStart w:id="26" w:name="геометрия-пространства-состояний"/>
    <w:p>
      <w:pPr>
        <w:pStyle w:val="Heading2"/>
      </w:pPr>
      <w:r>
        <w:t xml:space="preserve">Геометрия пространства состояний</w:t>
      </w:r>
    </w:p>
    <w:p>
      <w:pPr>
        <w:pStyle w:val="FirstParagraph"/>
      </w:pPr>
      <w:r>
        <w:t xml:space="preserve">Введение метрик позволяет рассматривать</w:t>
      </w:r>
      <w:r>
        <w:t xml:space="preserve"> </w:t>
      </w:r>
      <w:r>
        <w:t xml:space="preserve">пространство состояний как геометрический объект.</w:t>
      </w:r>
    </w:p>
    <w:p>
      <w:pPr>
        <w:pStyle w:val="BodyText"/>
      </w:pPr>
      <w:r>
        <w:t xml:space="preserve">Состояния интерпретируются как точки,</w:t>
      </w:r>
      <w:r>
        <w:t xml:space="preserve"> </w:t>
      </w:r>
      <w:r>
        <w:t xml:space="preserve">а динамика — как траектории,</w:t>
      </w:r>
      <w:r>
        <w:t xml:space="preserve"> </w:t>
      </w:r>
      <w:r>
        <w:t xml:space="preserve">минимизирующие или экстремизирующие функционалы различия.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t xml:space="preserve">эволюция Сознания</w:t>
      </w:r>
      <w:r>
        <w:t xml:space="preserve"> </w:t>
      </w:r>
      <w:r>
        <w:t xml:space="preserve">может быть представлена</w:t>
      </w:r>
      <w:r>
        <w:t xml:space="preserve"> </w:t>
      </w:r>
      <w:r>
        <w:t xml:space="preserve">как геометрический процесс.</w:t>
      </w:r>
    </w:p>
    <w:bookmarkEnd w:id="26"/>
    <w:bookmarkStart w:id="27" w:name="градиенты-различия-и-динамика"/>
    <w:p>
      <w:pPr>
        <w:pStyle w:val="Heading2"/>
      </w:pPr>
      <w:r>
        <w:t xml:space="preserve">Градиенты различия и динамика</w:t>
      </w:r>
    </w:p>
    <w:p>
      <w:pPr>
        <w:pStyle w:val="FirstParagraph"/>
      </w:pPr>
      <w:r>
        <w:t xml:space="preserve">Изменение состояний может быть направлено</w:t>
      </w:r>
      <w:r>
        <w:t xml:space="preserve"> </w:t>
      </w:r>
      <w:r>
        <w:t xml:space="preserve">в сторону уменьшения или увеличения различия.</w:t>
      </w:r>
    </w:p>
    <w:p>
      <w:pPr>
        <w:pStyle w:val="BodyText"/>
      </w:pPr>
      <w:r>
        <w:t xml:space="preserve">Градиент энтропии или дивергенции</w:t>
      </w:r>
      <w:r>
        <w:t xml:space="preserve"> </w:t>
      </w:r>
      <w:r>
        <w:t xml:space="preserve">задаёт направление естественной динамики.</w:t>
      </w:r>
    </w:p>
    <w:p>
      <w:pPr>
        <w:pStyle w:val="BodyText"/>
      </w:pPr>
      <w:r>
        <w:t xml:space="preserve">Это создаёт основу</w:t>
      </w:r>
      <w:r>
        <w:t xml:space="preserve"> </w:t>
      </w:r>
      <w:r>
        <w:t xml:space="preserve">для формализации «гравитации смысла»,</w:t>
      </w:r>
      <w:r>
        <w:t xml:space="preserve"> </w:t>
      </w:r>
      <w:r>
        <w:t xml:space="preserve">где системы стремятся к снижению</w:t>
      </w:r>
      <w:r>
        <w:t xml:space="preserve"> </w:t>
      </w:r>
      <w:r>
        <w:t xml:space="preserve">информационного напряжения.</w:t>
      </w:r>
    </w:p>
    <w:bookmarkEnd w:id="27"/>
    <w:bookmarkStart w:id="28" w:name="связь-с-физическими-пространствами"/>
    <w:p>
      <w:pPr>
        <w:pStyle w:val="Heading2"/>
      </w:pPr>
      <w:r>
        <w:t xml:space="preserve">Связь с физическими пространствами</w:t>
      </w:r>
    </w:p>
    <w:p>
      <w:pPr>
        <w:pStyle w:val="FirstParagraph"/>
      </w:pPr>
      <w:r>
        <w:t xml:space="preserve">Физическое пространство и время</w:t>
      </w:r>
      <w:r>
        <w:t xml:space="preserve"> </w:t>
      </w:r>
      <w:r>
        <w:t xml:space="preserve">являются проекциями</w:t>
      </w:r>
      <w:r>
        <w:t xml:space="preserve"> </w:t>
      </w:r>
      <w:r>
        <w:t xml:space="preserve">геометрии пространства состояний</w:t>
      </w:r>
      <w:r>
        <w:t xml:space="preserve"> </w:t>
      </w:r>
      <w:r>
        <w:t xml:space="preserve">на устойчивые подпространства.</w:t>
      </w:r>
    </w:p>
    <w:p>
      <w:pPr>
        <w:pStyle w:val="BodyText"/>
      </w:pPr>
      <w:r>
        <w:t xml:space="preserve">Метрика пространства–времени</w:t>
      </w:r>
      <w:r>
        <w:t xml:space="preserve"> </w:t>
      </w:r>
      <w:r>
        <w:t xml:space="preserve">возникает как эффективное описание</w:t>
      </w:r>
      <w:r>
        <w:t xml:space="preserve"> </w:t>
      </w:r>
      <w:r>
        <w:t xml:space="preserve">информационной геометрии Сознания.</w:t>
      </w:r>
    </w:p>
    <w:bookmarkEnd w:id="28"/>
    <w:bookmarkStart w:id="29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данной главе было показано, что:</w:t>
      </w:r>
    </w:p>
    <w:p>
      <w:pPr>
        <w:numPr>
          <w:ilvl w:val="0"/>
          <w:numId w:val="1004"/>
        </w:numPr>
      </w:pPr>
      <w:r>
        <w:t xml:space="preserve">различие может быть выражено через метрики;</w:t>
      </w:r>
    </w:p>
    <w:p>
      <w:pPr>
        <w:numPr>
          <w:ilvl w:val="0"/>
          <w:numId w:val="1004"/>
        </w:numPr>
      </w:pPr>
      <w:r>
        <w:t xml:space="preserve">дивергенции задают геометрию пространства состояний;</w:t>
      </w:r>
    </w:p>
    <w:p>
      <w:pPr>
        <w:numPr>
          <w:ilvl w:val="0"/>
          <w:numId w:val="1004"/>
        </w:numPr>
      </w:pPr>
      <w:r>
        <w:t xml:space="preserve">направленность времени связана с асимметрией метрик;</w:t>
      </w:r>
    </w:p>
    <w:p>
      <w:pPr>
        <w:numPr>
          <w:ilvl w:val="0"/>
          <w:numId w:val="1004"/>
        </w:numPr>
      </w:pPr>
      <w:r>
        <w:t xml:space="preserve">динамика может быть интерпретирована геометрически.</w:t>
      </w:r>
    </w:p>
    <w:p>
      <w:pPr>
        <w:pStyle w:val="FirstParagraph"/>
      </w:pPr>
      <w:r>
        <w:t xml:space="preserve">Это подготавливает введение</w:t>
      </w:r>
      <w:r>
        <w:t xml:space="preserve"> </w:t>
      </w:r>
      <w:r>
        <w:t xml:space="preserve">понятий наблюдателя, проекций и коллапса</w:t>
      </w:r>
      <w:r>
        <w:t xml:space="preserve"> </w:t>
      </w:r>
      <w:r>
        <w:t xml:space="preserve">в строгом математическом виде.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