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e0bd067d380cdaf357400365207536460f7927"/>
    <w:p>
      <w:pPr>
        <w:pStyle w:val="Heading1"/>
      </w:pPr>
      <w:r>
        <w:t xml:space="preserve">Наблюдатель, проекции и редукция состояний</w:t>
      </w:r>
    </w:p>
    <w:bookmarkStart w:id="20" w:name="роль-наблюдателя-в-формализме"/>
    <w:p>
      <w:pPr>
        <w:pStyle w:val="Heading2"/>
      </w:pPr>
      <w:r>
        <w:t xml:space="preserve">Роль наблюдателя в формализме</w:t>
      </w:r>
    </w:p>
    <w:p>
      <w:pPr>
        <w:pStyle w:val="FirstParagraph"/>
      </w:pPr>
      <w:r>
        <w:t xml:space="preserve">В Томе I наблюдатель был определён</w:t>
      </w:r>
      <w:r>
        <w:t xml:space="preserve"> </w:t>
      </w:r>
      <w:r>
        <w:t xml:space="preserve">как локализация знания в структуре различий.</w:t>
      </w:r>
      <w:r>
        <w:t xml:space="preserve"> </w:t>
      </w:r>
      <w:r>
        <w:t xml:space="preserve">Цель данной главы —</w:t>
      </w:r>
      <w:r>
        <w:t xml:space="preserve"> </w:t>
      </w:r>
      <w:r>
        <w:t xml:space="preserve">дать строгую математическую формализацию этого понятия</w:t>
      </w:r>
      <w:r>
        <w:t xml:space="preserve"> </w:t>
      </w:r>
      <w:r>
        <w:t xml:space="preserve">в рамках пространства состояний.</w:t>
      </w:r>
    </w:p>
    <w:p>
      <w:pPr>
        <w:pStyle w:val="BodyText"/>
      </w:pPr>
      <w:r>
        <w:t xml:space="preserve">Наблюдатель не вводится как внешняя сущность,</w:t>
      </w:r>
      <w:r>
        <w:t xml:space="preserve"> </w:t>
      </w:r>
      <w:r>
        <w:t xml:space="preserve">а описывается как внутренняя операция над состояниями Сознания.</w:t>
      </w:r>
    </w:p>
    <w:bookmarkEnd w:id="20"/>
    <w:bookmarkStart w:id="21" w:name="наблюдатель-как-подпространство"/>
    <w:p>
      <w:pPr>
        <w:pStyle w:val="Heading2"/>
      </w:pPr>
      <w:r>
        <w:t xml:space="preserve">Наблюдатель как подпространство</w:t>
      </w:r>
    </w:p>
    <w:p>
      <w:pPr>
        <w:pStyle w:val="FirstParagraph"/>
      </w:pPr>
      <w:r>
        <w:t xml:space="preserve">Пусть пространство состояний Сознания</w:t>
      </w:r>
      <w:r>
        <w:t xml:space="preserve"> </w:t>
      </w:r>
      <w:r>
        <w:t xml:space="preserve">задано гильбертовым пространством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.</w:t>
      </w:r>
    </w:p>
    <w:p>
      <w:pPr>
        <w:pStyle w:val="BodyText"/>
      </w:pPr>
      <w:r>
        <w:t xml:space="preserve">Наблюдатель определяется как подпространство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H</m:t>
            </m:r>
          </m:e>
          <m:sub>
            <m:r>
              <m:t>O</m:t>
            </m:r>
          </m:sub>
        </m:sSub>
        <m:r>
          <m:rPr>
            <m:sty m:val="p"/>
          </m:rPr>
          <m:t>⊂</m:t>
        </m:r>
        <m:r>
          <m:rPr>
            <m:sty m:val="p"/>
            <m:scr m:val="script"/>
          </m:rPr>
          <m:t>H</m:t>
        </m:r>
      </m:oMath>
      <w:r>
        <w:t xml:space="preserve">,</w:t>
      </w:r>
      <w:r>
        <w:t xml:space="preserve"> </w:t>
      </w:r>
      <w:r>
        <w:t xml:space="preserve">соответствующее тем формам знания,</w:t>
      </w:r>
      <w:r>
        <w:t xml:space="preserve"> </w:t>
      </w:r>
      <w:r>
        <w:t xml:space="preserve">которые могут быть актуализированы</w:t>
      </w:r>
      <w:r>
        <w:t xml:space="preserve"> </w:t>
      </w:r>
      <w:r>
        <w:t xml:space="preserve">в данной локализации.</w:t>
      </w:r>
    </w:p>
    <w:p>
      <w:pPr>
        <w:pStyle w:val="BodyText"/>
      </w:pPr>
      <w:r>
        <w:t xml:space="preserve">Это подпространство задаёт</w:t>
      </w:r>
      <w:r>
        <w:t xml:space="preserve"> </w:t>
      </w:r>
      <w:r>
        <w:rPr>
          <w:iCs/>
          <w:i/>
        </w:rPr>
        <w:t xml:space="preserve">контекст наблюдения</w:t>
      </w:r>
      <w:r>
        <w:t xml:space="preserve">.</w:t>
      </w:r>
    </w:p>
    <w:bookmarkEnd w:id="21"/>
    <w:bookmarkStart w:id="22" w:name="проекционные-операторы"/>
    <w:p>
      <w:pPr>
        <w:pStyle w:val="Heading2"/>
      </w:pPr>
      <w:r>
        <w:t xml:space="preserve">Проекционные операторы</w:t>
      </w:r>
    </w:p>
    <w:p>
      <w:pPr>
        <w:pStyle w:val="FirstParagraph"/>
      </w:pPr>
      <w:r>
        <w:t xml:space="preserve">Каждому наблюдаемому свойству</w:t>
      </w:r>
      <w:r>
        <w:t xml:space="preserve"> </w:t>
      </w:r>
      <w:r>
        <w:t xml:space="preserve">соответствует проекционный оператор: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  <m:scr m:val="script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H</m:t>
          </m:r>
          <m:r>
            <m:rPr>
              <m:sty m:val="p"/>
            </m:rPr>
            <m:t>,</m:t>
          </m:r>
          <m:r>
            <m:t> </m:t>
          </m:r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Проекция состояния: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ψ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соответствует актуализации</w:t>
      </w:r>
      <w:r>
        <w:t xml:space="preserve"> </w:t>
      </w:r>
      <w:r>
        <w:t xml:space="preserve">определённой формы знания.</w:t>
      </w:r>
    </w:p>
    <w:bookmarkEnd w:id="22"/>
    <w:bookmarkStart w:id="23" w:name="вероятность-результата-наблюдения"/>
    <w:p>
      <w:pPr>
        <w:pStyle w:val="Heading2"/>
      </w:pPr>
      <w:r>
        <w:t xml:space="preserve">Вероятность результата наблюдения</w:t>
      </w:r>
    </w:p>
    <w:p>
      <w:pPr>
        <w:pStyle w:val="FirstParagraph"/>
      </w:pPr>
      <w:r>
        <w:t xml:space="preserve">Вероятность реализации проекции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в состоянии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</m:oMath>
      <w:r>
        <w:t xml:space="preserve"> </w:t>
      </w:r>
      <w:r>
        <w:t xml:space="preserve">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ψ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выражение является формальным аналогом</w:t>
      </w:r>
      <w:r>
        <w:t xml:space="preserve"> </w:t>
      </w:r>
      <w:r>
        <w:t xml:space="preserve">правила Борна,</w:t>
      </w:r>
      <w:r>
        <w:t xml:space="preserve"> </w:t>
      </w:r>
      <w:r>
        <w:t xml:space="preserve">но интерпретируется</w:t>
      </w:r>
      <w:r>
        <w:t xml:space="preserve"> </w:t>
      </w:r>
      <w:r>
        <w:t xml:space="preserve">как вероятность локализации формы знания,</w:t>
      </w:r>
      <w:r>
        <w:t xml:space="preserve"> </w:t>
      </w:r>
      <w:r>
        <w:t xml:space="preserve">а не как физический случайный процесс.</w:t>
      </w:r>
    </w:p>
    <w:bookmarkEnd w:id="23"/>
    <w:bookmarkStart w:id="24" w:name="редукция-состояния"/>
    <w:p>
      <w:pPr>
        <w:pStyle w:val="Heading2"/>
      </w:pPr>
      <w:r>
        <w:t xml:space="preserve">Редукция состояния</w:t>
      </w:r>
    </w:p>
    <w:p>
      <w:pPr>
        <w:pStyle w:val="FirstParagraph"/>
      </w:pPr>
      <w:r>
        <w:t xml:space="preserve">После акта наблюдения</w:t>
      </w:r>
      <w:r>
        <w:t xml:space="preserve"> </w:t>
      </w:r>
      <w:r>
        <w:t xml:space="preserve">состояние системы редуцируется: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ψ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→</m:t>
              </m:r>
            </m:e>
          </m:d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ψ</m:t>
              </m:r>
              <m:r>
                <m:rPr>
                  <m:sty m:val="p"/>
                </m:rPr>
                <m:t>⟩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⟨</m:t>
                  </m:r>
                  <m:r>
                    <m:t>ψ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ψ</m:t>
                  </m:r>
                  <m:r>
                    <m:rPr>
                      <m:sty m:val="p"/>
                    </m:rPr>
                    <m:t>⟩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Редукция не является физическим скачком.</w:t>
      </w:r>
      <w:r>
        <w:t xml:space="preserve"> </w:t>
      </w:r>
      <w:r>
        <w:t xml:space="preserve">Она отражает</w:t>
      </w:r>
      <w:r>
        <w:t xml:space="preserve"> </w:t>
      </w:r>
      <w:r>
        <w:t xml:space="preserve">уменьшение неопределённости</w:t>
      </w:r>
      <w:r>
        <w:t xml:space="preserve"> </w:t>
      </w:r>
      <w:r>
        <w:t xml:space="preserve">и стабилизацию различий</w:t>
      </w:r>
      <w:r>
        <w:t xml:space="preserve"> </w:t>
      </w:r>
      <w:r>
        <w:t xml:space="preserve">в данной локализации знания.</w:t>
      </w:r>
    </w:p>
    <w:bookmarkEnd w:id="24"/>
    <w:bookmarkStart w:id="25" w:name="редукция-и-энтропия"/>
    <w:p>
      <w:pPr>
        <w:pStyle w:val="Heading2"/>
      </w:pPr>
      <w:r>
        <w:t xml:space="preserve">Редукция и энтропия</w:t>
      </w:r>
    </w:p>
    <w:p>
      <w:pPr>
        <w:pStyle w:val="FirstParagraph"/>
      </w:pPr>
      <w:r>
        <w:t xml:space="preserve">Редукция состояния сопровождается</w:t>
      </w:r>
      <w:r>
        <w:t xml:space="preserve"> </w:t>
      </w:r>
      <w:r>
        <w:t xml:space="preserve">уменьшением энтропии: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после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до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формально выражает</w:t>
      </w:r>
      <w:r>
        <w:t xml:space="preserve"> </w:t>
      </w:r>
      <w:r>
        <w:t xml:space="preserve">онтологический принцип:</w:t>
      </w:r>
      <w:r>
        <w:t xml:space="preserve"> </w:t>
      </w:r>
      <w:r>
        <w:t xml:space="preserve">наблюдение есть процесс</w:t>
      </w:r>
      <w:r>
        <w:t xml:space="preserve"> </w:t>
      </w:r>
      <w:r>
        <w:t xml:space="preserve">снижения неопределённости</w:t>
      </w:r>
      <w:r>
        <w:t xml:space="preserve"> </w:t>
      </w:r>
      <w:r>
        <w:t xml:space="preserve">за счёт фиксации формы знания.</w:t>
      </w:r>
    </w:p>
    <w:bookmarkEnd w:id="25"/>
    <w:bookmarkStart w:id="26" w:name="наблюдатель-и-динамика"/>
    <w:p>
      <w:pPr>
        <w:pStyle w:val="Heading2"/>
      </w:pPr>
      <w:r>
        <w:t xml:space="preserve">Наблюдатель и динамика</w:t>
      </w:r>
    </w:p>
    <w:p>
      <w:pPr>
        <w:pStyle w:val="FirstParagraph"/>
      </w:pPr>
      <w:r>
        <w:t xml:space="preserve">Проекция нарушает унитарную динамику,</w:t>
      </w:r>
      <w:r>
        <w:t xml:space="preserve"> </w:t>
      </w:r>
      <w:r>
        <w:t xml:space="preserve">рассмотренную в Главе 2.</w:t>
      </w:r>
    </w:p>
    <w:p>
      <w:pPr>
        <w:pStyle w:val="BodyText"/>
      </w:pPr>
      <w:r>
        <w:t xml:space="preserve">Однако это не противоречие,</w:t>
      </w:r>
      <w:r>
        <w:t xml:space="preserve"> </w:t>
      </w:r>
      <w:r>
        <w:t xml:space="preserve">а указание на то,</w:t>
      </w:r>
      <w:r>
        <w:t xml:space="preserve"> </w:t>
      </w:r>
      <w:r>
        <w:t xml:space="preserve">что наблюдение является</w:t>
      </w:r>
      <w:r>
        <w:t xml:space="preserve"> </w:t>
      </w:r>
      <w:r>
        <w:t xml:space="preserve">отдельным типом процесса,</w:t>
      </w:r>
      <w:r>
        <w:t xml:space="preserve"> </w:t>
      </w:r>
      <w:r>
        <w:t xml:space="preserve">не сводимым к непрерывной эволюции.</w:t>
      </w:r>
    </w:p>
    <w:p>
      <w:pPr>
        <w:pStyle w:val="BodyText"/>
      </w:pPr>
      <w:r>
        <w:t xml:space="preserve">Унитарная динамика описывает</w:t>
      </w:r>
      <w:r>
        <w:t xml:space="preserve"> </w:t>
      </w:r>
      <w:r>
        <w:t xml:space="preserve">изменение потенциальных форм,</w:t>
      </w:r>
      <w:r>
        <w:t xml:space="preserve"> </w:t>
      </w:r>
      <w:r>
        <w:t xml:space="preserve">а редукция — их актуализацию.</w:t>
      </w:r>
    </w:p>
    <w:bookmarkEnd w:id="26"/>
    <w:bookmarkStart w:id="27" w:name="множественность-наблюдателей"/>
    <w:p>
      <w:pPr>
        <w:pStyle w:val="Heading2"/>
      </w:pPr>
      <w:r>
        <w:t xml:space="preserve">Множественность наблюдателей</w:t>
      </w:r>
    </w:p>
    <w:p>
      <w:pPr>
        <w:pStyle w:val="FirstParagraph"/>
      </w:pPr>
      <w:r>
        <w:t xml:space="preserve">Различные наблюдатели</w:t>
      </w:r>
      <w:r>
        <w:t xml:space="preserve"> </w:t>
      </w:r>
      <w:r>
        <w:t xml:space="preserve">соответствуют различным подпространствам</w:t>
      </w:r>
      <w:r>
        <w:t xml:space="preserve"> </w:t>
      </w:r>
      <w:r>
        <w:t xml:space="preserve">и наборам проекционных операторов.</w:t>
      </w:r>
    </w:p>
    <w:p>
      <w:pPr>
        <w:pStyle w:val="BodyText"/>
      </w:pPr>
      <w:r>
        <w:t xml:space="preserve">Если проекции согласованы,</w:t>
      </w:r>
      <w:r>
        <w:t xml:space="preserve"> </w:t>
      </w:r>
      <w:r>
        <w:t xml:space="preserve">наблюдатели приходят к согласованной реальности.</w:t>
      </w:r>
    </w:p>
    <w:p>
      <w:pPr>
        <w:pStyle w:val="BodyText"/>
      </w:pPr>
      <w:r>
        <w:t xml:space="preserve">Объективность возникает</w:t>
      </w:r>
      <w:r>
        <w:t xml:space="preserve"> </w:t>
      </w:r>
      <w:r>
        <w:t xml:space="preserve">как устойчивость результатов</w:t>
      </w:r>
      <w:r>
        <w:t xml:space="preserve"> </w:t>
      </w:r>
      <w:r>
        <w:t xml:space="preserve">при множественных локализациях знания.</w:t>
      </w:r>
    </w:p>
    <w:bookmarkEnd w:id="27"/>
    <w:bookmarkStart w:id="28" w:name="наблюдатель-и-измерительные-приборы"/>
    <w:p>
      <w:pPr>
        <w:pStyle w:val="Heading2"/>
      </w:pPr>
      <w:r>
        <w:t xml:space="preserve">Наблюдатель и измерительные приборы</w:t>
      </w:r>
    </w:p>
    <w:p>
      <w:pPr>
        <w:pStyle w:val="FirstParagraph"/>
      </w:pPr>
      <w:r>
        <w:t xml:space="preserve">Измерительный прибор</w:t>
      </w:r>
      <w:r>
        <w:t xml:space="preserve"> </w:t>
      </w:r>
      <w:r>
        <w:t xml:space="preserve">является физическим воплощением</w:t>
      </w:r>
      <w:r>
        <w:t xml:space="preserve"> </w:t>
      </w:r>
      <w:r>
        <w:t xml:space="preserve">определённого оператора проекции.</w:t>
      </w:r>
    </w:p>
    <w:p>
      <w:pPr>
        <w:pStyle w:val="BodyText"/>
      </w:pPr>
      <w:r>
        <w:t xml:space="preserve">Он не создаёт результат измерения,</w:t>
      </w:r>
      <w:r>
        <w:t xml:space="preserve"> </w:t>
      </w:r>
      <w:r>
        <w:t xml:space="preserve">а реализует заранее определённую</w:t>
      </w:r>
      <w:r>
        <w:t xml:space="preserve"> </w:t>
      </w:r>
      <w:r>
        <w:t xml:space="preserve">структуру различий.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t xml:space="preserve">прибор расширяет наблюдателя,</w:t>
      </w:r>
      <w:r>
        <w:t xml:space="preserve"> </w:t>
      </w:r>
      <w:r>
        <w:t xml:space="preserve">а не заменяет его.</w:t>
      </w:r>
    </w:p>
    <w:bookmarkEnd w:id="28"/>
    <w:bookmarkStart w:id="29" w:name="связь-с-онтологией-тома-i"/>
    <w:p>
      <w:pPr>
        <w:pStyle w:val="Heading2"/>
      </w:pPr>
      <w:r>
        <w:t xml:space="preserve">Связь с онтологией Тома I</w:t>
      </w:r>
    </w:p>
    <w:p>
      <w:pPr>
        <w:pStyle w:val="FirstParagraph"/>
      </w:pPr>
      <w:r>
        <w:t xml:space="preserve">Формализм данной главы</w:t>
      </w:r>
      <w:r>
        <w:t xml:space="preserve"> </w:t>
      </w:r>
      <w:r>
        <w:t xml:space="preserve">напрямую соответствует выводам Тома I:</w:t>
      </w:r>
    </w:p>
    <w:p>
      <w:pPr>
        <w:numPr>
          <w:ilvl w:val="0"/>
          <w:numId w:val="1001"/>
        </w:numPr>
      </w:pPr>
      <w:r>
        <w:t xml:space="preserve">наблюдатель как локализация знания;</w:t>
      </w:r>
    </w:p>
    <w:p>
      <w:pPr>
        <w:numPr>
          <w:ilvl w:val="0"/>
          <w:numId w:val="1001"/>
        </w:numPr>
      </w:pPr>
      <w:r>
        <w:t xml:space="preserve">наблюдение как стабилизация различий;</w:t>
      </w:r>
    </w:p>
    <w:p>
      <w:pPr>
        <w:numPr>
          <w:ilvl w:val="0"/>
          <w:numId w:val="1001"/>
        </w:numPr>
      </w:pPr>
      <w:r>
        <w:t xml:space="preserve">редукция как уменьшение энтропии;</w:t>
      </w:r>
    </w:p>
    <w:p>
      <w:pPr>
        <w:numPr>
          <w:ilvl w:val="0"/>
          <w:numId w:val="1001"/>
        </w:numPr>
      </w:pPr>
      <w:r>
        <w:t xml:space="preserve">объективность как согласованность наблюдений.</w:t>
      </w:r>
    </w:p>
    <w:bookmarkEnd w:id="29"/>
    <w:bookmarkStart w:id="30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данной главе было показано, что:</w:t>
      </w:r>
    </w:p>
    <w:p>
      <w:pPr>
        <w:numPr>
          <w:ilvl w:val="0"/>
          <w:numId w:val="1002"/>
        </w:numPr>
      </w:pPr>
      <w:r>
        <w:t xml:space="preserve">наблюдатель формализуется как подпространство;</w:t>
      </w:r>
    </w:p>
    <w:p>
      <w:pPr>
        <w:numPr>
          <w:ilvl w:val="0"/>
          <w:numId w:val="1002"/>
        </w:numPr>
      </w:pPr>
      <w:r>
        <w:t xml:space="preserve">наблюдение реализуется через проекции;</w:t>
      </w:r>
    </w:p>
    <w:p>
      <w:pPr>
        <w:numPr>
          <w:ilvl w:val="0"/>
          <w:numId w:val="1002"/>
        </w:numPr>
      </w:pPr>
      <w:r>
        <w:t xml:space="preserve">редукция состояния имеет информационную природу;</w:t>
      </w:r>
    </w:p>
    <w:p>
      <w:pPr>
        <w:numPr>
          <w:ilvl w:val="0"/>
          <w:numId w:val="1002"/>
        </w:numPr>
      </w:pPr>
      <w:r>
        <w:t xml:space="preserve">коллапс не требует физического постулата.</w:t>
      </w:r>
    </w:p>
    <w:p>
      <w:pPr>
        <w:pStyle w:val="FirstParagraph"/>
      </w:pPr>
      <w:r>
        <w:t xml:space="preserve">Это создаёт основу</w:t>
      </w:r>
      <w:r>
        <w:t xml:space="preserve"> </w:t>
      </w:r>
      <w:r>
        <w:t xml:space="preserve">для формализации квантовых эффектов,</w:t>
      </w:r>
      <w:r>
        <w:t xml:space="preserve"> </w:t>
      </w:r>
      <w:r>
        <w:t xml:space="preserve">непосредственно связанных</w:t>
      </w:r>
      <w:r>
        <w:t xml:space="preserve"> </w:t>
      </w:r>
      <w:r>
        <w:t xml:space="preserve">с нелокальностью и корреляциями.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