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333a69ea4fa39fd3ae7b83235924623da424b1"/>
    <w:p>
      <w:pPr>
        <w:pStyle w:val="Heading1"/>
      </w:pPr>
      <w:r>
        <w:t xml:space="preserve">Корреляции, нелокальность и структура связей</w:t>
      </w:r>
    </w:p>
    <w:bookmarkStart w:id="20" w:name="проблема-нелокальности"/>
    <w:p>
      <w:pPr>
        <w:pStyle w:val="Heading2"/>
      </w:pPr>
      <w:r>
        <w:t xml:space="preserve">Проблема нелокальности</w:t>
      </w:r>
    </w:p>
    <w:p>
      <w:pPr>
        <w:pStyle w:val="FirstParagraph"/>
      </w:pPr>
      <w:r>
        <w:t xml:space="preserve">Квантовая нелокальность традиционно рассматривается</w:t>
      </w:r>
      <w:r>
        <w:t xml:space="preserve"> </w:t>
      </w:r>
      <w:r>
        <w:t xml:space="preserve">как одно из самых парадоксальных свойств физической реальности.</w:t>
      </w:r>
      <w:r>
        <w:t xml:space="preserve"> </w:t>
      </w:r>
      <w:r>
        <w:t xml:space="preserve">Корреляции между удалёнными системами</w:t>
      </w:r>
      <w:r>
        <w:t xml:space="preserve"> </w:t>
      </w:r>
      <w:r>
        <w:t xml:space="preserve">кажутся нарушающими принципы локальности и причинности.</w:t>
      </w:r>
    </w:p>
    <w:p>
      <w:pPr>
        <w:pStyle w:val="BodyText"/>
      </w:pPr>
      <w:r>
        <w:t xml:space="preserve">В рамках Теории Сознания</w:t>
      </w:r>
      <w:r>
        <w:t xml:space="preserve"> </w:t>
      </w:r>
      <w:r>
        <w:t xml:space="preserve">данный парадокс возникает лишь при предположении,</w:t>
      </w:r>
      <w:r>
        <w:t xml:space="preserve"> </w:t>
      </w:r>
      <w:r>
        <w:t xml:space="preserve">что физическое пространство является фундаментальным.</w:t>
      </w:r>
    </w:p>
    <w:p>
      <w:pPr>
        <w:pStyle w:val="BodyText"/>
      </w:pPr>
      <w:r>
        <w:t xml:space="preserve">Цель данной главы —</w:t>
      </w:r>
      <w:r>
        <w:t xml:space="preserve"> </w:t>
      </w:r>
      <w:r>
        <w:t xml:space="preserve">показать, что нелокальность является</w:t>
      </w:r>
      <w:r>
        <w:t xml:space="preserve"> </w:t>
      </w:r>
      <w:r>
        <w:t xml:space="preserve">естественным следствием структуры пространства состояний,</w:t>
      </w:r>
      <w:r>
        <w:t xml:space="preserve"> </w:t>
      </w:r>
      <w:r>
        <w:t xml:space="preserve">а не физическим «действием на расстоянии».</w:t>
      </w:r>
    </w:p>
    <w:bookmarkEnd w:id="20"/>
    <w:bookmarkStart w:id="21" w:name="Xfc25a4af0d96528cf2d361ed577b277fc100dee"/>
    <w:p>
      <w:pPr>
        <w:pStyle w:val="Heading2"/>
      </w:pPr>
      <w:r>
        <w:t xml:space="preserve">Совместные состояния и тензорное произведение</w:t>
      </w:r>
    </w:p>
    <w:p>
      <w:pPr>
        <w:pStyle w:val="FirstParagraph"/>
      </w:pPr>
      <w:r>
        <w:t xml:space="preserve">Рассмотрим две подсистемы</w:t>
      </w:r>
      <w:r>
        <w:t xml:space="preserve"> </w:t>
      </w:r>
      <w:r>
        <w:t xml:space="preserve">с пространствами состояний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H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H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Совместное пространство состояний задаётся</w:t>
      </w:r>
      <w:r>
        <w:t xml:space="preserve"> </w:t>
      </w:r>
      <w:r>
        <w:t xml:space="preserve">тензорным произведением: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⊗</m:t>
          </m:r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Состояние системы может быть либо факторизуемым: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ψ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</m:e>
          </m:d>
          <m:sSub>
            <m:e>
              <m:r>
                <m:t>ψ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либо нефакторизуемым,</w:t>
      </w:r>
      <w:r>
        <w:t xml:space="preserve"> </w:t>
      </w:r>
      <w:r>
        <w:t xml:space="preserve">что соответствует коррелированным формам знания.</w:t>
      </w:r>
    </w:p>
    <w:bookmarkEnd w:id="21"/>
    <w:bookmarkStart w:id="22" w:name="запутанность-как-структура-знания"/>
    <w:p>
      <w:pPr>
        <w:pStyle w:val="Heading2"/>
      </w:pPr>
      <w:r>
        <w:t xml:space="preserve">Запутанность как структура знания</w:t>
      </w:r>
    </w:p>
    <w:p>
      <w:pPr>
        <w:pStyle w:val="FirstParagraph"/>
      </w:pPr>
      <w:r>
        <w:t xml:space="preserve">Состояние</w:t>
      </w:r>
      <w:r>
        <w:t xml:space="preserve"> </w:t>
      </w:r>
      <m:oMath>
        <m:r>
          <m:rPr>
            <m:sty m:val="p"/>
          </m:rPr>
          <m:t>|</m:t>
        </m:r>
        <m:r>
          <m:t>ψ</m:t>
        </m:r>
        <m:r>
          <m:rPr>
            <m:sty m:val="p"/>
          </m:rPr>
          <m:t>⟩</m:t>
        </m:r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H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называется запутанным,</w:t>
      </w:r>
      <w:r>
        <w:t xml:space="preserve"> </w:t>
      </w:r>
      <w:r>
        <w:t xml:space="preserve">если оно не может быть представлено</w:t>
      </w:r>
      <w:r>
        <w:t xml:space="preserve"> </w:t>
      </w:r>
      <w:r>
        <w:t xml:space="preserve">в виде произведения состояний подсистем.</w:t>
      </w:r>
    </w:p>
    <w:p>
      <w:pPr>
        <w:pStyle w:val="BodyText"/>
      </w:pPr>
      <w:r>
        <w:t xml:space="preserve">Запутанность отражает</w:t>
      </w:r>
      <w:r>
        <w:t xml:space="preserve"> </w:t>
      </w:r>
      <w:r>
        <w:t xml:space="preserve">не физическую связь между объектами,</w:t>
      </w:r>
      <w:r>
        <w:t xml:space="preserve"> </w:t>
      </w:r>
      <w:r>
        <w:t xml:space="preserve">а целостную структуру знания,</w:t>
      </w:r>
      <w:r>
        <w:t xml:space="preserve"> </w:t>
      </w:r>
      <w:r>
        <w:t xml:space="preserve">которая не разлагается</w:t>
      </w:r>
      <w:r>
        <w:t xml:space="preserve"> </w:t>
      </w:r>
      <w:r>
        <w:t xml:space="preserve">на независимые компоненты.</w:t>
      </w:r>
    </w:p>
    <w:bookmarkEnd w:id="22"/>
    <w:bookmarkStart w:id="23" w:name="корреляции-наблюдений"/>
    <w:p>
      <w:pPr>
        <w:pStyle w:val="Heading2"/>
      </w:pPr>
      <w:r>
        <w:t xml:space="preserve">Корреляции наблюдений</w:t>
      </w:r>
    </w:p>
    <w:p>
      <w:pPr>
        <w:pStyle w:val="FirstParagraph"/>
      </w:pPr>
      <w:r>
        <w:t xml:space="preserve">Пусть наблюдатели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осуществляют проекционные измерения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  <m:sup>
            <m:r>
              <m:t>B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Совместная вероятность результатов равна: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ψ</m:t>
          </m:r>
          <m:d>
            <m:dPr>
              <m:begChr m:val="|"/>
              <m:endChr m:val="|"/>
              <m:sepChr m:val=""/>
              <m:grow/>
            </m:dP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⊗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j</m:t>
                  </m:r>
                </m:sub>
                <m:sup>
                  <m:r>
                    <m:t>B</m:t>
                  </m:r>
                </m:sup>
              </m:sSubSup>
            </m:e>
          </m:d>
          <m: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Корреляции возникают</w:t>
      </w:r>
      <w:r>
        <w:t xml:space="preserve"> </w:t>
      </w:r>
      <w:r>
        <w:t xml:space="preserve">как следствие структуры совместного состояния,</w:t>
      </w:r>
      <w:r>
        <w:t xml:space="preserve"> </w:t>
      </w:r>
      <w:r>
        <w:t xml:space="preserve">а не в результате передачи сигналов.</w:t>
      </w:r>
    </w:p>
    <w:bookmarkEnd w:id="23"/>
    <w:bookmarkStart w:id="24" w:name="нелокальность-без-передачи-информации"/>
    <w:p>
      <w:pPr>
        <w:pStyle w:val="Heading2"/>
      </w:pPr>
      <w:r>
        <w:t xml:space="preserve">Нелокальность без передачи информации</w:t>
      </w:r>
    </w:p>
    <w:p>
      <w:pPr>
        <w:pStyle w:val="FirstParagraph"/>
      </w:pPr>
      <w:r>
        <w:t xml:space="preserve">Важно подчеркнуть:</w:t>
      </w:r>
      <w:r>
        <w:t xml:space="preserve"> </w:t>
      </w:r>
      <w:r>
        <w:t xml:space="preserve">изменение локализации знания у наблюдателя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не передаёт управляемую информацию наблюдателю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Редукция состояния является</w:t>
      </w:r>
      <w:r>
        <w:t xml:space="preserve"> </w:t>
      </w:r>
      <w:r>
        <w:t xml:space="preserve">обновлением описания формы знания,</w:t>
      </w:r>
      <w:r>
        <w:t xml:space="preserve"> </w:t>
      </w:r>
      <w:r>
        <w:t xml:space="preserve">а не физическим воздействием.</w:t>
      </w:r>
    </w:p>
    <w:p>
      <w:pPr>
        <w:pStyle w:val="BodyText"/>
      </w:pPr>
      <w:r>
        <w:t xml:space="preserve">Это устраняет противоречие</w:t>
      </w:r>
      <w:r>
        <w:t xml:space="preserve"> </w:t>
      </w:r>
      <w:r>
        <w:t xml:space="preserve">между нелокальностью и причинностью.</w:t>
      </w:r>
    </w:p>
    <w:bookmarkEnd w:id="24"/>
    <w:bookmarkStart w:id="25" w:name="геометрическая-интерпретация-корреляций"/>
    <w:p>
      <w:pPr>
        <w:pStyle w:val="Heading2"/>
      </w:pPr>
      <w:r>
        <w:t xml:space="preserve">Геометрическая интерпретация корреляций</w:t>
      </w:r>
    </w:p>
    <w:p>
      <w:pPr>
        <w:pStyle w:val="FirstParagraph"/>
      </w:pPr>
      <w:r>
        <w:t xml:space="preserve">В пространстве состояний</w:t>
      </w:r>
      <w:r>
        <w:t xml:space="preserve"> </w:t>
      </w:r>
      <w:r>
        <w:t xml:space="preserve">запутанные состояния располагаются</w:t>
      </w:r>
      <w:r>
        <w:t xml:space="preserve"> </w:t>
      </w:r>
      <w:r>
        <w:t xml:space="preserve">близко друг к другу</w:t>
      </w:r>
      <w:r>
        <w:t xml:space="preserve"> </w:t>
      </w:r>
      <w:r>
        <w:t xml:space="preserve">в смысле информационных метрик,</w:t>
      </w:r>
      <w:r>
        <w:t xml:space="preserve"> </w:t>
      </w:r>
      <w:r>
        <w:t xml:space="preserve">даже если соответствующие</w:t>
      </w:r>
      <w:r>
        <w:t xml:space="preserve"> </w:t>
      </w:r>
      <w:r>
        <w:t xml:space="preserve">физические проекции удалены.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t xml:space="preserve">нелокальность есть проявление</w:t>
      </w:r>
      <w:r>
        <w:t xml:space="preserve"> </w:t>
      </w:r>
      <w:r>
        <w:t xml:space="preserve">близости в пространстве различий,</w:t>
      </w:r>
      <w:r>
        <w:t xml:space="preserve"> </w:t>
      </w:r>
      <w:r>
        <w:t xml:space="preserve">а не в физическом пространстве.</w:t>
      </w:r>
    </w:p>
    <w:bookmarkEnd w:id="25"/>
    <w:bookmarkStart w:id="26" w:name="энтропия-и-корреляции"/>
    <w:p>
      <w:pPr>
        <w:pStyle w:val="Heading2"/>
      </w:pPr>
      <w:r>
        <w:t xml:space="preserve">Энтропия и корреляции</w:t>
      </w:r>
    </w:p>
    <w:p>
      <w:pPr>
        <w:pStyle w:val="FirstParagraph"/>
      </w:pPr>
      <w:r>
        <w:t xml:space="preserve">Для подсистемы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вводится редуцированная матрица плотности: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Энтропия фон Неймана: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A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ρ</m:t>
                  </m:r>
                </m:e>
                <m:sub>
                  <m:r>
                    <m:t>A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характеризует степень запутанности</w:t>
      </w:r>
      <w:r>
        <w:t xml:space="preserve"> </w:t>
      </w:r>
      <w:r>
        <w:t xml:space="preserve">и утрату локального знания.</w:t>
      </w:r>
    </w:p>
    <w:p>
      <w:pPr>
        <w:pStyle w:val="BodyText"/>
      </w:pPr>
      <w:r>
        <w:t xml:space="preserve">Рост энтропии подсистемы</w:t>
      </w:r>
      <w:r>
        <w:t xml:space="preserve"> </w:t>
      </w:r>
      <w:r>
        <w:t xml:space="preserve">не означает рост глобальной неопределённости,</w:t>
      </w:r>
      <w:r>
        <w:t xml:space="preserve"> </w:t>
      </w:r>
      <w:r>
        <w:t xml:space="preserve">а отражает перераспределение различий.</w:t>
      </w:r>
    </w:p>
    <w:bookmarkEnd w:id="26"/>
    <w:bookmarkStart w:id="27" w:name="причинность-и-корреляции"/>
    <w:p>
      <w:pPr>
        <w:pStyle w:val="Heading2"/>
      </w:pPr>
      <w:r>
        <w:t xml:space="preserve">Причинность и корреляции</w:t>
      </w:r>
    </w:p>
    <w:p>
      <w:pPr>
        <w:pStyle w:val="FirstParagraph"/>
      </w:pPr>
      <w:r>
        <w:t xml:space="preserve">Корреляции могут быть сильными,</w:t>
      </w:r>
      <w:r>
        <w:t xml:space="preserve"> </w:t>
      </w:r>
      <w:r>
        <w:t xml:space="preserve">но они не нарушают причинность,</w:t>
      </w:r>
      <w:r>
        <w:t xml:space="preserve"> </w:t>
      </w:r>
      <w:r>
        <w:t xml:space="preserve">поскольку не допускают</w:t>
      </w:r>
      <w:r>
        <w:t xml:space="preserve"> </w:t>
      </w:r>
      <w:r>
        <w:t xml:space="preserve">контролируемой передачи информации.</w:t>
      </w:r>
    </w:p>
    <w:p>
      <w:pPr>
        <w:pStyle w:val="BodyText"/>
      </w:pPr>
      <w:r>
        <w:t xml:space="preserve">Причинность сохраняется</w:t>
      </w:r>
      <w:r>
        <w:t xml:space="preserve"> </w:t>
      </w:r>
      <w:r>
        <w:t xml:space="preserve">на уровне динамики и наблюдения,</w:t>
      </w:r>
      <w:r>
        <w:t xml:space="preserve"> </w:t>
      </w:r>
      <w:r>
        <w:t xml:space="preserve">в то время как корреляции</w:t>
      </w:r>
      <w:r>
        <w:t xml:space="preserve"> </w:t>
      </w:r>
      <w:r>
        <w:t xml:space="preserve">относятся к структуре знания.</w:t>
      </w:r>
    </w:p>
    <w:bookmarkEnd w:id="27"/>
    <w:bookmarkStart w:id="28" w:name="связь-с-онтологией-тома-i"/>
    <w:p>
      <w:pPr>
        <w:pStyle w:val="Heading2"/>
      </w:pPr>
      <w:r>
        <w:t xml:space="preserve">Связь с онтологией Тома I</w:t>
      </w:r>
    </w:p>
    <w:p>
      <w:pPr>
        <w:pStyle w:val="FirstParagraph"/>
      </w:pPr>
      <w:r>
        <w:t xml:space="preserve">Результаты данной главы</w:t>
      </w:r>
      <w:r>
        <w:t xml:space="preserve"> </w:t>
      </w:r>
      <w:r>
        <w:t xml:space="preserve">непосредственно следуют</w:t>
      </w:r>
      <w:r>
        <w:t xml:space="preserve"> </w:t>
      </w:r>
      <w:r>
        <w:t xml:space="preserve">из онтологических принципов:</w:t>
      </w:r>
    </w:p>
    <w:p>
      <w:pPr>
        <w:numPr>
          <w:ilvl w:val="0"/>
          <w:numId w:val="1001"/>
        </w:numPr>
      </w:pPr>
      <w:r>
        <w:t xml:space="preserve">пространство — структура различий;</w:t>
      </w:r>
    </w:p>
    <w:p>
      <w:pPr>
        <w:numPr>
          <w:ilvl w:val="0"/>
          <w:numId w:val="1001"/>
        </w:numPr>
      </w:pPr>
      <w:r>
        <w:t xml:space="preserve">наблюдатель — локализация знания;</w:t>
      </w:r>
    </w:p>
    <w:p>
      <w:pPr>
        <w:numPr>
          <w:ilvl w:val="0"/>
          <w:numId w:val="1001"/>
        </w:numPr>
      </w:pPr>
      <w:r>
        <w:t xml:space="preserve">нелокальность — близость форм знания.</w:t>
      </w:r>
    </w:p>
    <w:p>
      <w:pPr>
        <w:pStyle w:val="FirstParagraph"/>
      </w:pPr>
      <w:r>
        <w:t xml:space="preserve">Физическое расстояние</w:t>
      </w:r>
      <w:r>
        <w:t xml:space="preserve"> </w:t>
      </w:r>
      <w:r>
        <w:t xml:space="preserve">не является фундаментальной мерой связи.</w:t>
      </w:r>
    </w:p>
    <w:bookmarkEnd w:id="28"/>
    <w:bookmarkStart w:id="29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данной главе было показано, что:</w:t>
      </w:r>
    </w:p>
    <w:p>
      <w:pPr>
        <w:numPr>
          <w:ilvl w:val="0"/>
          <w:numId w:val="1002"/>
        </w:numPr>
      </w:pPr>
      <w:r>
        <w:t xml:space="preserve">корреляции возникают из целостных состояний;</w:t>
      </w:r>
    </w:p>
    <w:p>
      <w:pPr>
        <w:numPr>
          <w:ilvl w:val="0"/>
          <w:numId w:val="1002"/>
        </w:numPr>
      </w:pPr>
      <w:r>
        <w:t xml:space="preserve">запутанность имеет информационную природу;</w:t>
      </w:r>
    </w:p>
    <w:p>
      <w:pPr>
        <w:numPr>
          <w:ilvl w:val="0"/>
          <w:numId w:val="1002"/>
        </w:numPr>
      </w:pPr>
      <w:r>
        <w:t xml:space="preserve">нелокальность не нарушает причинность;</w:t>
      </w:r>
    </w:p>
    <w:p>
      <w:pPr>
        <w:numPr>
          <w:ilvl w:val="0"/>
          <w:numId w:val="1002"/>
        </w:numPr>
      </w:pPr>
      <w:r>
        <w:t xml:space="preserve">структура связей определяется геометрией пространства состояний.</w:t>
      </w:r>
    </w:p>
    <w:p>
      <w:pPr>
        <w:pStyle w:val="FirstParagraph"/>
      </w:pPr>
      <w:r>
        <w:t xml:space="preserve">Это завершает формализацию квантовых корреляций</w:t>
      </w:r>
      <w:r>
        <w:t xml:space="preserve"> </w:t>
      </w:r>
      <w:r>
        <w:t xml:space="preserve">и подготавливает переход</w:t>
      </w:r>
      <w:r>
        <w:t xml:space="preserve"> </w:t>
      </w:r>
      <w:r>
        <w:t xml:space="preserve">к рассмотрению классического предела</w:t>
      </w:r>
      <w:r>
        <w:t xml:space="preserve"> </w:t>
      </w:r>
      <w:r>
        <w:t xml:space="preserve">и возникновения макроскопической реальности.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