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dd79fa188d0d3744eb65616246acc6b433b5b0"/>
    <w:p>
      <w:pPr>
        <w:pStyle w:val="Heading1"/>
      </w:pPr>
      <w:r>
        <w:t xml:space="preserve">Классический предел и возникновение макроскопической реальности</w:t>
      </w:r>
    </w:p>
    <w:bookmarkStart w:id="20" w:name="проблема-классического-предела"/>
    <w:p>
      <w:pPr>
        <w:pStyle w:val="Heading2"/>
      </w:pPr>
      <w:r>
        <w:t xml:space="preserve">Проблема классического предела</w:t>
      </w:r>
    </w:p>
    <w:p>
      <w:pPr>
        <w:pStyle w:val="FirstParagraph"/>
      </w:pPr>
      <w:r>
        <w:t xml:space="preserve">Одной из центральных задач любой фундаментальной теории</w:t>
      </w:r>
      <w:r>
        <w:t xml:space="preserve"> </w:t>
      </w:r>
      <w:r>
        <w:t xml:space="preserve">является объяснение того,</w:t>
      </w:r>
      <w:r>
        <w:t xml:space="preserve"> </w:t>
      </w:r>
      <w:r>
        <w:t xml:space="preserve">как из квантовых состояний</w:t>
      </w:r>
      <w:r>
        <w:t xml:space="preserve"> </w:t>
      </w:r>
      <w:r>
        <w:t xml:space="preserve">возникает устойчивый классический мир,</w:t>
      </w:r>
      <w:r>
        <w:t xml:space="preserve"> </w:t>
      </w:r>
      <w:r>
        <w:t xml:space="preserve">в котором наблюдаются определённые объекты,</w:t>
      </w:r>
      <w:r>
        <w:t xml:space="preserve"> </w:t>
      </w:r>
      <w:r>
        <w:t xml:space="preserve">траектории и причинные связи.</w:t>
      </w:r>
    </w:p>
    <w:p>
      <w:pPr>
        <w:pStyle w:val="BodyText"/>
      </w:pPr>
      <w:r>
        <w:t xml:space="preserve">В стандартной физике</w:t>
      </w:r>
      <w:r>
        <w:t xml:space="preserve"> </w:t>
      </w:r>
      <w:r>
        <w:t xml:space="preserve">данная проблема формулируется</w:t>
      </w:r>
      <w:r>
        <w:t xml:space="preserve"> </w:t>
      </w:r>
      <w:r>
        <w:t xml:space="preserve">как проблема классического предела</w:t>
      </w:r>
      <w:r>
        <w:t xml:space="preserve"> </w:t>
      </w:r>
      <w:r>
        <w:t xml:space="preserve">и объясняется через механизм декогеренции.</w:t>
      </w:r>
    </w:p>
    <w:p>
      <w:pPr>
        <w:pStyle w:val="BodyText"/>
      </w:pPr>
      <w:r>
        <w:t xml:space="preserve">В рамках Теории Сознания</w:t>
      </w:r>
      <w:r>
        <w:t xml:space="preserve"> </w:t>
      </w:r>
      <w:r>
        <w:t xml:space="preserve">классический предел интерпретируется</w:t>
      </w:r>
      <w:r>
        <w:t xml:space="preserve"> </w:t>
      </w:r>
      <w:r>
        <w:t xml:space="preserve">как особый режим организации знания.</w:t>
      </w:r>
    </w:p>
    <w:bookmarkEnd w:id="20"/>
    <w:bookmarkStart w:id="21" w:name="Xc85038689cd85c88d300bb6084e3490c067ada5"/>
    <w:p>
      <w:pPr>
        <w:pStyle w:val="Heading2"/>
      </w:pPr>
      <w:r>
        <w:t xml:space="preserve">Макроскопические состояния как устойчивые формы</w:t>
      </w:r>
    </w:p>
    <w:p>
      <w:pPr>
        <w:pStyle w:val="FirstParagraph"/>
      </w:pPr>
      <w:r>
        <w:t xml:space="preserve">Рассмотрим пространство состояний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.</w:t>
      </w:r>
      <w:r>
        <w:t xml:space="preserve"> </w:t>
      </w:r>
      <w:r>
        <w:t xml:space="preserve">Макроскопические состояния соответствуют</w:t>
      </w:r>
      <w:r>
        <w:t xml:space="preserve"> </w:t>
      </w:r>
      <w:r>
        <w:t xml:space="preserve">не отдельным векторам,</w:t>
      </w:r>
      <w:r>
        <w:t xml:space="preserve"> </w:t>
      </w:r>
      <w:r>
        <w:t xml:space="preserve">а устойчивым областям пространства состояний,</w:t>
      </w:r>
      <w:r>
        <w:t xml:space="preserve"> </w:t>
      </w:r>
      <w:r>
        <w:t xml:space="preserve">инвариантным относительно динамики и шумов.</w:t>
      </w:r>
    </w:p>
    <w:p>
      <w:pPr>
        <w:pStyle w:val="BodyText"/>
      </w:pPr>
      <w:r>
        <w:t xml:space="preserve">Такие области характеризуются:</w:t>
      </w:r>
    </w:p>
    <w:p>
      <w:pPr>
        <w:numPr>
          <w:ilvl w:val="0"/>
          <w:numId w:val="1001"/>
        </w:numPr>
      </w:pPr>
      <w:r>
        <w:t xml:space="preserve">высокой устойчивостью к флуктуациям;</w:t>
      </w:r>
    </w:p>
    <w:p>
      <w:pPr>
        <w:numPr>
          <w:ilvl w:val="0"/>
          <w:numId w:val="1001"/>
        </w:numPr>
      </w:pPr>
      <w:r>
        <w:t xml:space="preserve">низкой чувствительностью к деталям микросостояний;</w:t>
      </w:r>
    </w:p>
    <w:p>
      <w:pPr>
        <w:numPr>
          <w:ilvl w:val="0"/>
          <w:numId w:val="1001"/>
        </w:numPr>
      </w:pPr>
      <w:r>
        <w:t xml:space="preserve">воспроизводимостью при наблюдении.</w:t>
      </w:r>
    </w:p>
    <w:p>
      <w:pPr>
        <w:pStyle w:val="FirstParagraph"/>
      </w:pPr>
      <w:r>
        <w:t xml:space="preserve">Макроскопическая реальность</w:t>
      </w:r>
      <w:r>
        <w:t xml:space="preserve"> </w:t>
      </w:r>
      <w:r>
        <w:t xml:space="preserve">возникает как устойчивое знание,</w:t>
      </w:r>
      <w:r>
        <w:t xml:space="preserve"> </w:t>
      </w:r>
      <w:r>
        <w:t xml:space="preserve">а не как фундаментальная онтологическая сущность.</w:t>
      </w:r>
    </w:p>
    <w:bookmarkEnd w:id="21"/>
    <w:bookmarkStart w:id="22" w:name="Xbd77acfd6ac418bb0d0b8820045259d069f903d"/>
    <w:p>
      <w:pPr>
        <w:pStyle w:val="Heading2"/>
      </w:pPr>
      <w:r>
        <w:t xml:space="preserve">Декогеренция как утрата фазовой информации</w:t>
      </w:r>
    </w:p>
    <w:p>
      <w:pPr>
        <w:pStyle w:val="FirstParagraph"/>
      </w:pPr>
      <w:r>
        <w:t xml:space="preserve">Декогеренция описывается</w:t>
      </w:r>
      <w:r>
        <w:t xml:space="preserve"> </w:t>
      </w:r>
      <w:r>
        <w:t xml:space="preserve">как процесс взаимодействия подсистемы</w:t>
      </w:r>
      <w:r>
        <w:t xml:space="preserve"> </w:t>
      </w:r>
      <w:r>
        <w:t xml:space="preserve">с окружающей средой.</w:t>
      </w:r>
    </w:p>
    <w:p>
      <w:pPr>
        <w:pStyle w:val="BodyText"/>
      </w:pPr>
      <w:r>
        <w:t xml:space="preserve">Пусть система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взаимодействует со средой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Совместное состояние: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0"/>
                  <m:supHide m:val="1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⊗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трассировки по среде</w:t>
      </w:r>
      <w:r>
        <w:t xml:space="preserve"> </w:t>
      </w:r>
      <w:r>
        <w:t xml:space="preserve">редуцированная матрица плотности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результате</w:t>
      </w:r>
      <w:r>
        <w:t xml:space="preserve"> </w:t>
      </w:r>
      <w:r>
        <w:t xml:space="preserve">внедиагональные элементы матрицы плотности</w:t>
      </w:r>
      <w:r>
        <w:t xml:space="preserve"> </w:t>
      </w:r>
      <w:r>
        <w:t xml:space="preserve">стремятся к нулю,</w:t>
      </w:r>
      <w:r>
        <w:t xml:space="preserve"> </w:t>
      </w:r>
      <w:r>
        <w:t xml:space="preserve">что приводит к утрате интерференционных эффектов.</w:t>
      </w:r>
    </w:p>
    <w:p>
      <w:pPr>
        <w:pStyle w:val="BodyText"/>
      </w:pPr>
      <w:r>
        <w:t xml:space="preserve">В Теории Сознания</w:t>
      </w:r>
      <w:r>
        <w:t xml:space="preserve"> </w:t>
      </w:r>
      <w:r>
        <w:t xml:space="preserve">декогеренция интерпретируется</w:t>
      </w:r>
      <w:r>
        <w:t xml:space="preserve"> </w:t>
      </w:r>
      <w:r>
        <w:t xml:space="preserve">как утрата различий фазовых структур знания.</w:t>
      </w:r>
    </w:p>
    <w:bookmarkEnd w:id="22"/>
    <w:bookmarkStart w:id="23" w:name="выбор-базиса-и-классические-наблюдаемые"/>
    <w:p>
      <w:pPr>
        <w:pStyle w:val="Heading2"/>
      </w:pPr>
      <w:r>
        <w:t xml:space="preserve">Выбор базиса и классические наблюдаемые</w:t>
      </w:r>
    </w:p>
    <w:p>
      <w:pPr>
        <w:pStyle w:val="FirstParagraph"/>
      </w:pPr>
      <w:r>
        <w:t xml:space="preserve">Классический мир соответствует</w:t>
      </w:r>
      <w:r>
        <w:t xml:space="preserve"> </w:t>
      </w:r>
      <w:r>
        <w:t xml:space="preserve">привилегированному базису,</w:t>
      </w:r>
      <w:r>
        <w:t xml:space="preserve"> </w:t>
      </w:r>
      <w:r>
        <w:t xml:space="preserve">в котором состояния устойчивы</w:t>
      </w:r>
      <w:r>
        <w:t xml:space="preserve"> </w:t>
      </w:r>
      <w:r>
        <w:t xml:space="preserve">к взаимодействию со средой.</w:t>
      </w:r>
    </w:p>
    <w:p>
      <w:pPr>
        <w:pStyle w:val="BodyText"/>
      </w:pPr>
      <w:r>
        <w:t xml:space="preserve">Этот базис не является фундаментальным,</w:t>
      </w:r>
      <w:r>
        <w:t xml:space="preserve"> </w:t>
      </w:r>
      <w:r>
        <w:t xml:space="preserve">а формируется динамически</w:t>
      </w:r>
      <w:r>
        <w:t xml:space="preserve"> </w:t>
      </w:r>
      <w:r>
        <w:t xml:space="preserve">в результате максимальной устойчивости различий.</w:t>
      </w:r>
    </w:p>
    <w:p>
      <w:pPr>
        <w:pStyle w:val="BodyText"/>
      </w:pPr>
      <w:r>
        <w:t xml:space="preserve">Наблюдаемые классические величины</w:t>
      </w:r>
      <w:r>
        <w:t xml:space="preserve"> </w:t>
      </w:r>
      <w:r>
        <w:t xml:space="preserve">являются проекциями</w:t>
      </w:r>
      <w:r>
        <w:t xml:space="preserve"> </w:t>
      </w:r>
      <w:r>
        <w:t xml:space="preserve">на устойчивые формы знания.</w:t>
      </w:r>
    </w:p>
    <w:bookmarkEnd w:id="23"/>
    <w:bookmarkStart w:id="24" w:name="энтропия-и-необратимость"/>
    <w:p>
      <w:pPr>
        <w:pStyle w:val="Heading2"/>
      </w:pPr>
      <w:r>
        <w:t xml:space="preserve">Энтропия и необратимость</w:t>
      </w:r>
    </w:p>
    <w:p>
      <w:pPr>
        <w:pStyle w:val="FirstParagraph"/>
      </w:pPr>
      <w:r>
        <w:t xml:space="preserve">Процесс декогеренции сопровождается</w:t>
      </w:r>
      <w:r>
        <w:t xml:space="preserve"> </w:t>
      </w:r>
      <w:r>
        <w:t xml:space="preserve">ростом энтропии редуцированных подсистем.</w:t>
      </w:r>
    </w:p>
    <w:p>
      <w:pPr>
        <w:pStyle w:val="BodyText"/>
      </w:pPr>
      <w:r>
        <w:t xml:space="preserve">Энтропия отражает:</w:t>
      </w:r>
    </w:p>
    <w:p>
      <w:pPr>
        <w:numPr>
          <w:ilvl w:val="0"/>
          <w:numId w:val="1002"/>
        </w:numPr>
      </w:pPr>
      <w:r>
        <w:t xml:space="preserve">утрату информации о фазах;</w:t>
      </w:r>
    </w:p>
    <w:p>
      <w:pPr>
        <w:numPr>
          <w:ilvl w:val="0"/>
          <w:numId w:val="1002"/>
        </w:numPr>
      </w:pPr>
      <w:r>
        <w:t xml:space="preserve">рост неопределённости локального знания;</w:t>
      </w:r>
    </w:p>
    <w:p>
      <w:pPr>
        <w:numPr>
          <w:ilvl w:val="0"/>
          <w:numId w:val="1002"/>
        </w:numPr>
      </w:pPr>
      <w:r>
        <w:t xml:space="preserve">необратимость процесса наблюдения.</w:t>
      </w:r>
    </w:p>
    <w:p>
      <w:pPr>
        <w:pStyle w:val="FirstParagraph"/>
      </w:pPr>
      <w:r>
        <w:t xml:space="preserve">Глобально</w:t>
      </w:r>
      <w:r>
        <w:t xml:space="preserve"> </w:t>
      </w:r>
      <w:r>
        <w:t xml:space="preserve">динамика пространства состояний</w:t>
      </w:r>
      <w:r>
        <w:t xml:space="preserve"> </w:t>
      </w:r>
      <w:r>
        <w:t xml:space="preserve">остаётся унитарной,</w:t>
      </w:r>
      <w:r>
        <w:t xml:space="preserve"> </w:t>
      </w:r>
      <w:r>
        <w:t xml:space="preserve">но локально наблюдается необратимость,</w:t>
      </w:r>
      <w:r>
        <w:t xml:space="preserve"> </w:t>
      </w:r>
      <w:r>
        <w:t xml:space="preserve">что соответствует возникновению стрелы времени.</w:t>
      </w:r>
    </w:p>
    <w:bookmarkEnd w:id="24"/>
    <w:bookmarkStart w:id="25" w:name="формирование-классической-причинности"/>
    <w:p>
      <w:pPr>
        <w:pStyle w:val="Heading2"/>
      </w:pPr>
      <w:r>
        <w:t xml:space="preserve">Формирование классической причинности</w:t>
      </w:r>
    </w:p>
    <w:p>
      <w:pPr>
        <w:pStyle w:val="FirstParagraph"/>
      </w:pPr>
      <w:r>
        <w:t xml:space="preserve">В классическом пределе</w:t>
      </w:r>
      <w:r>
        <w:t xml:space="preserve"> </w:t>
      </w:r>
      <w:r>
        <w:t xml:space="preserve">динамика устойчивых состояний</w:t>
      </w:r>
      <w:r>
        <w:t xml:space="preserve"> </w:t>
      </w:r>
      <w:r>
        <w:t xml:space="preserve">подчиняется детерминированным или</w:t>
      </w:r>
      <w:r>
        <w:t xml:space="preserve"> </w:t>
      </w:r>
      <w:r>
        <w:t xml:space="preserve">квазидетерминированным уравнениям.</w:t>
      </w:r>
    </w:p>
    <w:p>
      <w:pPr>
        <w:pStyle w:val="BodyText"/>
      </w:pPr>
      <w:r>
        <w:t xml:space="preserve">Причинность возникает</w:t>
      </w:r>
      <w:r>
        <w:t xml:space="preserve"> </w:t>
      </w:r>
      <w:r>
        <w:t xml:space="preserve">как статистическая устойчивость</w:t>
      </w:r>
      <w:r>
        <w:t xml:space="preserve"> </w:t>
      </w:r>
      <w:r>
        <w:t xml:space="preserve">последовательностей состояний,</w:t>
      </w:r>
      <w:r>
        <w:t xml:space="preserve"> </w:t>
      </w:r>
      <w:r>
        <w:t xml:space="preserve">а не как фундаментальный закон.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t xml:space="preserve">классическая причинность</w:t>
      </w:r>
      <w:r>
        <w:t xml:space="preserve"> </w:t>
      </w:r>
      <w:r>
        <w:t xml:space="preserve">является следствием</w:t>
      </w:r>
      <w:r>
        <w:t xml:space="preserve"> </w:t>
      </w:r>
      <w:r>
        <w:t xml:space="preserve">устойчивой организации знания.</w:t>
      </w:r>
    </w:p>
    <w:bookmarkEnd w:id="25"/>
    <w:bookmarkStart w:id="26" w:name="макроскопические-объекты-и-материя"/>
    <w:p>
      <w:pPr>
        <w:pStyle w:val="Heading2"/>
      </w:pPr>
      <w:r>
        <w:t xml:space="preserve">Макроскопические объекты и материя</w:t>
      </w:r>
    </w:p>
    <w:p>
      <w:pPr>
        <w:pStyle w:val="FirstParagraph"/>
      </w:pPr>
      <w:r>
        <w:t xml:space="preserve">Макроскопические объекты</w:t>
      </w:r>
      <w:r>
        <w:t xml:space="preserve"> </w:t>
      </w:r>
      <w:r>
        <w:t xml:space="preserve">соответствуют кластерам состояний,</w:t>
      </w:r>
      <w:r>
        <w:t xml:space="preserve"> </w:t>
      </w:r>
      <w:r>
        <w:t xml:space="preserve">обладающим:</w:t>
      </w:r>
    </w:p>
    <w:p>
      <w:pPr>
        <w:numPr>
          <w:ilvl w:val="0"/>
          <w:numId w:val="1003"/>
        </w:numPr>
      </w:pPr>
      <w:r>
        <w:t xml:space="preserve">устойчивой внутренней корреляционной структурой;</w:t>
      </w:r>
    </w:p>
    <w:p>
      <w:pPr>
        <w:numPr>
          <w:ilvl w:val="0"/>
          <w:numId w:val="1003"/>
        </w:numPr>
      </w:pPr>
      <w:r>
        <w:t xml:space="preserve">слабой чувствительностью к внешним возмущениям;</w:t>
      </w:r>
    </w:p>
    <w:p>
      <w:pPr>
        <w:numPr>
          <w:ilvl w:val="0"/>
          <w:numId w:val="1003"/>
        </w:numPr>
      </w:pPr>
      <w:r>
        <w:t xml:space="preserve">воспроизводимостью наблюдаемых свойств.</w:t>
      </w:r>
    </w:p>
    <w:p>
      <w:pPr>
        <w:pStyle w:val="FirstParagraph"/>
      </w:pPr>
      <w:r>
        <w:t xml:space="preserve">Материя в классическом смысле</w:t>
      </w:r>
      <w:r>
        <w:t xml:space="preserve"> </w:t>
      </w:r>
      <w:r>
        <w:t xml:space="preserve">является проявлением</w:t>
      </w:r>
      <w:r>
        <w:t xml:space="preserve"> </w:t>
      </w:r>
      <w:r>
        <w:t xml:space="preserve">устойчивых конфигураций знания,</w:t>
      </w:r>
      <w:r>
        <w:t xml:space="preserve"> </w:t>
      </w:r>
      <w:r>
        <w:t xml:space="preserve">поддерживаемых динамикой и взаимодействием.</w:t>
      </w:r>
    </w:p>
    <w:bookmarkEnd w:id="26"/>
    <w:bookmarkStart w:id="27" w:name="предел-классичности"/>
    <w:p>
      <w:pPr>
        <w:pStyle w:val="Heading2"/>
      </w:pPr>
      <w:r>
        <w:t xml:space="preserve">Предел классичности</w:t>
      </w:r>
    </w:p>
    <w:p>
      <w:pPr>
        <w:pStyle w:val="FirstParagraph"/>
      </w:pPr>
      <w:r>
        <w:t xml:space="preserve">Классический мир является приближением,</w:t>
      </w:r>
      <w:r>
        <w:t xml:space="preserve"> </w:t>
      </w:r>
      <w:r>
        <w:t xml:space="preserve">справедливым при:</w:t>
      </w:r>
    </w:p>
    <w:p>
      <w:pPr>
        <w:numPr>
          <w:ilvl w:val="0"/>
          <w:numId w:val="1004"/>
        </w:numPr>
      </w:pPr>
      <w:r>
        <w:t xml:space="preserve">большом числе степеней свободы;</w:t>
      </w:r>
    </w:p>
    <w:p>
      <w:pPr>
        <w:numPr>
          <w:ilvl w:val="0"/>
          <w:numId w:val="1004"/>
        </w:numPr>
      </w:pPr>
      <w:r>
        <w:t xml:space="preserve">сильной декогеренции;</w:t>
      </w:r>
    </w:p>
    <w:p>
      <w:pPr>
        <w:numPr>
          <w:ilvl w:val="0"/>
          <w:numId w:val="1004"/>
        </w:numPr>
      </w:pPr>
      <w:r>
        <w:t xml:space="preserve">ограниченной точности наблюдения.</w:t>
      </w:r>
    </w:p>
    <w:p>
      <w:pPr>
        <w:pStyle w:val="FirstParagraph"/>
      </w:pPr>
      <w:r>
        <w:t xml:space="preserve">При ослаблении этих условий</w:t>
      </w:r>
      <w:r>
        <w:t xml:space="preserve"> </w:t>
      </w:r>
      <w:r>
        <w:t xml:space="preserve">проявляются квантовые эффекты,</w:t>
      </w:r>
      <w:r>
        <w:t xml:space="preserve"> </w:t>
      </w:r>
      <w:r>
        <w:t xml:space="preserve">что подтверждает нефундаментальность</w:t>
      </w:r>
      <w:r>
        <w:t xml:space="preserve"> </w:t>
      </w:r>
      <w:r>
        <w:t xml:space="preserve">классического описания.</w:t>
      </w:r>
    </w:p>
    <w:bookmarkEnd w:id="27"/>
    <w:bookmarkStart w:id="28" w:name="связь-с-онтологией-теории-сознания"/>
    <w:p>
      <w:pPr>
        <w:pStyle w:val="Heading2"/>
      </w:pPr>
      <w:r>
        <w:t xml:space="preserve">Связь с онтологией Теории Сознания</w:t>
      </w:r>
    </w:p>
    <w:p>
      <w:pPr>
        <w:pStyle w:val="FirstParagraph"/>
      </w:pPr>
      <w:r>
        <w:t xml:space="preserve">Результаты данной главы</w:t>
      </w:r>
      <w:r>
        <w:t xml:space="preserve"> </w:t>
      </w:r>
      <w:r>
        <w:t xml:space="preserve">напрямую следуют</w:t>
      </w:r>
      <w:r>
        <w:t xml:space="preserve"> </w:t>
      </w:r>
      <w:r>
        <w:t xml:space="preserve">из онтологических принципов:</w:t>
      </w:r>
    </w:p>
    <w:p>
      <w:pPr>
        <w:numPr>
          <w:ilvl w:val="0"/>
          <w:numId w:val="1005"/>
        </w:numPr>
      </w:pPr>
      <w:r>
        <w:t xml:space="preserve">знание первично по отношению к материи;</w:t>
      </w:r>
    </w:p>
    <w:p>
      <w:pPr>
        <w:numPr>
          <w:ilvl w:val="0"/>
          <w:numId w:val="1005"/>
        </w:numPr>
      </w:pPr>
      <w:r>
        <w:t xml:space="preserve">устойчивость порождает объективность;</w:t>
      </w:r>
    </w:p>
    <w:p>
      <w:pPr>
        <w:numPr>
          <w:ilvl w:val="0"/>
          <w:numId w:val="1005"/>
        </w:numPr>
      </w:pPr>
      <w:r>
        <w:t xml:space="preserve">классический мир — форма коллективного знания.</w:t>
      </w:r>
    </w:p>
    <w:p>
      <w:pPr>
        <w:pStyle w:val="FirstParagraph"/>
      </w:pPr>
      <w:r>
        <w:t xml:space="preserve">Классическая реальность</w:t>
      </w:r>
      <w:r>
        <w:t xml:space="preserve"> </w:t>
      </w:r>
      <w:r>
        <w:t xml:space="preserve">есть стабилизированная проекция</w:t>
      </w:r>
      <w:r>
        <w:t xml:space="preserve"> </w:t>
      </w:r>
      <w:r>
        <w:t xml:space="preserve">пространства состояний Сознания.</w:t>
      </w:r>
    </w:p>
    <w:bookmarkEnd w:id="28"/>
    <w:bookmarkStart w:id="2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данной главе было показано, что:</w:t>
      </w:r>
    </w:p>
    <w:p>
      <w:pPr>
        <w:numPr>
          <w:ilvl w:val="0"/>
          <w:numId w:val="1006"/>
        </w:numPr>
      </w:pPr>
      <w:r>
        <w:t xml:space="preserve">классический предел является режимом устойчивости;</w:t>
      </w:r>
    </w:p>
    <w:p>
      <w:pPr>
        <w:numPr>
          <w:ilvl w:val="0"/>
          <w:numId w:val="1006"/>
        </w:numPr>
      </w:pPr>
      <w:r>
        <w:t xml:space="preserve">декогеренция — информационный процесс;</w:t>
      </w:r>
    </w:p>
    <w:p>
      <w:pPr>
        <w:numPr>
          <w:ilvl w:val="0"/>
          <w:numId w:val="1006"/>
        </w:numPr>
      </w:pPr>
      <w:r>
        <w:t xml:space="preserve">материя и причинность возникают вторично;</w:t>
      </w:r>
    </w:p>
    <w:p>
      <w:pPr>
        <w:numPr>
          <w:ilvl w:val="0"/>
          <w:numId w:val="1006"/>
        </w:numPr>
      </w:pPr>
      <w:r>
        <w:t xml:space="preserve">макроскопический мир не фундаментален.</w:t>
      </w:r>
    </w:p>
    <w:p>
      <w:pPr>
        <w:pStyle w:val="FirstParagraph"/>
      </w:pPr>
      <w:r>
        <w:t xml:space="preserve">Это завершает формализацию перехода</w:t>
      </w:r>
      <w:r>
        <w:t xml:space="preserve"> </w:t>
      </w:r>
      <w:r>
        <w:t xml:space="preserve">от квантовых структур знания</w:t>
      </w:r>
      <w:r>
        <w:t xml:space="preserve"> </w:t>
      </w:r>
      <w:r>
        <w:t xml:space="preserve">к наблюдаемой макроскопической реальности.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