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DA71A" w14:textId="2AF0C7A9" w:rsidR="00F76CC2" w:rsidRDefault="006E6510" w:rsidP="00D77F95">
      <w:pPr>
        <w:pStyle w:val="Heading1"/>
        <w:pBdr>
          <w:bottom w:val="single" w:sz="6" w:space="0" w:color="2E5090"/>
        </w:pBdr>
        <w:jc w:val="both"/>
      </w:pPr>
      <w:r>
        <w:rPr>
          <w:sz w:val="22"/>
          <w:szCs w:val="22"/>
        </w:rPr>
        <w:t xml:space="preserve">EXHIBIT </w:t>
      </w:r>
      <w:r w:rsidR="00C42C42">
        <w:rPr>
          <w:sz w:val="22"/>
          <w:szCs w:val="22"/>
        </w:rPr>
        <w:t>12.3</w:t>
      </w:r>
      <w:r>
        <w:rPr>
          <w:sz w:val="22"/>
          <w:szCs w:val="22"/>
        </w:rPr>
        <w:t xml:space="preserve"> — Audit Readiness Framework for OMB 2024 Uniform Guidance</w:t>
      </w:r>
    </w:p>
    <w:p w14:paraId="68057EC1" w14:textId="77777777" w:rsidR="00F76CC2" w:rsidRDefault="006E6510" w:rsidP="00D77F95">
      <w:pPr>
        <w:pStyle w:val="Heading2"/>
        <w:jc w:val="both"/>
      </w:pPr>
      <w:r>
        <w:rPr>
          <w:sz w:val="22"/>
          <w:szCs w:val="22"/>
        </w:rPr>
        <w:t>1. Overview</w:t>
      </w:r>
    </w:p>
    <w:p w14:paraId="35DCB1DE" w14:textId="61FEF2E8" w:rsidR="00F76CC2" w:rsidRDefault="006E6510" w:rsidP="00D77F95">
      <w:pPr>
        <w:spacing w:before="60" w:after="100"/>
        <w:jc w:val="both"/>
      </w:pPr>
      <w:r>
        <w:t>This exhibit presents the petitioner's Audit Readiness and Financial Governance Framework for OMB 2024 Uniform Guidance — a practical, freely available compliance tool designed to help U.S. organizations receiving federal awards achieve full compliance with 2 CFR Part 200. The Framework has been publicly released as a free open-access resource at [WEBSITE URL] and [GITHUB URL], with [X] downloads recorded from U.S. practitioners since release on [DATE]. It is designed specifically for under-resourced entities — municipalities, tribal governments, housing authorities, CDFIs, and nonprofits — that lack dedicated compliance staff.</w:t>
      </w:r>
    </w:p>
    <w:p w14:paraId="6EA05FDF" w14:textId="77777777" w:rsidR="00F76CC2" w:rsidRDefault="006E6510" w:rsidP="00D77F95">
      <w:pPr>
        <w:spacing w:before="60" w:after="100"/>
        <w:jc w:val="both"/>
      </w:pPr>
      <w:r>
        <w:t>The petitioner developed this framework to help organizations:</w:t>
      </w:r>
    </w:p>
    <w:p w14:paraId="198AE021" w14:textId="77777777" w:rsidR="00F76CC2" w:rsidRDefault="006E6510" w:rsidP="00D77F95">
      <w:pPr>
        <w:pStyle w:val="ListParagraph"/>
        <w:numPr>
          <w:ilvl w:val="0"/>
          <w:numId w:val="2"/>
        </w:numPr>
        <w:spacing w:before="40" w:after="40"/>
        <w:jc w:val="both"/>
      </w:pPr>
      <w:r>
        <w:t>Strengthen financial governance structures</w:t>
      </w:r>
    </w:p>
    <w:p w14:paraId="7FC51E09" w14:textId="77777777" w:rsidR="00F76CC2" w:rsidRDefault="006E6510" w:rsidP="00D77F95">
      <w:pPr>
        <w:pStyle w:val="ListParagraph"/>
        <w:numPr>
          <w:ilvl w:val="0"/>
          <w:numId w:val="2"/>
        </w:numPr>
        <w:spacing w:before="40" w:after="40"/>
        <w:jc w:val="both"/>
      </w:pPr>
      <w:r>
        <w:t>Improve internal control environments aligned with COSO and GAO Green Book standards</w:t>
      </w:r>
    </w:p>
    <w:p w14:paraId="481E4D7C" w14:textId="77777777" w:rsidR="00F76CC2" w:rsidRDefault="006E6510" w:rsidP="00D77F95">
      <w:pPr>
        <w:pStyle w:val="ListParagraph"/>
        <w:numPr>
          <w:ilvl w:val="0"/>
          <w:numId w:val="2"/>
        </w:numPr>
        <w:spacing w:before="40" w:after="40"/>
        <w:jc w:val="both"/>
      </w:pPr>
      <w:r>
        <w:t>Ensure compliance with federal grant regulations under OMB 2 CFR Part 200</w:t>
      </w:r>
    </w:p>
    <w:p w14:paraId="4D8F5E98" w14:textId="77777777" w:rsidR="00F76CC2" w:rsidRDefault="006E6510" w:rsidP="00D77F95">
      <w:pPr>
        <w:pStyle w:val="ListParagraph"/>
        <w:numPr>
          <w:ilvl w:val="0"/>
          <w:numId w:val="2"/>
        </w:numPr>
        <w:spacing w:before="40" w:after="40"/>
        <w:jc w:val="both"/>
      </w:pPr>
      <w:r>
        <w:t>Achieve higher levels of audit readiness for Single Audits under 2 CFR § 200.501</w:t>
      </w:r>
    </w:p>
    <w:p w14:paraId="102CD12D" w14:textId="77777777" w:rsidR="00F76CC2" w:rsidRDefault="006E6510" w:rsidP="00D77F95">
      <w:pPr>
        <w:pStyle w:val="ListParagraph"/>
        <w:numPr>
          <w:ilvl w:val="0"/>
          <w:numId w:val="2"/>
        </w:numPr>
        <w:spacing w:before="40" w:after="40"/>
        <w:jc w:val="both"/>
      </w:pPr>
      <w:r>
        <w:t>Reduce financial and regulatory risk associated with federal funding</w:t>
      </w:r>
    </w:p>
    <w:p w14:paraId="22616AAA" w14:textId="77777777" w:rsidR="00F76CC2" w:rsidRDefault="006E6510" w:rsidP="00D77F95">
      <w:pPr>
        <w:pStyle w:val="Heading2"/>
        <w:jc w:val="both"/>
      </w:pPr>
      <w:r>
        <w:rPr>
          <w:sz w:val="22"/>
          <w:szCs w:val="22"/>
        </w:rPr>
        <w:t>2. National Importance — Quantified Dollar Impact</w:t>
      </w:r>
    </w:p>
    <w:p w14:paraId="292B6DC3" w14:textId="0CB98893" w:rsidR="00F76CC2" w:rsidRDefault="006E6510" w:rsidP="00D77F95">
      <w:pPr>
        <w:spacing w:before="60" w:after="100"/>
        <w:jc w:val="both"/>
      </w:pPr>
      <w:r>
        <w:t>The national importance of this Framework is documentable in dollar terms. The PRAC FY2023 Improper Payments Report identified $236 billion in improper payments across federal programs in fiscal year 2022. Single Audit data compiled by the Federal Audit Clearinghouse shows over 30,000 audit-subject entities in the U.S. annually, with questioned costs and material weaknesses concentrated among smaller grantees. If adoption of the petitioner's free Audit Readiness Framework reduces audit findings by even 5% among this population, the reduction in questioned costs — currently running at $10 billion+ annually per PRAC and GAO data — represents $500 million+ in protected federal funds per year. This is not speculative: it reflects the Framework's specific design against the documented root causes of audit failures identified in GAO-23-105678 and HUD OIG FY2023 reporting.</w:t>
      </w:r>
    </w:p>
    <w:p w14:paraId="021E8A44" w14:textId="77777777" w:rsidR="00F76CC2" w:rsidRDefault="006E6510" w:rsidP="00D77F95">
      <w:pPr>
        <w:pStyle w:val="Heading2"/>
        <w:jc w:val="both"/>
      </w:pPr>
      <w:r>
        <w:rPr>
          <w:sz w:val="22"/>
          <w:szCs w:val="22"/>
        </w:rPr>
        <w:t>3. Core Audit Readiness Framework — Enhanced with Specific Regulatory Citations</w:t>
      </w:r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8"/>
        <w:gridCol w:w="1599"/>
        <w:gridCol w:w="1958"/>
        <w:gridCol w:w="2198"/>
        <w:gridCol w:w="2912"/>
      </w:tblGrid>
      <w:tr w:rsidR="007F1FA3" w14:paraId="6C338BF3" w14:textId="77777777" w:rsidTr="00CA1545">
        <w:tc>
          <w:tcPr>
            <w:tcW w:w="1408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CE291" w14:textId="77777777" w:rsidR="00F76CC2" w:rsidRDefault="006E6510" w:rsidP="00D77F9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1599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CBB7B" w14:textId="77777777" w:rsidR="00F76CC2" w:rsidRDefault="006E6510" w:rsidP="00D77F9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1958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13041" w14:textId="77777777" w:rsidR="00F76CC2" w:rsidRDefault="006E6510" w:rsidP="00D77F9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Key Checklist Items</w:t>
            </w:r>
          </w:p>
        </w:tc>
        <w:tc>
          <w:tcPr>
            <w:tcW w:w="2198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50DE6" w14:textId="77777777" w:rsidR="00F76CC2" w:rsidRDefault="006E6510" w:rsidP="00D77F9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Evidence / Documentation</w:t>
            </w:r>
          </w:p>
        </w:tc>
        <w:tc>
          <w:tcPr>
            <w:tcW w:w="2912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2F3B1" w14:textId="77777777" w:rsidR="00F76CC2" w:rsidRDefault="006E6510" w:rsidP="00D77F9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Regulatory Basis</w:t>
            </w:r>
          </w:p>
        </w:tc>
      </w:tr>
      <w:tr w:rsidR="007F1FA3" w14:paraId="06D4FD3B" w14:textId="77777777" w:rsidTr="00CA1545">
        <w:tc>
          <w:tcPr>
            <w:tcW w:w="1408" w:type="dxa"/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7F24D" w14:textId="77777777" w:rsidR="00F76CC2" w:rsidRDefault="006E6510" w:rsidP="00D77F95">
            <w:pPr>
              <w:jc w:val="both"/>
            </w:pPr>
            <w:r>
              <w:rPr>
                <w:color w:val="000000"/>
                <w:sz w:val="20"/>
                <w:szCs w:val="20"/>
              </w:rPr>
              <w:t>Governance &amp; Oversight</w:t>
            </w:r>
          </w:p>
        </w:tc>
        <w:tc>
          <w:tcPr>
            <w:tcW w:w="1599" w:type="dxa"/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76A23" w14:textId="77777777" w:rsidR="00F76CC2" w:rsidRDefault="006E6510" w:rsidP="00D77F95">
            <w:pPr>
              <w:jc w:val="both"/>
            </w:pPr>
            <w:r>
              <w:rPr>
                <w:color w:val="000000"/>
                <w:sz w:val="20"/>
                <w:szCs w:val="20"/>
              </w:rPr>
              <w:t>Establish governance structures aligned with federal grant requirements</w:t>
            </w:r>
          </w:p>
        </w:tc>
        <w:tc>
          <w:tcPr>
            <w:tcW w:w="1958" w:type="dxa"/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F8559" w14:textId="77777777" w:rsidR="00F76CC2" w:rsidRDefault="006E6510" w:rsidP="00D77F95">
            <w:pPr>
              <w:jc w:val="both"/>
            </w:pPr>
            <w:r>
              <w:rPr>
                <w:color w:val="000000"/>
                <w:sz w:val="20"/>
                <w:szCs w:val="20"/>
              </w:rPr>
              <w:t>Documented policies approved; organizational roles defined; periodic risk assessments conducted</w:t>
            </w:r>
          </w:p>
        </w:tc>
        <w:tc>
          <w:tcPr>
            <w:tcW w:w="2198" w:type="dxa"/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B8FDC" w14:textId="77777777" w:rsidR="00F76CC2" w:rsidRDefault="006E6510" w:rsidP="00D77F95">
            <w:pPr>
              <w:jc w:val="both"/>
            </w:pPr>
            <w:r>
              <w:rPr>
                <w:color w:val="000000"/>
                <w:sz w:val="20"/>
                <w:szCs w:val="20"/>
              </w:rPr>
              <w:t>Policy manuals; governance charters; board meeting minutes</w:t>
            </w:r>
          </w:p>
        </w:tc>
        <w:tc>
          <w:tcPr>
            <w:tcW w:w="2912" w:type="dxa"/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AAD4F" w14:textId="77777777" w:rsidR="00F76CC2" w:rsidRDefault="006E6510" w:rsidP="00D77F95">
            <w:pPr>
              <w:jc w:val="both"/>
            </w:pPr>
            <w:r>
              <w:rPr>
                <w:color w:val="000000"/>
                <w:sz w:val="20"/>
                <w:szCs w:val="20"/>
              </w:rPr>
              <w:t>GAO Green Book Principles 1–5 (Control Environment); 2 CFR § 200.303</w:t>
            </w:r>
          </w:p>
        </w:tc>
      </w:tr>
      <w:tr w:rsidR="007F1FA3" w14:paraId="0323A797" w14:textId="77777777" w:rsidTr="00CA1545">
        <w:tc>
          <w:tcPr>
            <w:tcW w:w="14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28934" w14:textId="77777777" w:rsidR="00F76CC2" w:rsidRDefault="006E6510" w:rsidP="00D77F95">
            <w:pPr>
              <w:jc w:val="both"/>
            </w:pPr>
            <w:r>
              <w:rPr>
                <w:color w:val="000000"/>
                <w:sz w:val="20"/>
                <w:szCs w:val="20"/>
              </w:rPr>
              <w:t>Financial Management</w:t>
            </w:r>
          </w:p>
        </w:tc>
        <w:tc>
          <w:tcPr>
            <w:tcW w:w="159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65BF2" w14:textId="77777777" w:rsidR="00F76CC2" w:rsidRDefault="006E6510" w:rsidP="00D77F95">
            <w:pPr>
              <w:jc w:val="both"/>
            </w:pPr>
            <w:r>
              <w:rPr>
                <w:color w:val="000000"/>
                <w:sz w:val="20"/>
                <w:szCs w:val="20"/>
              </w:rPr>
              <w:t>Ensure accurate accounting, cost allowability, and budget compliance</w:t>
            </w:r>
          </w:p>
        </w:tc>
        <w:tc>
          <w:tcPr>
            <w:tcW w:w="195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21468" w14:textId="77777777" w:rsidR="00F76CC2" w:rsidRDefault="006E6510" w:rsidP="00D77F95">
            <w:pPr>
              <w:jc w:val="both"/>
            </w:pPr>
            <w:r>
              <w:rPr>
                <w:color w:val="000000"/>
                <w:sz w:val="20"/>
                <w:szCs w:val="20"/>
              </w:rPr>
              <w:t>Chart of accounts aligned with grant reporting; allowable cost validation; budget reconciliation</w:t>
            </w:r>
          </w:p>
        </w:tc>
        <w:tc>
          <w:tcPr>
            <w:tcW w:w="219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583D1" w14:textId="77777777" w:rsidR="00F76CC2" w:rsidRDefault="006E6510" w:rsidP="00D77F95">
            <w:pPr>
              <w:jc w:val="both"/>
            </w:pPr>
            <w:r>
              <w:rPr>
                <w:color w:val="000000"/>
                <w:sz w:val="20"/>
                <w:szCs w:val="20"/>
              </w:rPr>
              <w:t>General ledger reports; budget monitoring reports; expenditure documentation</w:t>
            </w:r>
          </w:p>
        </w:tc>
        <w:tc>
          <w:tcPr>
            <w:tcW w:w="2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EBEF2" w14:textId="77777777" w:rsidR="00F76CC2" w:rsidRDefault="006E6510" w:rsidP="00D77F95">
            <w:pPr>
              <w:jc w:val="both"/>
            </w:pPr>
            <w:r>
              <w:rPr>
                <w:color w:val="000000"/>
                <w:sz w:val="20"/>
                <w:szCs w:val="20"/>
              </w:rPr>
              <w:t>2 CFR § 200.302 (Financial Management); 2 CFR §§ 200.400–200.475 (Cost Principles)</w:t>
            </w:r>
          </w:p>
        </w:tc>
      </w:tr>
      <w:tr w:rsidR="007F1FA3" w14:paraId="15013077" w14:textId="77777777" w:rsidTr="00CA1545">
        <w:tc>
          <w:tcPr>
            <w:tcW w:w="1408" w:type="dxa"/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B1458" w14:textId="77777777" w:rsidR="00F76CC2" w:rsidRDefault="006E6510" w:rsidP="00D77F95">
            <w:pPr>
              <w:jc w:val="both"/>
            </w:pPr>
            <w:r>
              <w:rPr>
                <w:color w:val="000000"/>
                <w:sz w:val="20"/>
                <w:szCs w:val="20"/>
              </w:rPr>
              <w:t>Internal Controls</w:t>
            </w:r>
          </w:p>
        </w:tc>
        <w:tc>
          <w:tcPr>
            <w:tcW w:w="1599" w:type="dxa"/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82F16" w14:textId="77777777" w:rsidR="00F76CC2" w:rsidRDefault="006E6510" w:rsidP="00D77F95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Implement effective transaction </w:t>
            </w:r>
            <w:r>
              <w:rPr>
                <w:color w:val="000000"/>
                <w:sz w:val="20"/>
                <w:szCs w:val="20"/>
              </w:rPr>
              <w:lastRenderedPageBreak/>
              <w:t>approval, monitoring, and reconciliation</w:t>
            </w:r>
          </w:p>
        </w:tc>
        <w:tc>
          <w:tcPr>
            <w:tcW w:w="1958" w:type="dxa"/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344E5" w14:textId="77777777" w:rsidR="00F76CC2" w:rsidRDefault="006E6510" w:rsidP="00D77F95">
            <w:pPr>
              <w:jc w:val="both"/>
            </w:pPr>
            <w:r>
              <w:rPr>
                <w:color w:val="000000"/>
                <w:sz w:val="20"/>
                <w:szCs w:val="20"/>
              </w:rPr>
              <w:lastRenderedPageBreak/>
              <w:t xml:space="preserve">Internal control self-assessment completed; </w:t>
            </w:r>
            <w:r>
              <w:rPr>
                <w:color w:val="000000"/>
                <w:sz w:val="20"/>
                <w:szCs w:val="20"/>
              </w:rPr>
              <w:lastRenderedPageBreak/>
              <w:t>approval workflows documented; reconciliations performed regularly</w:t>
            </w:r>
          </w:p>
        </w:tc>
        <w:tc>
          <w:tcPr>
            <w:tcW w:w="2198" w:type="dxa"/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6E03B" w14:textId="77777777" w:rsidR="00F76CC2" w:rsidRDefault="006E6510" w:rsidP="00D77F95">
            <w:pPr>
              <w:jc w:val="both"/>
            </w:pPr>
            <w:r>
              <w:rPr>
                <w:color w:val="000000"/>
                <w:sz w:val="20"/>
                <w:szCs w:val="20"/>
              </w:rPr>
              <w:lastRenderedPageBreak/>
              <w:t xml:space="preserve">Internal control matrices; approval </w:t>
            </w:r>
            <w:r>
              <w:rPr>
                <w:color w:val="000000"/>
                <w:sz w:val="20"/>
                <w:szCs w:val="20"/>
              </w:rPr>
              <w:lastRenderedPageBreak/>
              <w:t>logs; reconciliation reports</w:t>
            </w:r>
          </w:p>
        </w:tc>
        <w:tc>
          <w:tcPr>
            <w:tcW w:w="2912" w:type="dxa"/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50581" w14:textId="77777777" w:rsidR="00F76CC2" w:rsidRDefault="006E6510" w:rsidP="00D77F95">
            <w:pPr>
              <w:jc w:val="both"/>
            </w:pPr>
            <w:r>
              <w:rPr>
                <w:color w:val="000000"/>
                <w:sz w:val="20"/>
                <w:szCs w:val="20"/>
              </w:rPr>
              <w:lastRenderedPageBreak/>
              <w:t xml:space="preserve">2 CFR § 200.303; COSO Internal Control Framework; GAO Green Book </w:t>
            </w:r>
            <w:proofErr w:type="gramStart"/>
            <w:r>
              <w:rPr>
                <w:color w:val="000000"/>
                <w:sz w:val="20"/>
                <w:szCs w:val="20"/>
              </w:rPr>
              <w:t>Principle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10</w:t>
            </w:r>
          </w:p>
        </w:tc>
      </w:tr>
      <w:tr w:rsidR="007F1FA3" w14:paraId="2D4EDC20" w14:textId="77777777" w:rsidTr="00CA1545">
        <w:tc>
          <w:tcPr>
            <w:tcW w:w="14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ADA13" w14:textId="77777777" w:rsidR="00F76CC2" w:rsidRDefault="006E6510" w:rsidP="00D77F95">
            <w:pPr>
              <w:jc w:val="both"/>
            </w:pPr>
            <w:r>
              <w:rPr>
                <w:color w:val="000000"/>
                <w:sz w:val="20"/>
                <w:szCs w:val="20"/>
              </w:rPr>
              <w:t>Federal Compliance</w:t>
            </w:r>
          </w:p>
        </w:tc>
        <w:tc>
          <w:tcPr>
            <w:tcW w:w="159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CF202" w14:textId="77777777" w:rsidR="00F76CC2" w:rsidRDefault="006E6510" w:rsidP="00D77F95">
            <w:pPr>
              <w:jc w:val="both"/>
            </w:pPr>
            <w:r>
              <w:rPr>
                <w:color w:val="000000"/>
                <w:sz w:val="20"/>
                <w:szCs w:val="20"/>
              </w:rPr>
              <w:t>Strengthen procurement compliance and subrecipient monitoring</w:t>
            </w:r>
          </w:p>
        </w:tc>
        <w:tc>
          <w:tcPr>
            <w:tcW w:w="195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CE7CF" w14:textId="77777777" w:rsidR="00F76CC2" w:rsidRDefault="006E6510" w:rsidP="00D77F95">
            <w:pPr>
              <w:jc w:val="both"/>
            </w:pPr>
            <w:r>
              <w:rPr>
                <w:color w:val="000000"/>
                <w:sz w:val="20"/>
                <w:szCs w:val="20"/>
              </w:rPr>
              <w:t>Competitive procurement documentation maintained; subrecipient monitoring performed; federal reporting deadlines tracked</w:t>
            </w:r>
          </w:p>
        </w:tc>
        <w:tc>
          <w:tcPr>
            <w:tcW w:w="219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5A2B3" w14:textId="77777777" w:rsidR="00F76CC2" w:rsidRDefault="006E6510" w:rsidP="00D77F95">
            <w:pPr>
              <w:jc w:val="both"/>
            </w:pPr>
            <w:r>
              <w:rPr>
                <w:color w:val="000000"/>
                <w:sz w:val="20"/>
                <w:szCs w:val="20"/>
              </w:rPr>
              <w:t>Procurement documentation; subrecipient monitoring reports; federal reporting submissions</w:t>
            </w:r>
          </w:p>
        </w:tc>
        <w:tc>
          <w:tcPr>
            <w:tcW w:w="2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F9734" w14:textId="77777777" w:rsidR="00F76CC2" w:rsidRDefault="006E6510" w:rsidP="00D77F95">
            <w:pPr>
              <w:jc w:val="both"/>
            </w:pPr>
            <w:r>
              <w:rPr>
                <w:color w:val="000000"/>
                <w:sz w:val="20"/>
                <w:szCs w:val="20"/>
              </w:rPr>
              <w:t>2 CFR §§ 200.317–200.327 (Procurement); 2 CFR §§ 200.330–200.332 (Subrecipient)</w:t>
            </w:r>
          </w:p>
        </w:tc>
      </w:tr>
      <w:tr w:rsidR="007F1FA3" w14:paraId="795D2D73" w14:textId="77777777" w:rsidTr="00CA1545">
        <w:tc>
          <w:tcPr>
            <w:tcW w:w="1408" w:type="dxa"/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F8358" w14:textId="77777777" w:rsidR="00F76CC2" w:rsidRDefault="006E6510" w:rsidP="00D77F95">
            <w:pPr>
              <w:jc w:val="both"/>
            </w:pPr>
            <w:r>
              <w:rPr>
                <w:color w:val="000000"/>
                <w:sz w:val="20"/>
                <w:szCs w:val="20"/>
              </w:rPr>
              <w:t>Audit Preparation</w:t>
            </w:r>
          </w:p>
        </w:tc>
        <w:tc>
          <w:tcPr>
            <w:tcW w:w="1599" w:type="dxa"/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E9A23" w14:textId="77777777" w:rsidR="00F76CC2" w:rsidRDefault="006E6510" w:rsidP="00D77F95">
            <w:pPr>
              <w:jc w:val="both"/>
            </w:pPr>
            <w:r>
              <w:rPr>
                <w:color w:val="000000"/>
                <w:sz w:val="20"/>
                <w:szCs w:val="20"/>
              </w:rPr>
              <w:t>Establish structured audit readiness processes</w:t>
            </w:r>
          </w:p>
        </w:tc>
        <w:tc>
          <w:tcPr>
            <w:tcW w:w="1958" w:type="dxa"/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C2261" w14:textId="77777777" w:rsidR="00F76CC2" w:rsidRDefault="006E6510" w:rsidP="00D77F95">
            <w:pPr>
              <w:jc w:val="both"/>
            </w:pPr>
            <w:r>
              <w:rPr>
                <w:color w:val="000000"/>
                <w:sz w:val="20"/>
                <w:szCs w:val="20"/>
              </w:rPr>
              <w:t>Centralized audit documentation repository; pre-audit reviews conducted; staff trained on compliance procedures</w:t>
            </w:r>
          </w:p>
        </w:tc>
        <w:tc>
          <w:tcPr>
            <w:tcW w:w="2198" w:type="dxa"/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FD234" w14:textId="77777777" w:rsidR="00F76CC2" w:rsidRDefault="006E6510" w:rsidP="00D77F95">
            <w:pPr>
              <w:jc w:val="both"/>
            </w:pPr>
            <w:r>
              <w:rPr>
                <w:color w:val="000000"/>
                <w:sz w:val="20"/>
                <w:szCs w:val="20"/>
              </w:rPr>
              <w:t>Audit files; internal pre-audit review reports; training records</w:t>
            </w:r>
          </w:p>
        </w:tc>
        <w:tc>
          <w:tcPr>
            <w:tcW w:w="2912" w:type="dxa"/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0158B" w14:textId="77777777" w:rsidR="00F76CC2" w:rsidRDefault="006E6510" w:rsidP="00D77F95">
            <w:pPr>
              <w:jc w:val="both"/>
            </w:pPr>
            <w:r>
              <w:rPr>
                <w:color w:val="000000"/>
                <w:sz w:val="20"/>
                <w:szCs w:val="20"/>
              </w:rPr>
              <w:t>2 CFR § 200.501 (Single Audit); 2 CFR § 200.334 (Record Retention)</w:t>
            </w:r>
          </w:p>
        </w:tc>
      </w:tr>
      <w:tr w:rsidR="007F1FA3" w14:paraId="181DA0B2" w14:textId="77777777" w:rsidTr="00CA1545">
        <w:tc>
          <w:tcPr>
            <w:tcW w:w="14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92FEF" w14:textId="77777777" w:rsidR="00F76CC2" w:rsidRDefault="006E6510" w:rsidP="00D77F95">
            <w:pPr>
              <w:jc w:val="both"/>
            </w:pPr>
            <w:r>
              <w:rPr>
                <w:color w:val="000000"/>
                <w:sz w:val="20"/>
                <w:szCs w:val="20"/>
              </w:rPr>
              <w:t>Continuous Improvement</w:t>
            </w:r>
          </w:p>
        </w:tc>
        <w:tc>
          <w:tcPr>
            <w:tcW w:w="159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0B02D" w14:textId="77777777" w:rsidR="00F76CC2" w:rsidRDefault="006E6510" w:rsidP="00D77F95">
            <w:pPr>
              <w:jc w:val="both"/>
            </w:pPr>
            <w:r>
              <w:rPr>
                <w:color w:val="000000"/>
                <w:sz w:val="20"/>
                <w:szCs w:val="20"/>
              </w:rPr>
              <w:t>Implement corrective action tracking and performance monitoring</w:t>
            </w:r>
          </w:p>
        </w:tc>
        <w:tc>
          <w:tcPr>
            <w:tcW w:w="195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38BB5" w14:textId="77777777" w:rsidR="00F76CC2" w:rsidRDefault="006E6510" w:rsidP="00D77F95">
            <w:pPr>
              <w:jc w:val="both"/>
            </w:pPr>
            <w:r>
              <w:rPr>
                <w:color w:val="000000"/>
                <w:sz w:val="20"/>
                <w:szCs w:val="20"/>
              </w:rPr>
              <w:t>Corrective action plans documented; lessons learned recorded; KPI dashboards maintained</w:t>
            </w:r>
          </w:p>
        </w:tc>
        <w:tc>
          <w:tcPr>
            <w:tcW w:w="219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38507" w14:textId="77777777" w:rsidR="00F76CC2" w:rsidRDefault="006E6510" w:rsidP="00D77F95">
            <w:pPr>
              <w:jc w:val="both"/>
            </w:pPr>
            <w:r>
              <w:rPr>
                <w:color w:val="000000"/>
                <w:sz w:val="20"/>
                <w:szCs w:val="20"/>
              </w:rPr>
              <w:t>Corrective action plan logs; performance dashboards; compliance reports</w:t>
            </w:r>
          </w:p>
        </w:tc>
        <w:tc>
          <w:tcPr>
            <w:tcW w:w="2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5B6D" w14:textId="77777777" w:rsidR="00F76CC2" w:rsidRDefault="006E6510" w:rsidP="00D77F95">
            <w:pPr>
              <w:jc w:val="both"/>
            </w:pPr>
            <w:r>
              <w:rPr>
                <w:color w:val="000000"/>
                <w:sz w:val="20"/>
                <w:szCs w:val="20"/>
              </w:rPr>
              <w:t>GAO Green Book Principle 17 (Monitoring); 2 CFR § 200.328 (Monitoring)</w:t>
            </w:r>
          </w:p>
        </w:tc>
      </w:tr>
    </w:tbl>
    <w:p w14:paraId="7CA9583A" w14:textId="77777777" w:rsidR="00F76CC2" w:rsidRDefault="006E6510" w:rsidP="00D77F95">
      <w:pPr>
        <w:pStyle w:val="Heading2"/>
        <w:jc w:val="both"/>
      </w:pPr>
      <w:r>
        <w:rPr>
          <w:sz w:val="22"/>
          <w:szCs w:val="22"/>
        </w:rPr>
        <w:t>4. Petitioner's Role and Open-Access Distribution</w:t>
      </w:r>
    </w:p>
    <w:p w14:paraId="07AA920C" w14:textId="7B8D4F24" w:rsidR="00F76CC2" w:rsidRDefault="006E6510" w:rsidP="00D77F95">
      <w:pPr>
        <w:spacing w:before="60" w:after="100"/>
        <w:jc w:val="both"/>
      </w:pPr>
      <w:r>
        <w:t>The petitioner independently developed this Framework drawing on 1</w:t>
      </w:r>
      <w:r w:rsidR="00853C1D">
        <w:t>8</w:t>
      </w:r>
      <w:r>
        <w:t xml:space="preserve">+ years of experience designing COSO-based internal control environments for multi-entity, publicly regulated organizations. The Framework has been adapted specifically for the U.S. federal grant compliance context — mapping every checklist item to the applicable OMB 2 CFR 200 provision and GAO Green Book principle — and released as a free, open-access public resource. No licensing fee, no consulting engagement, no proprietary lock-in is required for any U.S. entity to adopt and use this Framework. This open-access distribution model is what establishes the national importance of the endeavor: its impact is not limited to clients the petitioner can personally </w:t>
      </w:r>
      <w:r w:rsidR="00853C1D">
        <w:t>serve but</w:t>
      </w:r>
      <w:r>
        <w:t xml:space="preserve"> extends to every U.S. grant recipient capable of downloading and implementing the Framework.</w:t>
      </w:r>
    </w:p>
    <w:p w14:paraId="35B19C45" w14:textId="77777777" w:rsidR="00F76CC2" w:rsidRPr="00D77F95" w:rsidRDefault="006E6510" w:rsidP="00D77F95">
      <w:pPr>
        <w:spacing w:before="60" w:after="100"/>
        <w:jc w:val="both"/>
        <w:rPr>
          <w:highlight w:val="yellow"/>
        </w:rPr>
      </w:pPr>
      <w:r w:rsidRPr="00D77F95">
        <w:rPr>
          <w:highlight w:val="yellow"/>
        </w:rPr>
        <w:t>[INSERT: Screenshots from the GitHub repository or website showing the public release, download counter, and user engagement (stars, forks, comments). See Exhibit [X].]</w:t>
      </w:r>
    </w:p>
    <w:p w14:paraId="79C4C899" w14:textId="77777777" w:rsidR="00F76CC2" w:rsidRPr="00D77F95" w:rsidRDefault="006E6510" w:rsidP="00D77F95">
      <w:pPr>
        <w:spacing w:before="60" w:after="100"/>
        <w:jc w:val="both"/>
        <w:rPr>
          <w:strike/>
        </w:rPr>
      </w:pPr>
      <w:r w:rsidRPr="00D77F95">
        <w:rPr>
          <w:strike/>
          <w:highlight w:val="cyan"/>
        </w:rPr>
        <w:t>[INSERT: Any correspondence from U.S. entities that have accessed and are using or evaluating the Framework — even informal email inquiries constitute evidence of national reach. See Exhibit [X].]</w:t>
      </w:r>
    </w:p>
    <w:p w14:paraId="0D508501" w14:textId="306E1BC4" w:rsidR="00F76CC2" w:rsidRDefault="00F76CC2" w:rsidP="00D77F95">
      <w:pPr>
        <w:jc w:val="both"/>
      </w:pPr>
    </w:p>
    <w:sectPr w:rsidR="00F76CC2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D3093" w14:textId="77777777" w:rsidR="00701FF4" w:rsidRDefault="00701FF4">
      <w:r>
        <w:separator/>
      </w:r>
    </w:p>
  </w:endnote>
  <w:endnote w:type="continuationSeparator" w:id="0">
    <w:p w14:paraId="71E667F9" w14:textId="77777777" w:rsidR="00701FF4" w:rsidRDefault="00701F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8639458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31FDB037" w14:textId="04D5E605" w:rsidR="000F0181" w:rsidRDefault="000F0181" w:rsidP="000F0181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0FD37A6" w14:textId="12F4AAAC" w:rsidR="00F76CC2" w:rsidRPr="000F0181" w:rsidRDefault="00F76CC2" w:rsidP="000F01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043F9" w14:textId="77777777" w:rsidR="00701FF4" w:rsidRDefault="00701FF4">
      <w:r>
        <w:separator/>
      </w:r>
    </w:p>
  </w:footnote>
  <w:footnote w:type="continuationSeparator" w:id="0">
    <w:p w14:paraId="30358646" w14:textId="77777777" w:rsidR="00701FF4" w:rsidRDefault="00701F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71F2C" w14:textId="1723F456" w:rsidR="00F76CC2" w:rsidRPr="005E221F" w:rsidRDefault="005539E4">
    <w:pPr>
      <w:pBdr>
        <w:bottom w:val="single" w:sz="4" w:space="0" w:color="2E5090"/>
      </w:pBdr>
      <w:spacing w:after="80"/>
      <w:rPr>
        <w:sz w:val="16"/>
        <w:szCs w:val="16"/>
      </w:rPr>
    </w:pPr>
    <w:r>
      <w:rPr>
        <w:color w:val="777777"/>
        <w:sz w:val="16"/>
        <w:szCs w:val="16"/>
      </w:rPr>
      <w:t xml:space="preserve">Financial Governance and Compliance Tools </w:t>
    </w:r>
    <w:r w:rsidR="006E6510" w:rsidRPr="005E221F">
      <w:rPr>
        <w:color w:val="777777"/>
        <w:sz w:val="16"/>
        <w:szCs w:val="16"/>
      </w:rPr>
      <w:t xml:space="preserve">| Muhammad Bilal </w:t>
    </w:r>
    <w:r>
      <w:rPr>
        <w:color w:val="777777"/>
        <w:sz w:val="16"/>
        <w:szCs w:val="16"/>
      </w:rPr>
      <w:t xml:space="preserve">EB 2 </w:t>
    </w:r>
    <w:r w:rsidR="006E6510" w:rsidRPr="005E221F">
      <w:rPr>
        <w:color w:val="777777"/>
        <w:sz w:val="16"/>
        <w:szCs w:val="16"/>
      </w:rPr>
      <w:t xml:space="preserve">NIW </w:t>
    </w:r>
    <w:r>
      <w:rPr>
        <w:color w:val="777777"/>
        <w:sz w:val="16"/>
        <w:szCs w:val="16"/>
      </w:rPr>
      <w:t>Petition</w:t>
    </w:r>
    <w:r w:rsidR="006E6510" w:rsidRPr="005E221F">
      <w:rPr>
        <w:color w:val="777777"/>
        <w:sz w:val="16"/>
        <w:szCs w:val="16"/>
      </w:rPr>
      <w:t xml:space="preserve">|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03951"/>
    <w:multiLevelType w:val="hybridMultilevel"/>
    <w:tmpl w:val="56ECEF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8816F3E"/>
    <w:multiLevelType w:val="hybridMultilevel"/>
    <w:tmpl w:val="C8644A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E917F26"/>
    <w:multiLevelType w:val="hybridMultilevel"/>
    <w:tmpl w:val="4718B3A4"/>
    <w:lvl w:ilvl="0" w:tplc="3EDCEB3C">
      <w:start w:val="1"/>
      <w:numFmt w:val="bullet"/>
      <w:lvlText w:val="•"/>
      <w:lvlJc w:val="left"/>
      <w:pPr>
        <w:ind w:left="720" w:hanging="360"/>
      </w:pPr>
    </w:lvl>
    <w:lvl w:ilvl="1" w:tplc="F5625CBA">
      <w:numFmt w:val="decimal"/>
      <w:lvlText w:val=""/>
      <w:lvlJc w:val="left"/>
    </w:lvl>
    <w:lvl w:ilvl="2" w:tplc="A31CD8C8">
      <w:numFmt w:val="decimal"/>
      <w:lvlText w:val=""/>
      <w:lvlJc w:val="left"/>
    </w:lvl>
    <w:lvl w:ilvl="3" w:tplc="F802030C">
      <w:numFmt w:val="decimal"/>
      <w:lvlText w:val=""/>
      <w:lvlJc w:val="left"/>
    </w:lvl>
    <w:lvl w:ilvl="4" w:tplc="4CA846C8">
      <w:numFmt w:val="decimal"/>
      <w:lvlText w:val=""/>
      <w:lvlJc w:val="left"/>
    </w:lvl>
    <w:lvl w:ilvl="5" w:tplc="B40E1F04">
      <w:numFmt w:val="decimal"/>
      <w:lvlText w:val=""/>
      <w:lvlJc w:val="left"/>
    </w:lvl>
    <w:lvl w:ilvl="6" w:tplc="658881C0">
      <w:numFmt w:val="decimal"/>
      <w:lvlText w:val=""/>
      <w:lvlJc w:val="left"/>
    </w:lvl>
    <w:lvl w:ilvl="7" w:tplc="315E6644">
      <w:numFmt w:val="decimal"/>
      <w:lvlText w:val=""/>
      <w:lvlJc w:val="left"/>
    </w:lvl>
    <w:lvl w:ilvl="8" w:tplc="ACAE1192">
      <w:numFmt w:val="decimal"/>
      <w:lvlText w:val=""/>
      <w:lvlJc w:val="left"/>
    </w:lvl>
  </w:abstractNum>
  <w:abstractNum w:abstractNumId="3" w15:restartNumberingAfterBreak="0">
    <w:nsid w:val="5FAA4F06"/>
    <w:multiLevelType w:val="hybridMultilevel"/>
    <w:tmpl w:val="BF78DE78"/>
    <w:lvl w:ilvl="0" w:tplc="448292AE">
      <w:start w:val="1"/>
      <w:numFmt w:val="bullet"/>
      <w:lvlText w:val="•"/>
      <w:lvlJc w:val="left"/>
      <w:pPr>
        <w:ind w:left="720" w:hanging="360"/>
      </w:pPr>
    </w:lvl>
    <w:lvl w:ilvl="1" w:tplc="CAA22DA6">
      <w:numFmt w:val="decimal"/>
      <w:lvlText w:val=""/>
      <w:lvlJc w:val="left"/>
    </w:lvl>
    <w:lvl w:ilvl="2" w:tplc="AFEC96E4">
      <w:numFmt w:val="decimal"/>
      <w:lvlText w:val=""/>
      <w:lvlJc w:val="left"/>
    </w:lvl>
    <w:lvl w:ilvl="3" w:tplc="14764C16">
      <w:numFmt w:val="decimal"/>
      <w:lvlText w:val=""/>
      <w:lvlJc w:val="left"/>
    </w:lvl>
    <w:lvl w:ilvl="4" w:tplc="6548D0E6">
      <w:numFmt w:val="decimal"/>
      <w:lvlText w:val=""/>
      <w:lvlJc w:val="left"/>
    </w:lvl>
    <w:lvl w:ilvl="5" w:tplc="8AE28A2A">
      <w:numFmt w:val="decimal"/>
      <w:lvlText w:val=""/>
      <w:lvlJc w:val="left"/>
    </w:lvl>
    <w:lvl w:ilvl="6" w:tplc="0DA4920C">
      <w:numFmt w:val="decimal"/>
      <w:lvlText w:val=""/>
      <w:lvlJc w:val="left"/>
    </w:lvl>
    <w:lvl w:ilvl="7" w:tplc="424EFCBA">
      <w:numFmt w:val="decimal"/>
      <w:lvlText w:val=""/>
      <w:lvlJc w:val="left"/>
    </w:lvl>
    <w:lvl w:ilvl="8" w:tplc="F1947610">
      <w:numFmt w:val="decimal"/>
      <w:lvlText w:val=""/>
      <w:lvlJc w:val="left"/>
    </w:lvl>
  </w:abstractNum>
  <w:abstractNum w:abstractNumId="4" w15:restartNumberingAfterBreak="0">
    <w:nsid w:val="77427DF6"/>
    <w:multiLevelType w:val="hybridMultilevel"/>
    <w:tmpl w:val="154092C2"/>
    <w:lvl w:ilvl="0" w:tplc="B3F8A352">
      <w:start w:val="1"/>
      <w:numFmt w:val="decimal"/>
      <w:lvlText w:val="%1."/>
      <w:lvlJc w:val="left"/>
      <w:pPr>
        <w:ind w:left="720" w:hanging="360"/>
      </w:pPr>
    </w:lvl>
    <w:lvl w:ilvl="1" w:tplc="0D666A8A">
      <w:numFmt w:val="decimal"/>
      <w:lvlText w:val=""/>
      <w:lvlJc w:val="left"/>
    </w:lvl>
    <w:lvl w:ilvl="2" w:tplc="D2440FD6">
      <w:numFmt w:val="decimal"/>
      <w:lvlText w:val=""/>
      <w:lvlJc w:val="left"/>
    </w:lvl>
    <w:lvl w:ilvl="3" w:tplc="0A62B328">
      <w:numFmt w:val="decimal"/>
      <w:lvlText w:val=""/>
      <w:lvlJc w:val="left"/>
    </w:lvl>
    <w:lvl w:ilvl="4" w:tplc="BA5CF36A">
      <w:numFmt w:val="decimal"/>
      <w:lvlText w:val=""/>
      <w:lvlJc w:val="left"/>
    </w:lvl>
    <w:lvl w:ilvl="5" w:tplc="B908F4AE">
      <w:numFmt w:val="decimal"/>
      <w:lvlText w:val=""/>
      <w:lvlJc w:val="left"/>
    </w:lvl>
    <w:lvl w:ilvl="6" w:tplc="77103C54">
      <w:numFmt w:val="decimal"/>
      <w:lvlText w:val=""/>
      <w:lvlJc w:val="left"/>
    </w:lvl>
    <w:lvl w:ilvl="7" w:tplc="F5405EDC">
      <w:numFmt w:val="decimal"/>
      <w:lvlText w:val=""/>
      <w:lvlJc w:val="left"/>
    </w:lvl>
    <w:lvl w:ilvl="8" w:tplc="BC6606FA">
      <w:numFmt w:val="decimal"/>
      <w:lvlText w:val=""/>
      <w:lvlJc w:val="left"/>
    </w:lvl>
  </w:abstractNum>
  <w:abstractNum w:abstractNumId="5" w15:restartNumberingAfterBreak="0">
    <w:nsid w:val="7A9D2678"/>
    <w:multiLevelType w:val="hybridMultilevel"/>
    <w:tmpl w:val="376ECDE0"/>
    <w:lvl w:ilvl="0" w:tplc="C1C890B4">
      <w:start w:val="1"/>
      <w:numFmt w:val="bullet"/>
      <w:lvlText w:val="●"/>
      <w:lvlJc w:val="left"/>
      <w:pPr>
        <w:ind w:left="720" w:hanging="360"/>
      </w:pPr>
    </w:lvl>
    <w:lvl w:ilvl="1" w:tplc="AE8CA214">
      <w:start w:val="1"/>
      <w:numFmt w:val="bullet"/>
      <w:lvlText w:val="○"/>
      <w:lvlJc w:val="left"/>
      <w:pPr>
        <w:ind w:left="1440" w:hanging="360"/>
      </w:pPr>
    </w:lvl>
    <w:lvl w:ilvl="2" w:tplc="51963BA4">
      <w:start w:val="1"/>
      <w:numFmt w:val="bullet"/>
      <w:lvlText w:val="■"/>
      <w:lvlJc w:val="left"/>
      <w:pPr>
        <w:ind w:left="2160" w:hanging="360"/>
      </w:pPr>
    </w:lvl>
    <w:lvl w:ilvl="3" w:tplc="576ACFDE">
      <w:start w:val="1"/>
      <w:numFmt w:val="bullet"/>
      <w:lvlText w:val="●"/>
      <w:lvlJc w:val="left"/>
      <w:pPr>
        <w:ind w:left="2880" w:hanging="360"/>
      </w:pPr>
    </w:lvl>
    <w:lvl w:ilvl="4" w:tplc="2D38026E">
      <w:start w:val="1"/>
      <w:numFmt w:val="bullet"/>
      <w:lvlText w:val="○"/>
      <w:lvlJc w:val="left"/>
      <w:pPr>
        <w:ind w:left="3600" w:hanging="360"/>
      </w:pPr>
    </w:lvl>
    <w:lvl w:ilvl="5" w:tplc="8D84AC22">
      <w:start w:val="1"/>
      <w:numFmt w:val="bullet"/>
      <w:lvlText w:val="■"/>
      <w:lvlJc w:val="left"/>
      <w:pPr>
        <w:ind w:left="4320" w:hanging="360"/>
      </w:pPr>
    </w:lvl>
    <w:lvl w:ilvl="6" w:tplc="3ED625F8">
      <w:start w:val="1"/>
      <w:numFmt w:val="bullet"/>
      <w:lvlText w:val="●"/>
      <w:lvlJc w:val="left"/>
      <w:pPr>
        <w:ind w:left="5040" w:hanging="360"/>
      </w:pPr>
    </w:lvl>
    <w:lvl w:ilvl="7" w:tplc="EC484486">
      <w:start w:val="1"/>
      <w:numFmt w:val="bullet"/>
      <w:lvlText w:val="●"/>
      <w:lvlJc w:val="left"/>
      <w:pPr>
        <w:ind w:left="5760" w:hanging="360"/>
      </w:pPr>
    </w:lvl>
    <w:lvl w:ilvl="8" w:tplc="56C065E0">
      <w:start w:val="1"/>
      <w:numFmt w:val="bullet"/>
      <w:lvlText w:val="●"/>
      <w:lvlJc w:val="left"/>
      <w:pPr>
        <w:ind w:left="6480" w:hanging="360"/>
      </w:pPr>
    </w:lvl>
  </w:abstractNum>
  <w:num w:numId="1" w16cid:durableId="1605843903">
    <w:abstractNumId w:val="5"/>
    <w:lvlOverride w:ilvl="0">
      <w:startOverride w:val="1"/>
    </w:lvlOverride>
  </w:num>
  <w:num w:numId="2" w16cid:durableId="476265944">
    <w:abstractNumId w:val="2"/>
    <w:lvlOverride w:ilvl="0">
      <w:startOverride w:val="1"/>
    </w:lvlOverride>
  </w:num>
  <w:num w:numId="3" w16cid:durableId="372659517">
    <w:abstractNumId w:val="4"/>
    <w:lvlOverride w:ilvl="0">
      <w:startOverride w:val="1"/>
    </w:lvlOverride>
  </w:num>
  <w:num w:numId="4" w16cid:durableId="2132891731">
    <w:abstractNumId w:val="1"/>
  </w:num>
  <w:num w:numId="5" w16cid:durableId="1232733914">
    <w:abstractNumId w:val="3"/>
    <w:lvlOverride w:ilvl="0">
      <w:startOverride w:val="1"/>
    </w:lvlOverride>
  </w:num>
  <w:num w:numId="6" w16cid:durableId="870264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6CC2"/>
    <w:rsid w:val="00026B3E"/>
    <w:rsid w:val="000724F1"/>
    <w:rsid w:val="00083417"/>
    <w:rsid w:val="000965C5"/>
    <w:rsid w:val="000F0181"/>
    <w:rsid w:val="00130D2C"/>
    <w:rsid w:val="00135D11"/>
    <w:rsid w:val="00176DEC"/>
    <w:rsid w:val="001B74F0"/>
    <w:rsid w:val="001C3C24"/>
    <w:rsid w:val="001D2ACE"/>
    <w:rsid w:val="001F4AFB"/>
    <w:rsid w:val="00202990"/>
    <w:rsid w:val="00233A94"/>
    <w:rsid w:val="00252E06"/>
    <w:rsid w:val="00257CAC"/>
    <w:rsid w:val="00267F26"/>
    <w:rsid w:val="002E2837"/>
    <w:rsid w:val="003657AB"/>
    <w:rsid w:val="00394847"/>
    <w:rsid w:val="003C2249"/>
    <w:rsid w:val="00462700"/>
    <w:rsid w:val="00484ABA"/>
    <w:rsid w:val="004A7159"/>
    <w:rsid w:val="004C3B20"/>
    <w:rsid w:val="004E1E04"/>
    <w:rsid w:val="005275B3"/>
    <w:rsid w:val="00544E9C"/>
    <w:rsid w:val="005539E4"/>
    <w:rsid w:val="005840E3"/>
    <w:rsid w:val="005B49BC"/>
    <w:rsid w:val="005E0FAB"/>
    <w:rsid w:val="005E221F"/>
    <w:rsid w:val="006437E7"/>
    <w:rsid w:val="00675437"/>
    <w:rsid w:val="006E6510"/>
    <w:rsid w:val="006F0AEB"/>
    <w:rsid w:val="00701FF4"/>
    <w:rsid w:val="00774B38"/>
    <w:rsid w:val="007F1FA3"/>
    <w:rsid w:val="00806396"/>
    <w:rsid w:val="008154AF"/>
    <w:rsid w:val="00853C1D"/>
    <w:rsid w:val="008647CF"/>
    <w:rsid w:val="008F3C14"/>
    <w:rsid w:val="00903ADB"/>
    <w:rsid w:val="009736CE"/>
    <w:rsid w:val="009814F6"/>
    <w:rsid w:val="009D267A"/>
    <w:rsid w:val="00A04D0A"/>
    <w:rsid w:val="00A50F98"/>
    <w:rsid w:val="00A5369A"/>
    <w:rsid w:val="00AB48EA"/>
    <w:rsid w:val="00AC148C"/>
    <w:rsid w:val="00B86E45"/>
    <w:rsid w:val="00B93C34"/>
    <w:rsid w:val="00B963F0"/>
    <w:rsid w:val="00BC4D49"/>
    <w:rsid w:val="00C25F33"/>
    <w:rsid w:val="00C42B8E"/>
    <w:rsid w:val="00C42C42"/>
    <w:rsid w:val="00C80AA9"/>
    <w:rsid w:val="00C92F3A"/>
    <w:rsid w:val="00C964D8"/>
    <w:rsid w:val="00CA1545"/>
    <w:rsid w:val="00CA2391"/>
    <w:rsid w:val="00D05372"/>
    <w:rsid w:val="00D71167"/>
    <w:rsid w:val="00D77F95"/>
    <w:rsid w:val="00DB312F"/>
    <w:rsid w:val="00DB5D03"/>
    <w:rsid w:val="00DE19E4"/>
    <w:rsid w:val="00E66276"/>
    <w:rsid w:val="00E91C42"/>
    <w:rsid w:val="00F37F82"/>
    <w:rsid w:val="00F76CC2"/>
    <w:rsid w:val="00F87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F389A"/>
  <w15:docId w15:val="{6FBD0966-5D5C-4E3B-8F51-7F41512CA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509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275B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75B3"/>
  </w:style>
  <w:style w:type="paragraph" w:styleId="Footer">
    <w:name w:val="footer"/>
    <w:basedOn w:val="Normal"/>
    <w:link w:val="FooterChar"/>
    <w:uiPriority w:val="99"/>
    <w:unhideWhenUsed/>
    <w:rsid w:val="005275B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75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40DB76-3FDD-4B59-BAA1-8374B903C0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819</Words>
  <Characters>4670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Adeena Bilal</cp:lastModifiedBy>
  <cp:revision>3</cp:revision>
  <dcterms:created xsi:type="dcterms:W3CDTF">2026-06-12T00:05:00Z</dcterms:created>
  <dcterms:modified xsi:type="dcterms:W3CDTF">2026-06-12T00:19:00Z</dcterms:modified>
</cp:coreProperties>
</file>