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D2D1" w14:textId="0783C037" w:rsidR="00990FBD" w:rsidRPr="00990FBD" w:rsidRDefault="00990FBD" w:rsidP="00DC55A8">
      <w:pPr>
        <w:spacing w:before="100" w:beforeAutospacing="1" w:after="100" w:afterAutospacing="1" w:line="240" w:lineRule="auto"/>
        <w:outlineLvl w:val="3"/>
        <w:rPr>
          <w:rFonts w:ascii="Times New Roman" w:eastAsia="Times New Roman" w:hAnsi="Times New Roman" w:cs="Times New Roman"/>
          <w:b/>
          <w:bCs/>
          <w:kern w:val="0"/>
          <w:sz w:val="48"/>
          <w:szCs w:val="48"/>
          <w14:ligatures w14:val="none"/>
        </w:rPr>
      </w:pPr>
      <w:r w:rsidRPr="00990FBD">
        <w:rPr>
          <w:rFonts w:ascii="Times New Roman" w:eastAsia="Times New Roman" w:hAnsi="Times New Roman" w:cs="Times New Roman"/>
          <w:b/>
          <w:bCs/>
          <w:kern w:val="0"/>
          <w:sz w:val="48"/>
          <w:szCs w:val="48"/>
          <w14:ligatures w14:val="none"/>
        </w:rPr>
        <w:t>Exhibit</w:t>
      </w:r>
      <w:r w:rsidR="00DC55A8">
        <w:rPr>
          <w:rFonts w:ascii="Times New Roman" w:eastAsia="Times New Roman" w:hAnsi="Times New Roman" w:cs="Times New Roman"/>
          <w:b/>
          <w:bCs/>
          <w:kern w:val="0"/>
          <w:sz w:val="48"/>
          <w:szCs w:val="48"/>
          <w14:ligatures w14:val="none"/>
        </w:rPr>
        <w:t>-</w:t>
      </w:r>
      <w:r w:rsidRPr="00990FBD">
        <w:rPr>
          <w:rFonts w:ascii="Times New Roman" w:eastAsia="Times New Roman" w:hAnsi="Times New Roman" w:cs="Times New Roman"/>
          <w:b/>
          <w:bCs/>
          <w:kern w:val="0"/>
          <w:sz w:val="48"/>
          <w:szCs w:val="48"/>
          <w14:ligatures w14:val="none"/>
        </w:rPr>
        <w:t>20</w:t>
      </w:r>
      <w:r w:rsidR="00DC55A8">
        <w:rPr>
          <w:rFonts w:ascii="Times New Roman" w:eastAsia="Times New Roman" w:hAnsi="Times New Roman" w:cs="Times New Roman"/>
          <w:b/>
          <w:bCs/>
          <w:kern w:val="0"/>
          <w:sz w:val="48"/>
          <w:szCs w:val="48"/>
          <w14:ligatures w14:val="none"/>
        </w:rPr>
        <w:t xml:space="preserve"> </w:t>
      </w:r>
      <w:r w:rsidRPr="00990FBD">
        <w:rPr>
          <w:rFonts w:ascii="Times New Roman" w:eastAsia="Times New Roman" w:hAnsi="Times New Roman" w:cs="Times New Roman"/>
          <w:b/>
          <w:bCs/>
          <w:kern w:val="0"/>
          <w:sz w:val="48"/>
          <w:szCs w:val="48"/>
          <w14:ligatures w14:val="none"/>
        </w:rPr>
        <w:t>Audit Readiness Framework for OMB 2024 Uniform Guidance</w:t>
      </w:r>
    </w:p>
    <w:p w14:paraId="6E6E5F0C" w14:textId="77777777" w:rsidR="00990FBD" w:rsidRPr="00990FBD" w:rsidRDefault="00990FBD" w:rsidP="00990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0FBD">
        <w:rPr>
          <w:rFonts w:ascii="Times New Roman" w:eastAsia="Times New Roman" w:hAnsi="Times New Roman" w:cs="Times New Roman"/>
          <w:b/>
          <w:bCs/>
          <w:kern w:val="36"/>
          <w:sz w:val="48"/>
          <w:szCs w:val="48"/>
          <w14:ligatures w14:val="none"/>
        </w:rPr>
        <w:t>1. Overview</w:t>
      </w:r>
    </w:p>
    <w:p w14:paraId="1B4146DF" w14:textId="77777777" w:rsidR="00990FBD" w:rsidRPr="00990FBD" w:rsidRDefault="00990FBD" w:rsidP="006B552A">
      <w:pPr>
        <w:spacing w:before="100" w:beforeAutospacing="1" w:after="100" w:afterAutospacing="1" w:line="240" w:lineRule="auto"/>
        <w:jc w:val="both"/>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 xml:space="preserve">This exhibit presents the petitioner’s </w:t>
      </w:r>
      <w:r w:rsidRPr="00990FBD">
        <w:rPr>
          <w:rFonts w:ascii="Times New Roman" w:eastAsia="Times New Roman" w:hAnsi="Times New Roman" w:cs="Times New Roman"/>
          <w:b/>
          <w:bCs/>
          <w:kern w:val="0"/>
          <w14:ligatures w14:val="none"/>
        </w:rPr>
        <w:t>Audit Readiness and Financial Governance Framework</w:t>
      </w:r>
      <w:r w:rsidRPr="00990FBD">
        <w:rPr>
          <w:rFonts w:ascii="Times New Roman" w:eastAsia="Times New Roman" w:hAnsi="Times New Roman" w:cs="Times New Roman"/>
          <w:kern w:val="0"/>
          <w14:ligatures w14:val="none"/>
        </w:rPr>
        <w:t xml:space="preserve"> designed to help organizations receiving federal funds achieve full compliance with the requirements of the </w:t>
      </w:r>
      <w:r w:rsidRPr="00990FBD">
        <w:rPr>
          <w:rFonts w:ascii="Times New Roman" w:eastAsia="Times New Roman" w:hAnsi="Times New Roman" w:cs="Times New Roman"/>
          <w:b/>
          <w:bCs/>
          <w:kern w:val="0"/>
          <w14:ligatures w14:val="none"/>
        </w:rPr>
        <w:t>Uniform Administrative Requirements, Cost Principles, and Audit Requirements for Federal Awards (2 CFR Part 200)</w:t>
      </w:r>
      <w:r w:rsidRPr="00990FBD">
        <w:rPr>
          <w:rFonts w:ascii="Times New Roman" w:eastAsia="Times New Roman" w:hAnsi="Times New Roman" w:cs="Times New Roman"/>
          <w:kern w:val="0"/>
          <w14:ligatures w14:val="none"/>
        </w:rPr>
        <w:t>.</w:t>
      </w:r>
    </w:p>
    <w:p w14:paraId="3248A810" w14:textId="77777777" w:rsidR="00990FBD" w:rsidRPr="00990FBD" w:rsidRDefault="00990FBD" w:rsidP="006B552A">
      <w:pPr>
        <w:spacing w:before="100" w:beforeAutospacing="1" w:after="100" w:afterAutospacing="1" w:line="240" w:lineRule="auto"/>
        <w:jc w:val="both"/>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 xml:space="preserve">Federal assistance programs distribute </w:t>
      </w:r>
      <w:r w:rsidRPr="00990FBD">
        <w:rPr>
          <w:rFonts w:ascii="Times New Roman" w:eastAsia="Times New Roman" w:hAnsi="Times New Roman" w:cs="Times New Roman"/>
          <w:b/>
          <w:bCs/>
          <w:kern w:val="0"/>
          <w14:ligatures w14:val="none"/>
        </w:rPr>
        <w:t>hundreds of billions of dollars annually</w:t>
      </w:r>
      <w:r w:rsidRPr="00990FBD">
        <w:rPr>
          <w:rFonts w:ascii="Times New Roman" w:eastAsia="Times New Roman" w:hAnsi="Times New Roman" w:cs="Times New Roman"/>
          <w:kern w:val="0"/>
          <w14:ligatures w14:val="none"/>
        </w:rPr>
        <w:t xml:space="preserve"> across government agencies, universities, healthcare institutions, and nonprofit organizations. Effective oversight and financial governance are therefore critical to ensure responsible stewardship of federal funds, minimize audit findings, and maintain public trust.</w:t>
      </w:r>
    </w:p>
    <w:p w14:paraId="2864397E" w14:textId="77777777" w:rsidR="00990FBD" w:rsidRPr="00990FBD" w:rsidRDefault="00990FBD" w:rsidP="00990FBD">
      <w:pPr>
        <w:spacing w:before="100" w:beforeAutospacing="1" w:after="100" w:afterAutospacing="1"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The petitioner developed this framework to help organizations:</w:t>
      </w:r>
    </w:p>
    <w:p w14:paraId="1587FF4F" w14:textId="77777777" w:rsidR="006B552A" w:rsidRDefault="00990FBD" w:rsidP="006B55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B552A">
        <w:rPr>
          <w:rFonts w:ascii="Times New Roman" w:eastAsia="Times New Roman" w:hAnsi="Times New Roman" w:cs="Times New Roman"/>
          <w:kern w:val="0"/>
          <w14:ligatures w14:val="none"/>
        </w:rPr>
        <w:t>Strengthen</w:t>
      </w:r>
      <w:proofErr w:type="gramEnd"/>
      <w:r w:rsidRPr="006B552A">
        <w:rPr>
          <w:rFonts w:ascii="Times New Roman" w:eastAsia="Times New Roman" w:hAnsi="Times New Roman" w:cs="Times New Roman"/>
          <w:kern w:val="0"/>
          <w14:ligatures w14:val="none"/>
        </w:rPr>
        <w:t xml:space="preserve"> financial governance structures</w:t>
      </w:r>
    </w:p>
    <w:p w14:paraId="6B595530" w14:textId="77777777" w:rsidR="006B552A" w:rsidRDefault="00990FBD" w:rsidP="006B55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552A">
        <w:rPr>
          <w:rFonts w:ascii="Times New Roman" w:eastAsia="Times New Roman" w:hAnsi="Times New Roman" w:cs="Times New Roman"/>
          <w:kern w:val="0"/>
          <w14:ligatures w14:val="none"/>
        </w:rPr>
        <w:t>Improve internal control environments</w:t>
      </w:r>
    </w:p>
    <w:p w14:paraId="4E8F0FDC" w14:textId="77777777" w:rsidR="006B552A" w:rsidRDefault="00990FBD" w:rsidP="006B55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552A">
        <w:rPr>
          <w:rFonts w:ascii="Times New Roman" w:eastAsia="Times New Roman" w:hAnsi="Times New Roman" w:cs="Times New Roman"/>
          <w:kern w:val="0"/>
          <w14:ligatures w14:val="none"/>
        </w:rPr>
        <w:t>Ensure compliance with federal grant regulations</w:t>
      </w:r>
    </w:p>
    <w:p w14:paraId="5CF1AAD0" w14:textId="77777777" w:rsidR="006B552A" w:rsidRDefault="00990FBD" w:rsidP="006B55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B552A">
        <w:rPr>
          <w:rFonts w:ascii="Times New Roman" w:eastAsia="Times New Roman" w:hAnsi="Times New Roman" w:cs="Times New Roman"/>
          <w:kern w:val="0"/>
          <w14:ligatures w14:val="none"/>
        </w:rPr>
        <w:t>Achieve</w:t>
      </w:r>
      <w:proofErr w:type="gramEnd"/>
      <w:r w:rsidRPr="006B552A">
        <w:rPr>
          <w:rFonts w:ascii="Times New Roman" w:eastAsia="Times New Roman" w:hAnsi="Times New Roman" w:cs="Times New Roman"/>
          <w:kern w:val="0"/>
          <w14:ligatures w14:val="none"/>
        </w:rPr>
        <w:t xml:space="preserve"> higher levels of audit readiness</w:t>
      </w:r>
    </w:p>
    <w:p w14:paraId="27FE5BC9" w14:textId="1FAD786D" w:rsidR="00990FBD" w:rsidRPr="006B552A" w:rsidRDefault="00990FBD" w:rsidP="006B55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552A">
        <w:rPr>
          <w:rFonts w:ascii="Times New Roman" w:eastAsia="Times New Roman" w:hAnsi="Times New Roman" w:cs="Times New Roman"/>
          <w:kern w:val="0"/>
          <w14:ligatures w14:val="none"/>
        </w:rPr>
        <w:t>Reduce financial and regulatory risk associated with federal funding</w:t>
      </w:r>
    </w:p>
    <w:p w14:paraId="6413ECA8" w14:textId="77777777" w:rsidR="00990FBD" w:rsidRPr="00990FBD" w:rsidRDefault="00990FBD" w:rsidP="006B552A">
      <w:pPr>
        <w:spacing w:before="100" w:beforeAutospacing="1" w:after="100" w:afterAutospacing="1" w:line="240" w:lineRule="auto"/>
        <w:jc w:val="both"/>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 xml:space="preserve">By improving compliance and oversight in federally funded programs, this framework contributes directly to the </w:t>
      </w:r>
      <w:r w:rsidRPr="00990FBD">
        <w:rPr>
          <w:rFonts w:ascii="Times New Roman" w:eastAsia="Times New Roman" w:hAnsi="Times New Roman" w:cs="Times New Roman"/>
          <w:b/>
          <w:bCs/>
          <w:kern w:val="0"/>
          <w14:ligatures w14:val="none"/>
        </w:rPr>
        <w:t>national interest of the United States</w:t>
      </w:r>
      <w:r w:rsidRPr="00990FBD">
        <w:rPr>
          <w:rFonts w:ascii="Times New Roman" w:eastAsia="Times New Roman" w:hAnsi="Times New Roman" w:cs="Times New Roman"/>
          <w:kern w:val="0"/>
          <w14:ligatures w14:val="none"/>
        </w:rPr>
        <w:t xml:space="preserve"> by protecting taxpayer resources and strengthening accountability in federally funded initiatives.</w:t>
      </w:r>
    </w:p>
    <w:p w14:paraId="7EA7FE4B" w14:textId="77777777" w:rsidR="00990FBD" w:rsidRPr="00990FBD" w:rsidRDefault="00990FBD" w:rsidP="00990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0FBD">
        <w:rPr>
          <w:rFonts w:ascii="Times New Roman" w:eastAsia="Times New Roman" w:hAnsi="Times New Roman" w:cs="Times New Roman"/>
          <w:b/>
          <w:bCs/>
          <w:kern w:val="36"/>
          <w:sz w:val="48"/>
          <w:szCs w:val="48"/>
          <w14:ligatures w14:val="none"/>
        </w:rPr>
        <w:t>2. Core Audit Readiness Framework</w:t>
      </w:r>
    </w:p>
    <w:p w14:paraId="0DD38972" w14:textId="77777777" w:rsidR="00990FBD" w:rsidRPr="00990FBD" w:rsidRDefault="00990FBD" w:rsidP="00990FBD">
      <w:pPr>
        <w:spacing w:before="100" w:beforeAutospacing="1" w:after="100" w:afterAutospacing="1"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 xml:space="preserve">The framework provides a </w:t>
      </w:r>
      <w:r w:rsidRPr="00990FBD">
        <w:rPr>
          <w:rFonts w:ascii="Times New Roman" w:eastAsia="Times New Roman" w:hAnsi="Times New Roman" w:cs="Times New Roman"/>
          <w:b/>
          <w:bCs/>
          <w:kern w:val="0"/>
          <w14:ligatures w14:val="none"/>
        </w:rPr>
        <w:t>structured and replicable methodology</w:t>
      </w:r>
      <w:r w:rsidRPr="00990FBD">
        <w:rPr>
          <w:rFonts w:ascii="Times New Roman" w:eastAsia="Times New Roman" w:hAnsi="Times New Roman" w:cs="Times New Roman"/>
          <w:kern w:val="0"/>
          <w14:ligatures w14:val="none"/>
        </w:rPr>
        <w:t xml:space="preserve"> for strengthening governance, financial management, and compliance monitoring in organizations receiving federal awards.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2"/>
        <w:gridCol w:w="1771"/>
        <w:gridCol w:w="2112"/>
        <w:gridCol w:w="2069"/>
        <w:gridCol w:w="1826"/>
      </w:tblGrid>
      <w:tr w:rsidR="00990FBD" w:rsidRPr="00990FBD" w14:paraId="0DE99DBE" w14:textId="77777777" w:rsidTr="006B552A">
        <w:trPr>
          <w:tblHeader/>
          <w:tblCellSpacing w:w="15" w:type="dxa"/>
        </w:trPr>
        <w:tc>
          <w:tcPr>
            <w:tcW w:w="0" w:type="auto"/>
            <w:vAlign w:val="center"/>
            <w:hideMark/>
          </w:tcPr>
          <w:p w14:paraId="074C9A2F" w14:textId="77777777" w:rsidR="00990FBD" w:rsidRPr="00990FBD" w:rsidRDefault="00990FBD" w:rsidP="00990FBD">
            <w:pPr>
              <w:spacing w:after="0" w:line="240" w:lineRule="auto"/>
              <w:jc w:val="center"/>
              <w:rPr>
                <w:rFonts w:ascii="Times New Roman" w:eastAsia="Times New Roman" w:hAnsi="Times New Roman" w:cs="Times New Roman"/>
                <w:b/>
                <w:bCs/>
                <w:kern w:val="0"/>
                <w14:ligatures w14:val="none"/>
              </w:rPr>
            </w:pPr>
            <w:r w:rsidRPr="00990FBD">
              <w:rPr>
                <w:rFonts w:ascii="Times New Roman" w:eastAsia="Times New Roman" w:hAnsi="Times New Roman" w:cs="Times New Roman"/>
                <w:b/>
                <w:bCs/>
                <w:kern w:val="0"/>
                <w14:ligatures w14:val="none"/>
              </w:rPr>
              <w:t>Area</w:t>
            </w:r>
          </w:p>
        </w:tc>
        <w:tc>
          <w:tcPr>
            <w:tcW w:w="0" w:type="auto"/>
            <w:vAlign w:val="center"/>
            <w:hideMark/>
          </w:tcPr>
          <w:p w14:paraId="20C3A04B" w14:textId="77777777" w:rsidR="00990FBD" w:rsidRPr="00990FBD" w:rsidRDefault="00990FBD" w:rsidP="00990FBD">
            <w:pPr>
              <w:spacing w:after="0" w:line="240" w:lineRule="auto"/>
              <w:jc w:val="center"/>
              <w:rPr>
                <w:rFonts w:ascii="Times New Roman" w:eastAsia="Times New Roman" w:hAnsi="Times New Roman" w:cs="Times New Roman"/>
                <w:b/>
                <w:bCs/>
                <w:kern w:val="0"/>
                <w14:ligatures w14:val="none"/>
              </w:rPr>
            </w:pPr>
            <w:r w:rsidRPr="00990FBD">
              <w:rPr>
                <w:rFonts w:ascii="Times New Roman" w:eastAsia="Times New Roman" w:hAnsi="Times New Roman" w:cs="Times New Roman"/>
                <w:b/>
                <w:bCs/>
                <w:kern w:val="0"/>
                <w14:ligatures w14:val="none"/>
              </w:rPr>
              <w:t>Audit Readiness Action</w:t>
            </w:r>
          </w:p>
        </w:tc>
        <w:tc>
          <w:tcPr>
            <w:tcW w:w="0" w:type="auto"/>
            <w:vAlign w:val="center"/>
            <w:hideMark/>
          </w:tcPr>
          <w:p w14:paraId="0BE91EF6" w14:textId="77777777" w:rsidR="00990FBD" w:rsidRPr="00990FBD" w:rsidRDefault="00990FBD" w:rsidP="00990FBD">
            <w:pPr>
              <w:spacing w:after="0" w:line="240" w:lineRule="auto"/>
              <w:jc w:val="center"/>
              <w:rPr>
                <w:rFonts w:ascii="Times New Roman" w:eastAsia="Times New Roman" w:hAnsi="Times New Roman" w:cs="Times New Roman"/>
                <w:b/>
                <w:bCs/>
                <w:kern w:val="0"/>
                <w14:ligatures w14:val="none"/>
              </w:rPr>
            </w:pPr>
            <w:r w:rsidRPr="00990FBD">
              <w:rPr>
                <w:rFonts w:ascii="Times New Roman" w:eastAsia="Times New Roman" w:hAnsi="Times New Roman" w:cs="Times New Roman"/>
                <w:b/>
                <w:bCs/>
                <w:kern w:val="0"/>
                <w14:ligatures w14:val="none"/>
              </w:rPr>
              <w:t>Key Checklist Items</w:t>
            </w:r>
          </w:p>
        </w:tc>
        <w:tc>
          <w:tcPr>
            <w:tcW w:w="0" w:type="auto"/>
            <w:vAlign w:val="center"/>
            <w:hideMark/>
          </w:tcPr>
          <w:p w14:paraId="09558250" w14:textId="77777777" w:rsidR="00990FBD" w:rsidRPr="00990FBD" w:rsidRDefault="00990FBD" w:rsidP="00990FBD">
            <w:pPr>
              <w:spacing w:after="0" w:line="240" w:lineRule="auto"/>
              <w:jc w:val="center"/>
              <w:rPr>
                <w:rFonts w:ascii="Times New Roman" w:eastAsia="Times New Roman" w:hAnsi="Times New Roman" w:cs="Times New Roman"/>
                <w:b/>
                <w:bCs/>
                <w:kern w:val="0"/>
                <w14:ligatures w14:val="none"/>
              </w:rPr>
            </w:pPr>
            <w:r w:rsidRPr="00990FBD">
              <w:rPr>
                <w:rFonts w:ascii="Times New Roman" w:eastAsia="Times New Roman" w:hAnsi="Times New Roman" w:cs="Times New Roman"/>
                <w:b/>
                <w:bCs/>
                <w:kern w:val="0"/>
                <w14:ligatures w14:val="none"/>
              </w:rPr>
              <w:t>Evidence / Documentation</w:t>
            </w:r>
          </w:p>
        </w:tc>
        <w:tc>
          <w:tcPr>
            <w:tcW w:w="0" w:type="auto"/>
            <w:vAlign w:val="center"/>
            <w:hideMark/>
          </w:tcPr>
          <w:p w14:paraId="3074DA5B" w14:textId="77777777" w:rsidR="00990FBD" w:rsidRPr="00990FBD" w:rsidRDefault="00990FBD" w:rsidP="00990FBD">
            <w:pPr>
              <w:spacing w:after="0" w:line="240" w:lineRule="auto"/>
              <w:jc w:val="center"/>
              <w:rPr>
                <w:rFonts w:ascii="Times New Roman" w:eastAsia="Times New Roman" w:hAnsi="Times New Roman" w:cs="Times New Roman"/>
                <w:b/>
                <w:bCs/>
                <w:kern w:val="0"/>
                <w14:ligatures w14:val="none"/>
              </w:rPr>
            </w:pPr>
            <w:r w:rsidRPr="00990FBD">
              <w:rPr>
                <w:rFonts w:ascii="Times New Roman" w:eastAsia="Times New Roman" w:hAnsi="Times New Roman" w:cs="Times New Roman"/>
                <w:b/>
                <w:bCs/>
                <w:kern w:val="0"/>
                <w14:ligatures w14:val="none"/>
              </w:rPr>
              <w:t>Measurable Outcomes / Impact</w:t>
            </w:r>
          </w:p>
        </w:tc>
      </w:tr>
      <w:tr w:rsidR="00990FBD" w:rsidRPr="00990FBD" w14:paraId="71AE1968" w14:textId="77777777" w:rsidTr="006B552A">
        <w:trPr>
          <w:tblCellSpacing w:w="15" w:type="dxa"/>
        </w:trPr>
        <w:tc>
          <w:tcPr>
            <w:tcW w:w="0" w:type="auto"/>
            <w:vAlign w:val="center"/>
            <w:hideMark/>
          </w:tcPr>
          <w:p w14:paraId="6C283C4B" w14:textId="77777777" w:rsid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Governance &amp; Oversight</w:t>
            </w:r>
          </w:p>
          <w:p w14:paraId="6ED7BE37" w14:textId="77777777" w:rsidR="008951D1" w:rsidRDefault="008951D1" w:rsidP="008951D1">
            <w:pPr>
              <w:rPr>
                <w:rFonts w:ascii="Times New Roman" w:eastAsia="Times New Roman" w:hAnsi="Times New Roman" w:cs="Times New Roman"/>
                <w:kern w:val="0"/>
                <w14:ligatures w14:val="none"/>
              </w:rPr>
            </w:pPr>
          </w:p>
          <w:p w14:paraId="56553CD7" w14:textId="77777777" w:rsidR="008951D1" w:rsidRPr="008951D1" w:rsidRDefault="008951D1" w:rsidP="008951D1">
            <w:pPr>
              <w:rPr>
                <w:rFonts w:ascii="Times New Roman" w:eastAsia="Times New Roman" w:hAnsi="Times New Roman" w:cs="Times New Roman"/>
              </w:rPr>
            </w:pPr>
          </w:p>
        </w:tc>
        <w:tc>
          <w:tcPr>
            <w:tcW w:w="0" w:type="auto"/>
            <w:vAlign w:val="center"/>
            <w:hideMark/>
          </w:tcPr>
          <w:p w14:paraId="1F0BF480"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Establish governance structures aligned with federal grant requirements</w:t>
            </w:r>
          </w:p>
        </w:tc>
        <w:tc>
          <w:tcPr>
            <w:tcW w:w="0" w:type="auto"/>
            <w:vAlign w:val="center"/>
            <w:hideMark/>
          </w:tcPr>
          <w:p w14:paraId="28AF97A9"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Documented policies approved; organizational roles defined; periodic risk assessments conducted</w:t>
            </w:r>
          </w:p>
        </w:tc>
        <w:tc>
          <w:tcPr>
            <w:tcW w:w="0" w:type="auto"/>
            <w:vAlign w:val="center"/>
            <w:hideMark/>
          </w:tcPr>
          <w:p w14:paraId="7359FAF8"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Policy manuals; governance charters; board or management meeting minutes</w:t>
            </w:r>
          </w:p>
        </w:tc>
        <w:tc>
          <w:tcPr>
            <w:tcW w:w="0" w:type="auto"/>
            <w:vAlign w:val="center"/>
            <w:hideMark/>
          </w:tcPr>
          <w:p w14:paraId="5DFDEE5C"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Reduced governance gaps; faster identification of compliance risks</w:t>
            </w:r>
          </w:p>
        </w:tc>
      </w:tr>
      <w:tr w:rsidR="00990FBD" w:rsidRPr="00990FBD" w14:paraId="34527019" w14:textId="77777777" w:rsidTr="006B552A">
        <w:trPr>
          <w:tblCellSpacing w:w="15" w:type="dxa"/>
        </w:trPr>
        <w:tc>
          <w:tcPr>
            <w:tcW w:w="0" w:type="auto"/>
            <w:vAlign w:val="center"/>
            <w:hideMark/>
          </w:tcPr>
          <w:p w14:paraId="3F11B0C1"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lastRenderedPageBreak/>
              <w:t>Financial Management</w:t>
            </w:r>
          </w:p>
        </w:tc>
        <w:tc>
          <w:tcPr>
            <w:tcW w:w="0" w:type="auto"/>
            <w:vAlign w:val="center"/>
            <w:hideMark/>
          </w:tcPr>
          <w:p w14:paraId="24B6AD43"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Ensure accurate accounting, cost allowability, and budget compliance</w:t>
            </w:r>
          </w:p>
        </w:tc>
        <w:tc>
          <w:tcPr>
            <w:tcW w:w="0" w:type="auto"/>
            <w:vAlign w:val="center"/>
            <w:hideMark/>
          </w:tcPr>
          <w:p w14:paraId="0F21B251"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Chart of accounts aligned with grant reporting; allowable cost validation; budget reconciliation procedures</w:t>
            </w:r>
          </w:p>
        </w:tc>
        <w:tc>
          <w:tcPr>
            <w:tcW w:w="0" w:type="auto"/>
            <w:vAlign w:val="center"/>
            <w:hideMark/>
          </w:tcPr>
          <w:p w14:paraId="1AC29223"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General ledger reports; budget monitoring reports; grant expenditure documentation</w:t>
            </w:r>
          </w:p>
        </w:tc>
        <w:tc>
          <w:tcPr>
            <w:tcW w:w="0" w:type="auto"/>
            <w:vAlign w:val="center"/>
            <w:hideMark/>
          </w:tcPr>
          <w:p w14:paraId="356D11D9"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Improved budget discipline; reduced unallowable cost findings</w:t>
            </w:r>
          </w:p>
        </w:tc>
      </w:tr>
      <w:tr w:rsidR="00990FBD" w:rsidRPr="00990FBD" w14:paraId="0BE6335B" w14:textId="77777777" w:rsidTr="006B552A">
        <w:trPr>
          <w:tblCellSpacing w:w="15" w:type="dxa"/>
        </w:trPr>
        <w:tc>
          <w:tcPr>
            <w:tcW w:w="0" w:type="auto"/>
            <w:vAlign w:val="center"/>
            <w:hideMark/>
          </w:tcPr>
          <w:p w14:paraId="59A346BF"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Internal Controls</w:t>
            </w:r>
          </w:p>
        </w:tc>
        <w:tc>
          <w:tcPr>
            <w:tcW w:w="0" w:type="auto"/>
            <w:vAlign w:val="center"/>
            <w:hideMark/>
          </w:tcPr>
          <w:p w14:paraId="67DDFB28"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Implement effective transaction approval, monitoring, and reconciliation controls</w:t>
            </w:r>
          </w:p>
        </w:tc>
        <w:tc>
          <w:tcPr>
            <w:tcW w:w="0" w:type="auto"/>
            <w:vAlign w:val="center"/>
            <w:hideMark/>
          </w:tcPr>
          <w:p w14:paraId="49F90B57"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Internal control self-assessment completed; approval workflows documented; reconciliations performed regularly</w:t>
            </w:r>
          </w:p>
        </w:tc>
        <w:tc>
          <w:tcPr>
            <w:tcW w:w="0" w:type="auto"/>
            <w:vAlign w:val="center"/>
            <w:hideMark/>
          </w:tcPr>
          <w:p w14:paraId="7234F254"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Internal control matrices; approval logs; reconciliation reports</w:t>
            </w:r>
          </w:p>
        </w:tc>
        <w:tc>
          <w:tcPr>
            <w:tcW w:w="0" w:type="auto"/>
            <w:vAlign w:val="center"/>
            <w:hideMark/>
          </w:tcPr>
          <w:p w14:paraId="744165AA"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Increased early detection of errors and irregularities; fewer audit adjustments</w:t>
            </w:r>
          </w:p>
        </w:tc>
      </w:tr>
      <w:tr w:rsidR="00990FBD" w:rsidRPr="00990FBD" w14:paraId="537D6E79" w14:textId="77777777" w:rsidTr="006B552A">
        <w:trPr>
          <w:tblCellSpacing w:w="15" w:type="dxa"/>
        </w:trPr>
        <w:tc>
          <w:tcPr>
            <w:tcW w:w="0" w:type="auto"/>
            <w:vAlign w:val="center"/>
            <w:hideMark/>
          </w:tcPr>
          <w:p w14:paraId="194CE2A2"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Compliance with Federal Requirements</w:t>
            </w:r>
          </w:p>
        </w:tc>
        <w:tc>
          <w:tcPr>
            <w:tcW w:w="0" w:type="auto"/>
            <w:vAlign w:val="center"/>
            <w:hideMark/>
          </w:tcPr>
          <w:p w14:paraId="359F19A6"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Strengthen procurement compliance and subrecipient monitoring</w:t>
            </w:r>
          </w:p>
        </w:tc>
        <w:tc>
          <w:tcPr>
            <w:tcW w:w="0" w:type="auto"/>
            <w:vAlign w:val="center"/>
            <w:hideMark/>
          </w:tcPr>
          <w:p w14:paraId="33A7C302"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 xml:space="preserve">Competitive </w:t>
            </w:r>
            <w:proofErr w:type="gramStart"/>
            <w:r w:rsidRPr="00990FBD">
              <w:rPr>
                <w:rFonts w:ascii="Times New Roman" w:eastAsia="Times New Roman" w:hAnsi="Times New Roman" w:cs="Times New Roman"/>
                <w:kern w:val="0"/>
                <w14:ligatures w14:val="none"/>
              </w:rPr>
              <w:t>procurement documentation</w:t>
            </w:r>
            <w:proofErr w:type="gramEnd"/>
            <w:r w:rsidRPr="00990FBD">
              <w:rPr>
                <w:rFonts w:ascii="Times New Roman" w:eastAsia="Times New Roman" w:hAnsi="Times New Roman" w:cs="Times New Roman"/>
                <w:kern w:val="0"/>
                <w14:ligatures w14:val="none"/>
              </w:rPr>
              <w:t xml:space="preserve"> maintained; subrecipient monitoring performed; federal reporting deadlines tracked</w:t>
            </w:r>
          </w:p>
        </w:tc>
        <w:tc>
          <w:tcPr>
            <w:tcW w:w="0" w:type="auto"/>
            <w:vAlign w:val="center"/>
            <w:hideMark/>
          </w:tcPr>
          <w:p w14:paraId="45F0E510"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Procurement documentation; subrecipient monitoring reports; federal reporting submissions</w:t>
            </w:r>
          </w:p>
        </w:tc>
        <w:tc>
          <w:tcPr>
            <w:tcW w:w="0" w:type="auto"/>
            <w:vAlign w:val="center"/>
            <w:hideMark/>
          </w:tcPr>
          <w:p w14:paraId="45907FA3"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Improved compliance with procurement regulations and reporting requirements</w:t>
            </w:r>
          </w:p>
        </w:tc>
      </w:tr>
      <w:tr w:rsidR="00990FBD" w:rsidRPr="00990FBD" w14:paraId="584C0CB9" w14:textId="77777777" w:rsidTr="006B552A">
        <w:trPr>
          <w:tblCellSpacing w:w="15" w:type="dxa"/>
        </w:trPr>
        <w:tc>
          <w:tcPr>
            <w:tcW w:w="0" w:type="auto"/>
            <w:vAlign w:val="center"/>
            <w:hideMark/>
          </w:tcPr>
          <w:p w14:paraId="0E040522"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Audit Preparation</w:t>
            </w:r>
          </w:p>
        </w:tc>
        <w:tc>
          <w:tcPr>
            <w:tcW w:w="0" w:type="auto"/>
            <w:vAlign w:val="center"/>
            <w:hideMark/>
          </w:tcPr>
          <w:p w14:paraId="4B458F6A"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Establish structured audit readiness processes</w:t>
            </w:r>
          </w:p>
        </w:tc>
        <w:tc>
          <w:tcPr>
            <w:tcW w:w="0" w:type="auto"/>
            <w:vAlign w:val="center"/>
            <w:hideMark/>
          </w:tcPr>
          <w:p w14:paraId="469BB9D6"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 xml:space="preserve">Centralized audit documentation </w:t>
            </w:r>
            <w:proofErr w:type="gramStart"/>
            <w:r w:rsidRPr="00990FBD">
              <w:rPr>
                <w:rFonts w:ascii="Times New Roman" w:eastAsia="Times New Roman" w:hAnsi="Times New Roman" w:cs="Times New Roman"/>
                <w:kern w:val="0"/>
                <w14:ligatures w14:val="none"/>
              </w:rPr>
              <w:t>repository;</w:t>
            </w:r>
            <w:proofErr w:type="gramEnd"/>
            <w:r w:rsidRPr="00990FBD">
              <w:rPr>
                <w:rFonts w:ascii="Times New Roman" w:eastAsia="Times New Roman" w:hAnsi="Times New Roman" w:cs="Times New Roman"/>
                <w:kern w:val="0"/>
                <w14:ligatures w14:val="none"/>
              </w:rPr>
              <w:t xml:space="preserve"> pre-audit reviews conducted; staff trained on compliance procedures</w:t>
            </w:r>
          </w:p>
        </w:tc>
        <w:tc>
          <w:tcPr>
            <w:tcW w:w="0" w:type="auto"/>
            <w:vAlign w:val="center"/>
            <w:hideMark/>
          </w:tcPr>
          <w:p w14:paraId="5F3528E6"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Audit files; internal pre-audit review reports; training records</w:t>
            </w:r>
          </w:p>
        </w:tc>
        <w:tc>
          <w:tcPr>
            <w:tcW w:w="0" w:type="auto"/>
            <w:vAlign w:val="center"/>
            <w:hideMark/>
          </w:tcPr>
          <w:p w14:paraId="156ED773"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Reduced audit cycle time; improved staff readiness</w:t>
            </w:r>
          </w:p>
        </w:tc>
      </w:tr>
      <w:tr w:rsidR="00990FBD" w:rsidRPr="00990FBD" w14:paraId="05E5A7FE" w14:textId="77777777" w:rsidTr="006B552A">
        <w:trPr>
          <w:tblCellSpacing w:w="15" w:type="dxa"/>
        </w:trPr>
        <w:tc>
          <w:tcPr>
            <w:tcW w:w="0" w:type="auto"/>
            <w:vAlign w:val="center"/>
            <w:hideMark/>
          </w:tcPr>
          <w:p w14:paraId="78910D04"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Continuous Improvement</w:t>
            </w:r>
          </w:p>
        </w:tc>
        <w:tc>
          <w:tcPr>
            <w:tcW w:w="0" w:type="auto"/>
            <w:vAlign w:val="center"/>
            <w:hideMark/>
          </w:tcPr>
          <w:p w14:paraId="6FAD3D4C"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Implement corrective action tracking and performance monitoring</w:t>
            </w:r>
          </w:p>
        </w:tc>
        <w:tc>
          <w:tcPr>
            <w:tcW w:w="0" w:type="auto"/>
            <w:vAlign w:val="center"/>
            <w:hideMark/>
          </w:tcPr>
          <w:p w14:paraId="64158DB5"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Corrective action plans documented; lessons learned recorded; KPI dashboards maintained</w:t>
            </w:r>
          </w:p>
        </w:tc>
        <w:tc>
          <w:tcPr>
            <w:tcW w:w="0" w:type="auto"/>
            <w:vAlign w:val="center"/>
            <w:hideMark/>
          </w:tcPr>
          <w:p w14:paraId="29EA57C2"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Corrective action plan logs; performance dashboards; compliance reports</w:t>
            </w:r>
          </w:p>
        </w:tc>
        <w:tc>
          <w:tcPr>
            <w:tcW w:w="0" w:type="auto"/>
            <w:vAlign w:val="center"/>
            <w:hideMark/>
          </w:tcPr>
          <w:p w14:paraId="1E3582BF" w14:textId="77777777" w:rsidR="00990FBD" w:rsidRPr="00990FBD" w:rsidRDefault="00990FBD" w:rsidP="00990FBD">
            <w:pPr>
              <w:spacing w:after="0"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Reduction in repeat audit findings; improved organizational accountability</w:t>
            </w:r>
          </w:p>
        </w:tc>
      </w:tr>
    </w:tbl>
    <w:p w14:paraId="018444A5" w14:textId="77777777" w:rsidR="00E2658E" w:rsidRDefault="00E2658E" w:rsidP="00990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9840BD0" w14:textId="1B936B33" w:rsidR="00990FBD" w:rsidRPr="00990FBD" w:rsidRDefault="00990FBD" w:rsidP="00990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0FBD">
        <w:rPr>
          <w:rFonts w:ascii="Times New Roman" w:eastAsia="Times New Roman" w:hAnsi="Times New Roman" w:cs="Times New Roman"/>
          <w:b/>
          <w:bCs/>
          <w:kern w:val="36"/>
          <w:sz w:val="48"/>
          <w:szCs w:val="48"/>
          <w14:ligatures w14:val="none"/>
        </w:rPr>
        <w:lastRenderedPageBreak/>
        <w:t>3. Quantifiable Governance and Compliance Impact</w:t>
      </w:r>
    </w:p>
    <w:p w14:paraId="69C60D51" w14:textId="77777777" w:rsidR="00990FBD" w:rsidRPr="00990FBD" w:rsidRDefault="00990FBD" w:rsidP="00990FBD">
      <w:pPr>
        <w:spacing w:before="100" w:beforeAutospacing="1" w:after="100" w:afterAutospacing="1"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When implemented effectively, the framework enables measurable improvements across multiple governance and audit dimensions.</w:t>
      </w:r>
    </w:p>
    <w:p w14:paraId="6DF9C5B3" w14:textId="77777777" w:rsidR="00990FBD" w:rsidRPr="00990FBD" w:rsidRDefault="00990FBD" w:rsidP="00990FBD">
      <w:pPr>
        <w:spacing w:before="100" w:beforeAutospacing="1" w:after="100" w:afterAutospacing="1"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Examples of tracked performance indicators include:</w:t>
      </w:r>
    </w:p>
    <w:p w14:paraId="6726F7DA" w14:textId="77777777" w:rsidR="006B552A" w:rsidRDefault="00990FBD" w:rsidP="006B55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552A">
        <w:rPr>
          <w:rFonts w:ascii="Times New Roman" w:eastAsia="Times New Roman" w:hAnsi="Times New Roman" w:cs="Times New Roman"/>
          <w:kern w:val="0"/>
          <w14:ligatures w14:val="none"/>
        </w:rPr>
        <w:t>Reduction in audit findings and repeat findings</w:t>
      </w:r>
    </w:p>
    <w:p w14:paraId="0C4E3EC1" w14:textId="77777777" w:rsidR="006B552A" w:rsidRDefault="00990FBD" w:rsidP="006B55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552A">
        <w:rPr>
          <w:rFonts w:ascii="Times New Roman" w:eastAsia="Times New Roman" w:hAnsi="Times New Roman" w:cs="Times New Roman"/>
          <w:kern w:val="0"/>
          <w14:ligatures w14:val="none"/>
        </w:rPr>
        <w:t>Improved accuracy of financial reporting for federal awards</w:t>
      </w:r>
    </w:p>
    <w:p w14:paraId="6D2D8365" w14:textId="77777777" w:rsidR="006B552A" w:rsidRDefault="00990FBD" w:rsidP="006B55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552A">
        <w:rPr>
          <w:rFonts w:ascii="Times New Roman" w:eastAsia="Times New Roman" w:hAnsi="Times New Roman" w:cs="Times New Roman"/>
          <w:kern w:val="0"/>
          <w14:ligatures w14:val="none"/>
        </w:rPr>
        <w:t>Faster resolution of audit recommendations</w:t>
      </w:r>
    </w:p>
    <w:p w14:paraId="07951956" w14:textId="77777777" w:rsidR="006B552A" w:rsidRDefault="00990FBD" w:rsidP="006B55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552A">
        <w:rPr>
          <w:rFonts w:ascii="Times New Roman" w:eastAsia="Times New Roman" w:hAnsi="Times New Roman" w:cs="Times New Roman"/>
          <w:kern w:val="0"/>
          <w14:ligatures w14:val="none"/>
        </w:rPr>
        <w:t>Increased compliance with procurement and subrecipient monitoring requirements</w:t>
      </w:r>
    </w:p>
    <w:p w14:paraId="222245BC" w14:textId="2D2BE24B" w:rsidR="00990FBD" w:rsidRPr="006B552A" w:rsidRDefault="00990FBD" w:rsidP="006B55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552A">
        <w:rPr>
          <w:rFonts w:ascii="Times New Roman" w:eastAsia="Times New Roman" w:hAnsi="Times New Roman" w:cs="Times New Roman"/>
          <w:kern w:val="0"/>
          <w14:ligatures w14:val="none"/>
        </w:rPr>
        <w:t>Reduced risk of questioned costs or grant repayment obligations</w:t>
      </w:r>
    </w:p>
    <w:p w14:paraId="17DA11BE" w14:textId="77777777" w:rsidR="00990FBD" w:rsidRPr="00990FBD" w:rsidRDefault="00990FBD" w:rsidP="00990FBD">
      <w:pPr>
        <w:spacing w:before="100" w:beforeAutospacing="1" w:after="100" w:afterAutospacing="1"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These improvements strengthen the integrity and effectiveness of federally funded programs.</w:t>
      </w:r>
    </w:p>
    <w:p w14:paraId="0174C63B" w14:textId="77777777" w:rsidR="00990FBD" w:rsidRPr="00990FBD" w:rsidRDefault="00990FBD" w:rsidP="00990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0FBD">
        <w:rPr>
          <w:rFonts w:ascii="Times New Roman" w:eastAsia="Times New Roman" w:hAnsi="Times New Roman" w:cs="Times New Roman"/>
          <w:b/>
          <w:bCs/>
          <w:kern w:val="36"/>
          <w:sz w:val="48"/>
          <w:szCs w:val="48"/>
          <w14:ligatures w14:val="none"/>
        </w:rPr>
        <w:t>4. National Importance of Audit Readiness in Federal Programs</w:t>
      </w:r>
    </w:p>
    <w:p w14:paraId="77E578AE" w14:textId="77777777" w:rsidR="00990FBD" w:rsidRPr="00990FBD" w:rsidRDefault="00990FBD" w:rsidP="00DA6E42">
      <w:pPr>
        <w:spacing w:before="100" w:beforeAutospacing="1" w:after="100" w:afterAutospacing="1" w:line="240" w:lineRule="auto"/>
        <w:jc w:val="both"/>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Organizations receiving federal funding must comply with complex financial and regulatory requirements to ensure proper stewardship of public funds.</w:t>
      </w:r>
    </w:p>
    <w:p w14:paraId="3953B4B5" w14:textId="77777777" w:rsidR="00990FBD" w:rsidRPr="00990FBD" w:rsidRDefault="00990FBD" w:rsidP="00990FBD">
      <w:pPr>
        <w:spacing w:before="100" w:beforeAutospacing="1" w:after="100" w:afterAutospacing="1"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Weak governance or poor financial controls can lead to:</w:t>
      </w:r>
    </w:p>
    <w:p w14:paraId="788973C1" w14:textId="77777777" w:rsidR="005C7B09" w:rsidRDefault="00990FBD" w:rsidP="005C7B09">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Significant questioned costs in federal audits</w:t>
      </w:r>
    </w:p>
    <w:p w14:paraId="5C9A1967" w14:textId="77777777" w:rsidR="005C7B09" w:rsidRDefault="00990FBD" w:rsidP="005C7B09">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Delays in program execution and fund utilization</w:t>
      </w:r>
    </w:p>
    <w:p w14:paraId="1D52F278" w14:textId="77777777" w:rsidR="005C7B09" w:rsidRDefault="00990FBD" w:rsidP="005C7B09">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Increased risk of repayment obligations or regulatory investigations</w:t>
      </w:r>
    </w:p>
    <w:p w14:paraId="5B484EC1" w14:textId="3327EA44" w:rsidR="00990FBD" w:rsidRPr="005C7B09" w:rsidRDefault="00990FBD" w:rsidP="005C7B09">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Loss of public confidence in federally funded programs</w:t>
      </w:r>
    </w:p>
    <w:p w14:paraId="00023B80" w14:textId="77777777" w:rsidR="00990FBD" w:rsidRPr="00990FBD" w:rsidRDefault="00990FBD" w:rsidP="00DA6E42">
      <w:pPr>
        <w:spacing w:before="100" w:beforeAutospacing="1" w:after="100" w:afterAutospacing="1" w:line="240" w:lineRule="auto"/>
        <w:jc w:val="both"/>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By improving financial governance and audit readiness across grant-funded organizations, the petitioner’s framework contributes to the national interest by:</w:t>
      </w:r>
    </w:p>
    <w:p w14:paraId="4F51EEA7" w14:textId="77777777" w:rsidR="005C7B09" w:rsidRDefault="00990FBD" w:rsidP="005C7B09">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Enhancing transparency in federal spending</w:t>
      </w:r>
    </w:p>
    <w:p w14:paraId="5A1904D7" w14:textId="77777777" w:rsidR="005C7B09" w:rsidRDefault="00990FBD" w:rsidP="005C7B09">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Reducing financial mismanagement risks</w:t>
      </w:r>
    </w:p>
    <w:p w14:paraId="3EE0D369" w14:textId="77777777" w:rsidR="005C7B09" w:rsidRDefault="00990FBD" w:rsidP="005C7B09">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Supporting effective oversight of public funds</w:t>
      </w:r>
    </w:p>
    <w:p w14:paraId="70B15ADD" w14:textId="04334B6A" w:rsidR="00990FBD" w:rsidRPr="005C7B09" w:rsidRDefault="00990FBD" w:rsidP="005C7B09">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Strengthening compliance across federal assistance programs</w:t>
      </w:r>
    </w:p>
    <w:p w14:paraId="180DC1C3" w14:textId="77777777" w:rsidR="00E2658E" w:rsidRDefault="00E2658E" w:rsidP="00990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01786E3" w14:textId="77777777" w:rsidR="00E2658E" w:rsidRDefault="00E2658E" w:rsidP="00990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2AA5AAA" w14:textId="62CF26FC" w:rsidR="00990FBD" w:rsidRPr="00990FBD" w:rsidRDefault="00990FBD" w:rsidP="00990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0FBD">
        <w:rPr>
          <w:rFonts w:ascii="Times New Roman" w:eastAsia="Times New Roman" w:hAnsi="Times New Roman" w:cs="Times New Roman"/>
          <w:b/>
          <w:bCs/>
          <w:kern w:val="36"/>
          <w:sz w:val="48"/>
          <w:szCs w:val="48"/>
          <w14:ligatures w14:val="none"/>
        </w:rPr>
        <w:lastRenderedPageBreak/>
        <w:t>5. Evidence Snapshot</w:t>
      </w:r>
    </w:p>
    <w:p w14:paraId="3C652332" w14:textId="77777777" w:rsidR="00990FBD" w:rsidRPr="00990FBD" w:rsidRDefault="00990FBD" w:rsidP="00DA6E42">
      <w:pPr>
        <w:spacing w:before="100" w:beforeAutospacing="1" w:after="100" w:afterAutospacing="1" w:line="240" w:lineRule="auto"/>
        <w:jc w:val="both"/>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 xml:space="preserve">This exhibit includes an </w:t>
      </w:r>
      <w:r w:rsidRPr="00990FBD">
        <w:rPr>
          <w:rFonts w:ascii="Times New Roman" w:eastAsia="Times New Roman" w:hAnsi="Times New Roman" w:cs="Times New Roman"/>
          <w:b/>
          <w:bCs/>
          <w:kern w:val="0"/>
          <w14:ligatures w14:val="none"/>
        </w:rPr>
        <w:t>illustrative audit readiness dashboard</w:t>
      </w:r>
      <w:r w:rsidRPr="00990FBD">
        <w:rPr>
          <w:rFonts w:ascii="Times New Roman" w:eastAsia="Times New Roman" w:hAnsi="Times New Roman" w:cs="Times New Roman"/>
          <w:kern w:val="0"/>
          <w14:ligatures w14:val="none"/>
        </w:rPr>
        <w:t xml:space="preserve"> demonstrating how governance, compliance, and audit metrics can be monitored in real time.</w:t>
      </w:r>
    </w:p>
    <w:p w14:paraId="0F03FD2C" w14:textId="77777777" w:rsidR="00990FBD" w:rsidRPr="00990FBD" w:rsidRDefault="00990FBD" w:rsidP="00990FBD">
      <w:pPr>
        <w:spacing w:before="100" w:beforeAutospacing="1" w:after="100" w:afterAutospacing="1" w:line="240" w:lineRule="auto"/>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Tracked indicators include:</w:t>
      </w:r>
    </w:p>
    <w:p w14:paraId="02694788" w14:textId="77777777" w:rsidR="005C7B09" w:rsidRDefault="00990FBD" w:rsidP="005C7B09">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Internal control compliance status</w:t>
      </w:r>
    </w:p>
    <w:p w14:paraId="38047615" w14:textId="77777777" w:rsidR="005C7B09" w:rsidRDefault="00990FBD" w:rsidP="005C7B09">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Federal reporting timelines</w:t>
      </w:r>
    </w:p>
    <w:p w14:paraId="257A02F8" w14:textId="77777777" w:rsidR="005C7B09" w:rsidRDefault="00990FBD" w:rsidP="005C7B09">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C7B09">
        <w:rPr>
          <w:rFonts w:ascii="Times New Roman" w:eastAsia="Times New Roman" w:hAnsi="Times New Roman" w:cs="Times New Roman"/>
          <w:kern w:val="0"/>
          <w14:ligatures w14:val="none"/>
        </w:rPr>
        <w:t>Procurement</w:t>
      </w:r>
      <w:proofErr w:type="gramEnd"/>
      <w:r w:rsidRPr="005C7B09">
        <w:rPr>
          <w:rFonts w:ascii="Times New Roman" w:eastAsia="Times New Roman" w:hAnsi="Times New Roman" w:cs="Times New Roman"/>
          <w:kern w:val="0"/>
          <w14:ligatures w14:val="none"/>
        </w:rPr>
        <w:t xml:space="preserve"> compliance metrics</w:t>
      </w:r>
    </w:p>
    <w:p w14:paraId="77A8F103" w14:textId="77777777" w:rsidR="005C7B09" w:rsidRDefault="00990FBD" w:rsidP="005C7B09">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Corrective action plan progress</w:t>
      </w:r>
    </w:p>
    <w:p w14:paraId="271449D1" w14:textId="540C51BF" w:rsidR="00990FBD" w:rsidRPr="005C7B09" w:rsidRDefault="00990FBD" w:rsidP="005C7B09">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C7B09">
        <w:rPr>
          <w:rFonts w:ascii="Times New Roman" w:eastAsia="Times New Roman" w:hAnsi="Times New Roman" w:cs="Times New Roman"/>
          <w:kern w:val="0"/>
          <w14:ligatures w14:val="none"/>
        </w:rPr>
        <w:t>Audit readiness scoring</w:t>
      </w:r>
    </w:p>
    <w:p w14:paraId="50609FAE" w14:textId="77777777" w:rsidR="00990FBD" w:rsidRPr="00990FBD" w:rsidRDefault="00990FBD" w:rsidP="00DA6E42">
      <w:pPr>
        <w:spacing w:before="100" w:beforeAutospacing="1" w:after="100" w:afterAutospacing="1" w:line="240" w:lineRule="auto"/>
        <w:jc w:val="both"/>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These dashboards provide leadership and compliance officers with real-time visibility into compliance performance and audit preparedness.</w:t>
      </w:r>
    </w:p>
    <w:p w14:paraId="53C5BBB1" w14:textId="77777777" w:rsidR="00990FBD" w:rsidRPr="00990FBD" w:rsidRDefault="00990FBD" w:rsidP="00990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0FBD">
        <w:rPr>
          <w:rFonts w:ascii="Times New Roman" w:eastAsia="Times New Roman" w:hAnsi="Times New Roman" w:cs="Times New Roman"/>
          <w:b/>
          <w:bCs/>
          <w:kern w:val="36"/>
          <w:sz w:val="48"/>
          <w:szCs w:val="48"/>
          <w14:ligatures w14:val="none"/>
        </w:rPr>
        <w:t>6. Petitioner’s Role</w:t>
      </w:r>
    </w:p>
    <w:p w14:paraId="63BE6132" w14:textId="77777777" w:rsidR="00990FBD" w:rsidRPr="00990FBD" w:rsidRDefault="00990FBD" w:rsidP="00DA6E42">
      <w:pPr>
        <w:spacing w:before="100" w:beforeAutospacing="1" w:after="100" w:afterAutospacing="1" w:line="240" w:lineRule="auto"/>
        <w:jc w:val="both"/>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The petitioner developed and applied structured financial governance and compliance monitoring methodologies designed to improve transparency, accountability, and audit readiness in complex financial environments. Through experience in implementing financial reporting frameworks, ERP-based controls, and governance monitoring tools, the petitioner has demonstrated the ability to strengthen financial oversight systems and support organizations in achieving higher standards of compliance and accountability.</w:t>
      </w:r>
    </w:p>
    <w:p w14:paraId="36D3F3CA" w14:textId="77777777" w:rsidR="00990FBD" w:rsidRPr="00990FBD" w:rsidRDefault="00990FBD" w:rsidP="00990F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0FBD">
        <w:rPr>
          <w:rFonts w:ascii="Times New Roman" w:eastAsia="Times New Roman" w:hAnsi="Times New Roman" w:cs="Times New Roman"/>
          <w:b/>
          <w:bCs/>
          <w:kern w:val="36"/>
          <w:sz w:val="48"/>
          <w:szCs w:val="48"/>
          <w14:ligatures w14:val="none"/>
        </w:rPr>
        <w:t>Overall Impact</w:t>
      </w:r>
    </w:p>
    <w:p w14:paraId="7C3C682B" w14:textId="77777777" w:rsidR="00990FBD" w:rsidRPr="00990FBD" w:rsidRDefault="00990FBD" w:rsidP="00DA6E42">
      <w:pPr>
        <w:spacing w:before="100" w:beforeAutospacing="1" w:after="100" w:afterAutospacing="1" w:line="240" w:lineRule="auto"/>
        <w:jc w:val="both"/>
        <w:rPr>
          <w:rFonts w:ascii="Times New Roman" w:eastAsia="Times New Roman" w:hAnsi="Times New Roman" w:cs="Times New Roman"/>
          <w:kern w:val="0"/>
          <w14:ligatures w14:val="none"/>
        </w:rPr>
      </w:pPr>
      <w:r w:rsidRPr="00990FBD">
        <w:rPr>
          <w:rFonts w:ascii="Times New Roman" w:eastAsia="Times New Roman" w:hAnsi="Times New Roman" w:cs="Times New Roman"/>
          <w:kern w:val="0"/>
          <w14:ligatures w14:val="none"/>
        </w:rPr>
        <w:t>This framework demonstrates the petitioner’s expertise in designing and implementing structured governance and audit readiness systems that support effective oversight of federally funded programs and responsible stewardship of public resources.</w:t>
      </w:r>
    </w:p>
    <w:p w14:paraId="78FE54D0" w14:textId="77777777" w:rsidR="00C6653D" w:rsidRDefault="00C6653D"/>
    <w:sectPr w:rsidR="00C6653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311F9" w14:textId="77777777" w:rsidR="00BD72A5" w:rsidRDefault="00BD72A5" w:rsidP="008951D1">
      <w:pPr>
        <w:spacing w:after="0" w:line="240" w:lineRule="auto"/>
      </w:pPr>
      <w:r>
        <w:separator/>
      </w:r>
    </w:p>
  </w:endnote>
  <w:endnote w:type="continuationSeparator" w:id="0">
    <w:p w14:paraId="36D46CAD" w14:textId="77777777" w:rsidR="00BD72A5" w:rsidRDefault="00BD72A5" w:rsidP="00895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2110568530"/>
      <w:docPartObj>
        <w:docPartGallery w:val="Page Numbers (Bottom of Page)"/>
        <w:docPartUnique/>
      </w:docPartObj>
    </w:sdtPr>
    <w:sdtContent>
      <w:sdt>
        <w:sdtPr>
          <w:rPr>
            <w:rFonts w:ascii="Times New Roman" w:hAnsi="Times New Roman" w:cs="Times New Roman"/>
            <w:sz w:val="20"/>
            <w:szCs w:val="20"/>
          </w:rPr>
          <w:id w:val="-1705238520"/>
          <w:docPartObj>
            <w:docPartGallery w:val="Page Numbers (Top of Page)"/>
            <w:docPartUnique/>
          </w:docPartObj>
        </w:sdtPr>
        <w:sdtContent>
          <w:p w14:paraId="0ACBDD93" w14:textId="17EE96B4" w:rsidR="008951D1" w:rsidRDefault="008951D1">
            <w:pPr>
              <w:pStyle w:val="Footer"/>
              <w:rPr>
                <w:rFonts w:ascii="Times New Roman" w:hAnsi="Times New Roman" w:cs="Times New Roman"/>
                <w:sz w:val="20"/>
                <w:szCs w:val="20"/>
              </w:rPr>
            </w:pPr>
            <w:r w:rsidRPr="00747D68">
              <w:rPr>
                <w:rFonts w:ascii="Times New Roman" w:eastAsia="Times New Roman" w:hAnsi="Times New Roman" w:cs="Times New Roman"/>
                <w:noProof/>
                <w:kern w:val="0"/>
                <w:sz w:val="20"/>
                <w:szCs w:val="20"/>
              </w:rPr>
              <mc:AlternateContent>
                <mc:Choice Requires="wpi">
                  <w:drawing>
                    <wp:anchor distT="0" distB="0" distL="114300" distR="114300" simplePos="0" relativeHeight="251659264" behindDoc="0" locked="0" layoutInCell="1" allowOverlap="1" wp14:anchorId="3718398E" wp14:editId="1C5829A4">
                      <wp:simplePos x="0" y="0"/>
                      <wp:positionH relativeFrom="margin">
                        <wp:posOffset>-228600</wp:posOffset>
                      </wp:positionH>
                      <wp:positionV relativeFrom="paragraph">
                        <wp:posOffset>102235</wp:posOffset>
                      </wp:positionV>
                      <wp:extent cx="6394450" cy="635"/>
                      <wp:effectExtent l="38100" t="38100" r="44450" b="37465"/>
                      <wp:wrapNone/>
                      <wp:docPr id="1046776912" name="Ink 14"/>
                      <wp:cNvGraphicFramePr/>
                      <a:graphic xmlns:a="http://schemas.openxmlformats.org/drawingml/2006/main">
                        <a:graphicData uri="http://schemas.microsoft.com/office/word/2010/wordprocessingInk">
                          <w14:contentPart bwMode="auto" r:id="rId1">
                            <w14:nvContentPartPr>
                              <w14:cNvContentPartPr/>
                            </w14:nvContentPartPr>
                            <w14:xfrm>
                              <a:off x="0" y="0"/>
                              <a:ext cx="6394450" cy="635"/>
                            </w14:xfrm>
                          </w14:contentPart>
                        </a:graphicData>
                      </a:graphic>
                      <wp14:sizeRelH relativeFrom="margin">
                        <wp14:pctWidth>0</wp14:pctWidth>
                      </wp14:sizeRelH>
                      <wp14:sizeRelV relativeFrom="margin">
                        <wp14:pctHeight>0</wp14:pctHeight>
                      </wp14:sizeRelV>
                    </wp:anchor>
                  </w:drawing>
                </mc:Choice>
                <mc:Fallback>
                  <w:pict>
                    <v:shapetype w14:anchorId="78B5A6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18.5pt;margin-top:7.2pt;width:504.45pt;height: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">
                      <v:imagedata r:id="rId2" o:title=""/>
                      <w10:wrap anchorx="margin"/>
                    </v:shape>
                  </w:pict>
                </mc:Fallback>
              </mc:AlternateContent>
            </w:r>
          </w:p>
          <w:p w14:paraId="49D41486" w14:textId="24166921" w:rsidR="008951D1" w:rsidRPr="008951D1" w:rsidRDefault="008951D1">
            <w:pPr>
              <w:pStyle w:val="Footer"/>
              <w:rPr>
                <w:rFonts w:ascii="Times New Roman" w:hAnsi="Times New Roman" w:cs="Times New Roman"/>
                <w:sz w:val="20"/>
                <w:szCs w:val="20"/>
              </w:rPr>
            </w:pPr>
            <w:r w:rsidRPr="008951D1">
              <w:rPr>
                <w:rFonts w:ascii="Times New Roman" w:hAnsi="Times New Roman" w:cs="Times New Roman"/>
                <w:sz w:val="20"/>
                <w:szCs w:val="20"/>
              </w:rPr>
              <w:t>Exhibit-20 Audit Readiness Framework for OMB 2024 Uniform Guidance</w:t>
            </w:r>
            <w:r w:rsidRPr="008951D1">
              <w:rPr>
                <w:rFonts w:ascii="Times New Roman" w:hAnsi="Times New Roman" w:cs="Times New Roman"/>
                <w:sz w:val="20"/>
                <w:szCs w:val="20"/>
              </w:rPr>
              <w:tab/>
              <w:t xml:space="preserve">Page </w:t>
            </w:r>
            <w:r w:rsidRPr="008951D1">
              <w:rPr>
                <w:rFonts w:ascii="Times New Roman" w:hAnsi="Times New Roman" w:cs="Times New Roman"/>
                <w:b/>
                <w:bCs/>
                <w:sz w:val="20"/>
                <w:szCs w:val="20"/>
              </w:rPr>
              <w:fldChar w:fldCharType="begin"/>
            </w:r>
            <w:r w:rsidRPr="008951D1">
              <w:rPr>
                <w:rFonts w:ascii="Times New Roman" w:hAnsi="Times New Roman" w:cs="Times New Roman"/>
                <w:b/>
                <w:bCs/>
                <w:sz w:val="20"/>
                <w:szCs w:val="20"/>
              </w:rPr>
              <w:instrText xml:space="preserve"> PAGE </w:instrText>
            </w:r>
            <w:r w:rsidRPr="008951D1">
              <w:rPr>
                <w:rFonts w:ascii="Times New Roman" w:hAnsi="Times New Roman" w:cs="Times New Roman"/>
                <w:b/>
                <w:bCs/>
                <w:sz w:val="20"/>
                <w:szCs w:val="20"/>
              </w:rPr>
              <w:fldChar w:fldCharType="separate"/>
            </w:r>
            <w:r w:rsidRPr="008951D1">
              <w:rPr>
                <w:rFonts w:ascii="Times New Roman" w:hAnsi="Times New Roman" w:cs="Times New Roman"/>
                <w:b/>
                <w:bCs/>
                <w:noProof/>
                <w:sz w:val="20"/>
                <w:szCs w:val="20"/>
              </w:rPr>
              <w:t>2</w:t>
            </w:r>
            <w:r w:rsidRPr="008951D1">
              <w:rPr>
                <w:rFonts w:ascii="Times New Roman" w:hAnsi="Times New Roman" w:cs="Times New Roman"/>
                <w:b/>
                <w:bCs/>
                <w:sz w:val="20"/>
                <w:szCs w:val="20"/>
              </w:rPr>
              <w:fldChar w:fldCharType="end"/>
            </w:r>
            <w:r w:rsidRPr="008951D1">
              <w:rPr>
                <w:rFonts w:ascii="Times New Roman" w:hAnsi="Times New Roman" w:cs="Times New Roman"/>
                <w:sz w:val="20"/>
                <w:szCs w:val="20"/>
              </w:rPr>
              <w:t xml:space="preserve"> of </w:t>
            </w:r>
            <w:r w:rsidRPr="008951D1">
              <w:rPr>
                <w:rFonts w:ascii="Times New Roman" w:hAnsi="Times New Roman" w:cs="Times New Roman"/>
                <w:b/>
                <w:bCs/>
                <w:sz w:val="20"/>
                <w:szCs w:val="20"/>
              </w:rPr>
              <w:fldChar w:fldCharType="begin"/>
            </w:r>
            <w:r w:rsidRPr="008951D1">
              <w:rPr>
                <w:rFonts w:ascii="Times New Roman" w:hAnsi="Times New Roman" w:cs="Times New Roman"/>
                <w:b/>
                <w:bCs/>
                <w:sz w:val="20"/>
                <w:szCs w:val="20"/>
              </w:rPr>
              <w:instrText xml:space="preserve"> NUMPAGES  </w:instrText>
            </w:r>
            <w:r w:rsidRPr="008951D1">
              <w:rPr>
                <w:rFonts w:ascii="Times New Roman" w:hAnsi="Times New Roman" w:cs="Times New Roman"/>
                <w:b/>
                <w:bCs/>
                <w:sz w:val="20"/>
                <w:szCs w:val="20"/>
              </w:rPr>
              <w:fldChar w:fldCharType="separate"/>
            </w:r>
            <w:r w:rsidRPr="008951D1">
              <w:rPr>
                <w:rFonts w:ascii="Times New Roman" w:hAnsi="Times New Roman" w:cs="Times New Roman"/>
                <w:b/>
                <w:bCs/>
                <w:noProof/>
                <w:sz w:val="20"/>
                <w:szCs w:val="20"/>
              </w:rPr>
              <w:t>2</w:t>
            </w:r>
            <w:r w:rsidRPr="008951D1">
              <w:rPr>
                <w:rFonts w:ascii="Times New Roman" w:hAnsi="Times New Roman" w:cs="Times New Roman"/>
                <w:b/>
                <w:bCs/>
                <w:sz w:val="20"/>
                <w:szCs w:val="20"/>
              </w:rPr>
              <w:fldChar w:fldCharType="end"/>
            </w:r>
          </w:p>
        </w:sdtContent>
      </w:sdt>
    </w:sdtContent>
  </w:sdt>
  <w:p w14:paraId="16D208A3" w14:textId="77777777" w:rsidR="008951D1" w:rsidRPr="008951D1" w:rsidRDefault="008951D1">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C1BE" w14:textId="77777777" w:rsidR="00BD72A5" w:rsidRDefault="00BD72A5" w:rsidP="008951D1">
      <w:pPr>
        <w:spacing w:after="0" w:line="240" w:lineRule="auto"/>
      </w:pPr>
      <w:r>
        <w:separator/>
      </w:r>
    </w:p>
  </w:footnote>
  <w:footnote w:type="continuationSeparator" w:id="0">
    <w:p w14:paraId="10758CB8" w14:textId="77777777" w:rsidR="00BD72A5" w:rsidRDefault="00BD72A5" w:rsidP="008951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4390"/>
    <w:multiLevelType w:val="hybridMultilevel"/>
    <w:tmpl w:val="7F08ECCE"/>
    <w:lvl w:ilvl="0" w:tplc="0290D1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475F8"/>
    <w:multiLevelType w:val="hybridMultilevel"/>
    <w:tmpl w:val="E18E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C946B7"/>
    <w:multiLevelType w:val="hybridMultilevel"/>
    <w:tmpl w:val="1F4ADE04"/>
    <w:lvl w:ilvl="0" w:tplc="0290D1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6C7BE9"/>
    <w:multiLevelType w:val="hybridMultilevel"/>
    <w:tmpl w:val="E1A05CE8"/>
    <w:lvl w:ilvl="0" w:tplc="0290D1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471C6F"/>
    <w:multiLevelType w:val="hybridMultilevel"/>
    <w:tmpl w:val="8A1251CE"/>
    <w:lvl w:ilvl="0" w:tplc="0290D1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632E04"/>
    <w:multiLevelType w:val="hybridMultilevel"/>
    <w:tmpl w:val="09BA6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4466373">
    <w:abstractNumId w:val="1"/>
  </w:num>
  <w:num w:numId="2" w16cid:durableId="1521700335">
    <w:abstractNumId w:val="4"/>
  </w:num>
  <w:num w:numId="3" w16cid:durableId="2023240299">
    <w:abstractNumId w:val="3"/>
  </w:num>
  <w:num w:numId="4" w16cid:durableId="403920347">
    <w:abstractNumId w:val="5"/>
  </w:num>
  <w:num w:numId="5" w16cid:durableId="1972125269">
    <w:abstractNumId w:val="0"/>
  </w:num>
  <w:num w:numId="6" w16cid:durableId="741681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FBD"/>
    <w:rsid w:val="000771FC"/>
    <w:rsid w:val="001B77D1"/>
    <w:rsid w:val="002D11DB"/>
    <w:rsid w:val="003D0E59"/>
    <w:rsid w:val="005C7B09"/>
    <w:rsid w:val="006B552A"/>
    <w:rsid w:val="008951D1"/>
    <w:rsid w:val="00990FBD"/>
    <w:rsid w:val="00AD521C"/>
    <w:rsid w:val="00B41374"/>
    <w:rsid w:val="00BB51E8"/>
    <w:rsid w:val="00BD72A5"/>
    <w:rsid w:val="00C6653D"/>
    <w:rsid w:val="00DA6E42"/>
    <w:rsid w:val="00DC55A8"/>
    <w:rsid w:val="00E2658E"/>
    <w:rsid w:val="00F3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ECCBA"/>
  <w15:chartTrackingRefBased/>
  <w15:docId w15:val="{578AE591-A95F-44F6-857F-EAEEDE5B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FBD"/>
    <w:rPr>
      <w:rFonts w:eastAsiaTheme="majorEastAsia" w:cstheme="majorBidi"/>
      <w:color w:val="272727" w:themeColor="text1" w:themeTint="D8"/>
    </w:rPr>
  </w:style>
  <w:style w:type="paragraph" w:styleId="Title">
    <w:name w:val="Title"/>
    <w:basedOn w:val="Normal"/>
    <w:next w:val="Normal"/>
    <w:link w:val="TitleChar"/>
    <w:uiPriority w:val="10"/>
    <w:qFormat/>
    <w:rsid w:val="00990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FBD"/>
    <w:pPr>
      <w:spacing w:before="160"/>
      <w:jc w:val="center"/>
    </w:pPr>
    <w:rPr>
      <w:i/>
      <w:iCs/>
      <w:color w:val="404040" w:themeColor="text1" w:themeTint="BF"/>
    </w:rPr>
  </w:style>
  <w:style w:type="character" w:customStyle="1" w:styleId="QuoteChar">
    <w:name w:val="Quote Char"/>
    <w:basedOn w:val="DefaultParagraphFont"/>
    <w:link w:val="Quote"/>
    <w:uiPriority w:val="29"/>
    <w:rsid w:val="00990FBD"/>
    <w:rPr>
      <w:i/>
      <w:iCs/>
      <w:color w:val="404040" w:themeColor="text1" w:themeTint="BF"/>
    </w:rPr>
  </w:style>
  <w:style w:type="paragraph" w:styleId="ListParagraph">
    <w:name w:val="List Paragraph"/>
    <w:basedOn w:val="Normal"/>
    <w:uiPriority w:val="34"/>
    <w:qFormat/>
    <w:rsid w:val="00990FBD"/>
    <w:pPr>
      <w:ind w:left="720"/>
      <w:contextualSpacing/>
    </w:pPr>
  </w:style>
  <w:style w:type="character" w:styleId="IntenseEmphasis">
    <w:name w:val="Intense Emphasis"/>
    <w:basedOn w:val="DefaultParagraphFont"/>
    <w:uiPriority w:val="21"/>
    <w:qFormat/>
    <w:rsid w:val="00990FBD"/>
    <w:rPr>
      <w:i/>
      <w:iCs/>
      <w:color w:val="0F4761" w:themeColor="accent1" w:themeShade="BF"/>
    </w:rPr>
  </w:style>
  <w:style w:type="paragraph" w:styleId="IntenseQuote">
    <w:name w:val="Intense Quote"/>
    <w:basedOn w:val="Normal"/>
    <w:next w:val="Normal"/>
    <w:link w:val="IntenseQuoteChar"/>
    <w:uiPriority w:val="30"/>
    <w:qFormat/>
    <w:rsid w:val="00990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FBD"/>
    <w:rPr>
      <w:i/>
      <w:iCs/>
      <w:color w:val="0F4761" w:themeColor="accent1" w:themeShade="BF"/>
    </w:rPr>
  </w:style>
  <w:style w:type="character" w:styleId="IntenseReference">
    <w:name w:val="Intense Reference"/>
    <w:basedOn w:val="DefaultParagraphFont"/>
    <w:uiPriority w:val="32"/>
    <w:qFormat/>
    <w:rsid w:val="00990FBD"/>
    <w:rPr>
      <w:b/>
      <w:bCs/>
      <w:smallCaps/>
      <w:color w:val="0F4761" w:themeColor="accent1" w:themeShade="BF"/>
      <w:spacing w:val="5"/>
    </w:rPr>
  </w:style>
  <w:style w:type="paragraph" w:styleId="Header">
    <w:name w:val="header"/>
    <w:basedOn w:val="Normal"/>
    <w:link w:val="HeaderChar"/>
    <w:uiPriority w:val="99"/>
    <w:unhideWhenUsed/>
    <w:rsid w:val="008951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1D1"/>
  </w:style>
  <w:style w:type="paragraph" w:styleId="Footer">
    <w:name w:val="footer"/>
    <w:basedOn w:val="Normal"/>
    <w:link w:val="FooterChar"/>
    <w:uiPriority w:val="99"/>
    <w:unhideWhenUsed/>
    <w:rsid w:val="008951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1T12:38:04.826"/>
    </inkml:context>
    <inkml:brush xml:id="br0">
      <inkml:brushProperty name="width" value="0.035" units="cm"/>
      <inkml:brushProperty name="height" value="0.035" units="cm"/>
    </inkml:brush>
  </inkml:definitions>
  <inkml:trace contextRef="#ctx0" brushRef="#br0">0 0 24097,'17763'0'0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DD0B0-2FCD-4D99-9679-B27A3E1A0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Bilal  Yousuf</dc:creator>
  <cp:keywords/>
  <dc:description/>
  <cp:lastModifiedBy>Muhammad Bilal  Yousuf</cp:lastModifiedBy>
  <cp:revision>8</cp:revision>
  <cp:lastPrinted>2026-03-11T13:15:00Z</cp:lastPrinted>
  <dcterms:created xsi:type="dcterms:W3CDTF">2026-03-10T12:49:00Z</dcterms:created>
  <dcterms:modified xsi:type="dcterms:W3CDTF">2026-03-11T13:15:00Z</dcterms:modified>
</cp:coreProperties>
</file>