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128F" w14:textId="3D292B76" w:rsidR="00F76CC2" w:rsidRDefault="006E6510" w:rsidP="00D77F95">
      <w:pPr>
        <w:pStyle w:val="Heading1"/>
        <w:pBdr>
          <w:bottom w:val="single" w:sz="6" w:space="0" w:color="2E5090"/>
        </w:pBdr>
        <w:jc w:val="both"/>
      </w:pPr>
      <w:r>
        <w:rPr>
          <w:sz w:val="22"/>
          <w:szCs w:val="22"/>
        </w:rPr>
        <w:t xml:space="preserve">EXHIBIT </w:t>
      </w:r>
      <w:r w:rsidR="00C42C42">
        <w:rPr>
          <w:sz w:val="22"/>
          <w:szCs w:val="22"/>
        </w:rPr>
        <w:t>12.1</w:t>
      </w:r>
      <w:r>
        <w:rPr>
          <w:sz w:val="22"/>
          <w:szCs w:val="22"/>
        </w:rPr>
        <w:t xml:space="preserve"> — Cloud-Based Compliance Dashboard</w:t>
      </w:r>
    </w:p>
    <w:p w14:paraId="13AE28C6" w14:textId="77777777" w:rsidR="00F76CC2" w:rsidRDefault="006E6510" w:rsidP="00D77F95">
      <w:pPr>
        <w:pStyle w:val="Heading2"/>
        <w:jc w:val="both"/>
      </w:pPr>
      <w:r>
        <w:rPr>
          <w:sz w:val="22"/>
          <w:szCs w:val="22"/>
        </w:rPr>
        <w:t>1. Overview</w:t>
      </w:r>
    </w:p>
    <w:p w14:paraId="1B5EED08" w14:textId="5B02048E" w:rsidR="00F76CC2" w:rsidRDefault="006E6510" w:rsidP="00D77F95">
      <w:pPr>
        <w:spacing w:before="60" w:after="100"/>
        <w:jc w:val="both"/>
      </w:pPr>
      <w:r>
        <w:t>The petitioner has developed and operationalized a Cloud-Based Compliance Dashboard — a comprehensive governance and compliance platform comprising 130+ controls mapped explicitly to OMB 2 CFR 200 and GAO Green Book principles — that is currently available as a free public resource for any U.S. federal grant recipient. The dashboard has been designed specifically for under-resourced municipalities, tribal governments, public housing authorities, CDFIs, and nonprofit developers that administer federal infrastructure and housing funds but lack the internal compliance infrastructure required by federal oversight agencies.</w:t>
      </w:r>
    </w:p>
    <w:p w14:paraId="23B7FFC2" w14:textId="77758F81" w:rsidR="00F76CC2" w:rsidRDefault="006E6510" w:rsidP="00D77F95">
      <w:pPr>
        <w:spacing w:before="60" w:after="100"/>
        <w:jc w:val="both"/>
      </w:pPr>
      <w:r>
        <w:t xml:space="preserve">The dashboard represents a scalable, replicable national framework addressing a documented, quantified national problem: the PRAC FY2023 Improper Payments Report identified $236 billion in federal improper payments in fiscal year 2022, with the majority traced to weak internal controls and inadequate monitoring systems of exactly the type the Dashboard is designed to strengthen. </w:t>
      </w:r>
      <w:r w:rsidRPr="00C42C42">
        <w:t xml:space="preserve">The tool is freely available at </w:t>
      </w:r>
      <w:r w:rsidRPr="00C42C42">
        <w:rPr>
          <w:highlight w:val="yellow"/>
        </w:rPr>
        <w:t>[WEBSITE URL]</w:t>
      </w:r>
      <w:r w:rsidRPr="00C42C42">
        <w:t xml:space="preserve"> and on GitHub at </w:t>
      </w:r>
      <w:r w:rsidRPr="00C42C42">
        <w:rPr>
          <w:highlight w:val="yellow"/>
        </w:rPr>
        <w:t>[GITHUB URL].</w:t>
      </w:r>
    </w:p>
    <w:p w14:paraId="64DB83A0" w14:textId="77777777" w:rsidR="00F76CC2" w:rsidRDefault="006E6510" w:rsidP="00D77F95">
      <w:pPr>
        <w:pStyle w:val="Heading2"/>
        <w:jc w:val="both"/>
      </w:pPr>
      <w:r>
        <w:rPr>
          <w:sz w:val="22"/>
          <w:szCs w:val="22"/>
        </w:rPr>
        <w:t>2. National Economic and Public Value Framing</w:t>
      </w:r>
    </w:p>
    <w:p w14:paraId="54557C46" w14:textId="77777777" w:rsidR="00F76CC2" w:rsidRDefault="006E6510" w:rsidP="00D77F95">
      <w:pPr>
        <w:spacing w:before="60" w:after="100"/>
        <w:jc w:val="both"/>
      </w:pPr>
      <w:r>
        <w:t>Federal agencies and grantees frequently experience fragmented compliance systems, leading to:</w:t>
      </w:r>
    </w:p>
    <w:p w14:paraId="6E8D5987" w14:textId="740F327C" w:rsidR="00F76CC2" w:rsidRDefault="006E6510" w:rsidP="00D77F95">
      <w:pPr>
        <w:pStyle w:val="ListParagraph"/>
        <w:numPr>
          <w:ilvl w:val="0"/>
          <w:numId w:val="2"/>
        </w:numPr>
        <w:spacing w:before="40" w:after="40"/>
        <w:jc w:val="both"/>
      </w:pPr>
      <w:r>
        <w:t>Over $10 billion annually in questioned costs identified through Single Audits and Inspector General reviews (PRAC FY2023; HUD OIG FY2023 Annual Report; GAO-23-105678). These findings are concentrated among smaller grantees — municipalities, housing authorities, and nonprofits — that lack the compliance infrastructure this Dashboard provides for free.</w:t>
      </w:r>
    </w:p>
    <w:p w14:paraId="3FB0708D" w14:textId="77777777" w:rsidR="00F76CC2" w:rsidRDefault="006E6510" w:rsidP="00D77F95">
      <w:pPr>
        <w:pStyle w:val="ListParagraph"/>
        <w:numPr>
          <w:ilvl w:val="0"/>
          <w:numId w:val="2"/>
        </w:numPr>
        <w:spacing w:before="40" w:after="40"/>
        <w:jc w:val="both"/>
      </w:pPr>
      <w:r>
        <w:t>Delays in program execution and fund utilization.</w:t>
      </w:r>
    </w:p>
    <w:p w14:paraId="6EDAA943" w14:textId="77777777" w:rsidR="00F76CC2" w:rsidRDefault="006E6510" w:rsidP="00D77F95">
      <w:pPr>
        <w:pStyle w:val="ListParagraph"/>
        <w:numPr>
          <w:ilvl w:val="0"/>
          <w:numId w:val="2"/>
        </w:numPr>
        <w:spacing w:before="40" w:after="40"/>
        <w:jc w:val="both"/>
      </w:pPr>
      <w:r>
        <w:t>Increased risk of repayment demands, litigation, and public trust erosion.</w:t>
      </w:r>
    </w:p>
    <w:p w14:paraId="45254DCA" w14:textId="17B3CEBA" w:rsidR="00F76CC2" w:rsidRDefault="00C42C42" w:rsidP="00D77F95">
      <w:pPr>
        <w:pStyle w:val="Heading2"/>
        <w:jc w:val="both"/>
      </w:pPr>
      <w:r>
        <w:rPr>
          <w:sz w:val="22"/>
          <w:szCs w:val="22"/>
        </w:rPr>
        <w:t>3. Why This Dashboard Fills a Gap Not Addressed by Existing Solutions</w:t>
      </w:r>
    </w:p>
    <w:p w14:paraId="432609B0" w14:textId="77777777" w:rsidR="00F76CC2" w:rsidRDefault="006E6510" w:rsidP="00D77F95">
      <w:pPr>
        <w:spacing w:before="60" w:after="100"/>
        <w:jc w:val="both"/>
      </w:pPr>
      <w:r>
        <w:t>USCIS adjudicators may note that commercial grant compliance platforms exist. The petitioner's Dashboard is categorically different from existing commercial tools for three specific reasons: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995"/>
      </w:tblGrid>
      <w:tr w:rsidR="007F1FA3" w14:paraId="5C59D60C" w14:textId="77777777" w:rsidTr="002E2837">
        <w:tc>
          <w:tcPr>
            <w:tcW w:w="2800" w:type="dxa"/>
            <w:shd w:val="clear" w:color="auto" w:fill="1F3864"/>
            <w:tcMar>
              <w:top w:w="80" w:type="dxa"/>
              <w:left w:w="120" w:type="dxa"/>
              <w:bottom w:w="80" w:type="dxa"/>
              <w:right w:w="120" w:type="dxa"/>
            </w:tcMar>
          </w:tcPr>
          <w:p w14:paraId="254E6D78" w14:textId="77777777" w:rsidR="00F76CC2" w:rsidRDefault="006E6510" w:rsidP="00D77F95">
            <w:pPr>
              <w:jc w:val="both"/>
            </w:pPr>
            <w:r>
              <w:rPr>
                <w:b/>
                <w:bCs/>
                <w:color w:val="FFFFFF"/>
                <w:sz w:val="20"/>
                <w:szCs w:val="20"/>
              </w:rPr>
              <w:t>Comparison Factor</w:t>
            </w:r>
          </w:p>
        </w:tc>
        <w:tc>
          <w:tcPr>
            <w:tcW w:w="3280" w:type="dxa"/>
            <w:shd w:val="clear" w:color="auto" w:fill="1F3864"/>
            <w:tcMar>
              <w:top w:w="80" w:type="dxa"/>
              <w:left w:w="120" w:type="dxa"/>
              <w:bottom w:w="80" w:type="dxa"/>
              <w:right w:w="120" w:type="dxa"/>
            </w:tcMar>
          </w:tcPr>
          <w:p w14:paraId="4CCA67D7" w14:textId="77777777" w:rsidR="00F76CC2" w:rsidRDefault="006E6510" w:rsidP="00D77F95">
            <w:pPr>
              <w:jc w:val="both"/>
            </w:pPr>
            <w:r>
              <w:rPr>
                <w:b/>
                <w:bCs/>
                <w:color w:val="FFFFFF"/>
                <w:sz w:val="20"/>
                <w:szCs w:val="20"/>
              </w:rPr>
              <w:t>Commercial Platforms (</w:t>
            </w:r>
            <w:proofErr w:type="spellStart"/>
            <w:r>
              <w:rPr>
                <w:b/>
                <w:bCs/>
                <w:color w:val="FFFFFF"/>
                <w:sz w:val="20"/>
                <w:szCs w:val="20"/>
              </w:rPr>
              <w:t>eCivis</w:t>
            </w:r>
            <w:proofErr w:type="spellEnd"/>
            <w:r>
              <w:rPr>
                <w:b/>
                <w:bCs/>
                <w:color w:val="FFFFFF"/>
                <w:sz w:val="20"/>
                <w:szCs w:val="20"/>
              </w:rPr>
              <w:t>, Blackbaud, SAP Grants)</w:t>
            </w:r>
          </w:p>
        </w:tc>
        <w:tc>
          <w:tcPr>
            <w:tcW w:w="3995" w:type="dxa"/>
            <w:shd w:val="clear" w:color="auto" w:fill="1F3864"/>
            <w:tcMar>
              <w:top w:w="80" w:type="dxa"/>
              <w:left w:w="120" w:type="dxa"/>
              <w:bottom w:w="80" w:type="dxa"/>
              <w:right w:w="120" w:type="dxa"/>
            </w:tcMar>
          </w:tcPr>
          <w:p w14:paraId="0BFE7561" w14:textId="77777777" w:rsidR="00F76CC2" w:rsidRDefault="006E6510" w:rsidP="00D77F95">
            <w:pPr>
              <w:jc w:val="both"/>
            </w:pPr>
            <w:r>
              <w:rPr>
                <w:b/>
                <w:bCs/>
                <w:color w:val="FFFFFF"/>
                <w:sz w:val="20"/>
                <w:szCs w:val="20"/>
              </w:rPr>
              <w:t>Petitioner's Compliance Dashboard</w:t>
            </w:r>
          </w:p>
        </w:tc>
      </w:tr>
      <w:tr w:rsidR="007F1FA3" w14:paraId="1D8BB371" w14:textId="77777777" w:rsidTr="002E2837">
        <w:tc>
          <w:tcPr>
            <w:tcW w:w="2800" w:type="dxa"/>
            <w:shd w:val="clear" w:color="auto" w:fill="F4F4F4"/>
            <w:tcMar>
              <w:top w:w="80" w:type="dxa"/>
              <w:left w:w="120" w:type="dxa"/>
              <w:bottom w:w="80" w:type="dxa"/>
              <w:right w:w="120" w:type="dxa"/>
            </w:tcMar>
          </w:tcPr>
          <w:p w14:paraId="13A989ED" w14:textId="77777777" w:rsidR="00F76CC2" w:rsidRDefault="006E6510" w:rsidP="00D77F95">
            <w:pPr>
              <w:jc w:val="both"/>
            </w:pPr>
            <w:r>
              <w:t>Cost</w:t>
            </w:r>
          </w:p>
        </w:tc>
        <w:tc>
          <w:tcPr>
            <w:tcW w:w="3280" w:type="dxa"/>
            <w:shd w:val="clear" w:color="auto" w:fill="F4F4F4"/>
            <w:tcMar>
              <w:top w:w="80" w:type="dxa"/>
              <w:left w:w="120" w:type="dxa"/>
              <w:bottom w:w="80" w:type="dxa"/>
              <w:right w:w="120" w:type="dxa"/>
            </w:tcMar>
          </w:tcPr>
          <w:p w14:paraId="6A1D17D8" w14:textId="77777777" w:rsidR="00F76CC2" w:rsidRDefault="006E6510" w:rsidP="00D77F95">
            <w:pPr>
              <w:jc w:val="both"/>
            </w:pPr>
            <w:r>
              <w:t>$15,000–$50,000+ per year — inaccessible to under-resourced entities</w:t>
            </w:r>
          </w:p>
        </w:tc>
        <w:tc>
          <w:tcPr>
            <w:tcW w:w="3995" w:type="dxa"/>
            <w:shd w:val="clear" w:color="auto" w:fill="F4F4F4"/>
            <w:tcMar>
              <w:top w:w="80" w:type="dxa"/>
              <w:left w:w="120" w:type="dxa"/>
              <w:bottom w:w="80" w:type="dxa"/>
              <w:right w:w="120" w:type="dxa"/>
            </w:tcMar>
          </w:tcPr>
          <w:p w14:paraId="7928B5FF" w14:textId="77777777" w:rsidR="00F76CC2" w:rsidRDefault="006E6510" w:rsidP="00D77F95">
            <w:pPr>
              <w:jc w:val="both"/>
            </w:pPr>
            <w:r>
              <w:t>Free, open-access — zero cost to any U.S. grant recipient</w:t>
            </w:r>
          </w:p>
        </w:tc>
      </w:tr>
      <w:tr w:rsidR="007F1FA3" w14:paraId="3E45EC06" w14:textId="77777777" w:rsidTr="002E2837">
        <w:tc>
          <w:tcPr>
            <w:tcW w:w="2800" w:type="dxa"/>
            <w:shd w:val="clear" w:color="auto" w:fill="FFFFFF"/>
            <w:tcMar>
              <w:top w:w="80" w:type="dxa"/>
              <w:left w:w="120" w:type="dxa"/>
              <w:bottom w:w="80" w:type="dxa"/>
              <w:right w:w="120" w:type="dxa"/>
            </w:tcMar>
          </w:tcPr>
          <w:p w14:paraId="4FBC0C5A" w14:textId="77777777" w:rsidR="00F76CC2" w:rsidRDefault="006E6510" w:rsidP="00D77F95">
            <w:pPr>
              <w:jc w:val="both"/>
            </w:pPr>
            <w:r>
              <w:t>Target user</w:t>
            </w:r>
          </w:p>
        </w:tc>
        <w:tc>
          <w:tcPr>
            <w:tcW w:w="3280" w:type="dxa"/>
            <w:shd w:val="clear" w:color="auto" w:fill="FFFFFF"/>
            <w:tcMar>
              <w:top w:w="80" w:type="dxa"/>
              <w:left w:w="120" w:type="dxa"/>
              <w:bottom w:w="80" w:type="dxa"/>
              <w:right w:w="120" w:type="dxa"/>
            </w:tcMar>
          </w:tcPr>
          <w:p w14:paraId="7C32C1E4" w14:textId="77777777" w:rsidR="00F76CC2" w:rsidRDefault="006E6510" w:rsidP="00D77F95">
            <w:pPr>
              <w:jc w:val="both"/>
            </w:pPr>
            <w:r>
              <w:t>Large institutional grantees with IT staff</w:t>
            </w:r>
          </w:p>
        </w:tc>
        <w:tc>
          <w:tcPr>
            <w:tcW w:w="3995" w:type="dxa"/>
            <w:shd w:val="clear" w:color="auto" w:fill="FFFFFF"/>
            <w:tcMar>
              <w:top w:w="80" w:type="dxa"/>
              <w:left w:w="120" w:type="dxa"/>
              <w:bottom w:w="80" w:type="dxa"/>
              <w:right w:w="120" w:type="dxa"/>
            </w:tcMar>
          </w:tcPr>
          <w:p w14:paraId="424548EE" w14:textId="77777777" w:rsidR="00F76CC2" w:rsidRDefault="006E6510" w:rsidP="00D77F95">
            <w:pPr>
              <w:jc w:val="both"/>
            </w:pPr>
            <w:r>
              <w:t>Under-resourced municipalities, tribal governments, small nonprofits with limited staff</w:t>
            </w:r>
          </w:p>
        </w:tc>
      </w:tr>
      <w:tr w:rsidR="007F1FA3" w14:paraId="132FCC29" w14:textId="77777777" w:rsidTr="002E2837">
        <w:tc>
          <w:tcPr>
            <w:tcW w:w="2800" w:type="dxa"/>
            <w:shd w:val="clear" w:color="auto" w:fill="F4F4F4"/>
            <w:tcMar>
              <w:top w:w="80" w:type="dxa"/>
              <w:left w:w="120" w:type="dxa"/>
              <w:bottom w:w="80" w:type="dxa"/>
              <w:right w:w="120" w:type="dxa"/>
            </w:tcMar>
          </w:tcPr>
          <w:p w14:paraId="15AFD9B7" w14:textId="77777777" w:rsidR="00F76CC2" w:rsidRDefault="006E6510" w:rsidP="00D77F95">
            <w:pPr>
              <w:jc w:val="both"/>
            </w:pPr>
            <w:r>
              <w:t>OMB 2 CFR 200 mapping</w:t>
            </w:r>
          </w:p>
        </w:tc>
        <w:tc>
          <w:tcPr>
            <w:tcW w:w="3280" w:type="dxa"/>
            <w:shd w:val="clear" w:color="auto" w:fill="F4F4F4"/>
            <w:tcMar>
              <w:top w:w="80" w:type="dxa"/>
              <w:left w:w="120" w:type="dxa"/>
              <w:bottom w:w="80" w:type="dxa"/>
              <w:right w:w="120" w:type="dxa"/>
            </w:tcMar>
          </w:tcPr>
          <w:p w14:paraId="1640103C" w14:textId="77777777" w:rsidR="00F76CC2" w:rsidRDefault="006E6510" w:rsidP="00D77F95">
            <w:pPr>
              <w:jc w:val="both"/>
            </w:pPr>
            <w:r>
              <w:t>General compliance features, not mapped to specific regulatory clauses</w:t>
            </w:r>
          </w:p>
        </w:tc>
        <w:tc>
          <w:tcPr>
            <w:tcW w:w="3995" w:type="dxa"/>
            <w:shd w:val="clear" w:color="auto" w:fill="F4F4F4"/>
            <w:tcMar>
              <w:top w:w="80" w:type="dxa"/>
              <w:left w:w="120" w:type="dxa"/>
              <w:bottom w:w="80" w:type="dxa"/>
              <w:right w:w="120" w:type="dxa"/>
            </w:tcMar>
          </w:tcPr>
          <w:p w14:paraId="32BB7D9A" w14:textId="77777777" w:rsidR="00F76CC2" w:rsidRDefault="006E6510" w:rsidP="00D77F95">
            <w:pPr>
              <w:jc w:val="both"/>
            </w:pPr>
            <w:r>
              <w:t>130+ controls explicitly mapped to specific OMB 2 CFR 200 sections and GAO Green Book principles</w:t>
            </w:r>
          </w:p>
        </w:tc>
      </w:tr>
      <w:tr w:rsidR="007F1FA3" w14:paraId="4E908ADE" w14:textId="77777777" w:rsidTr="002E2837">
        <w:tc>
          <w:tcPr>
            <w:tcW w:w="2800" w:type="dxa"/>
            <w:shd w:val="clear" w:color="auto" w:fill="FFFFFF"/>
            <w:tcMar>
              <w:top w:w="80" w:type="dxa"/>
              <w:left w:w="120" w:type="dxa"/>
              <w:bottom w:w="80" w:type="dxa"/>
              <w:right w:w="120" w:type="dxa"/>
            </w:tcMar>
          </w:tcPr>
          <w:p w14:paraId="4F3D7631" w14:textId="77777777" w:rsidR="00F76CC2" w:rsidRDefault="006E6510" w:rsidP="00D77F95">
            <w:pPr>
              <w:jc w:val="both"/>
            </w:pPr>
            <w:r>
              <w:t>AI fraud detection</w:t>
            </w:r>
          </w:p>
        </w:tc>
        <w:tc>
          <w:tcPr>
            <w:tcW w:w="3280" w:type="dxa"/>
            <w:shd w:val="clear" w:color="auto" w:fill="FFFFFF"/>
            <w:tcMar>
              <w:top w:w="80" w:type="dxa"/>
              <w:left w:w="120" w:type="dxa"/>
              <w:bottom w:w="80" w:type="dxa"/>
              <w:right w:w="120" w:type="dxa"/>
            </w:tcMar>
          </w:tcPr>
          <w:p w14:paraId="03EC1809" w14:textId="77777777" w:rsidR="00F76CC2" w:rsidRDefault="006E6510" w:rsidP="00D77F95">
            <w:pPr>
              <w:jc w:val="both"/>
            </w:pPr>
            <w:r>
              <w:t>Not included in standard packages</w:t>
            </w:r>
          </w:p>
        </w:tc>
        <w:tc>
          <w:tcPr>
            <w:tcW w:w="3995" w:type="dxa"/>
            <w:shd w:val="clear" w:color="auto" w:fill="FFFFFF"/>
            <w:tcMar>
              <w:top w:w="80" w:type="dxa"/>
              <w:left w:w="120" w:type="dxa"/>
              <w:bottom w:w="80" w:type="dxa"/>
              <w:right w:w="120" w:type="dxa"/>
            </w:tcMar>
          </w:tcPr>
          <w:p w14:paraId="1362C9C5" w14:textId="06AC3D17" w:rsidR="00F76CC2" w:rsidRDefault="006E6510" w:rsidP="00D77F95">
            <w:pPr>
              <w:jc w:val="both"/>
            </w:pPr>
            <w:r>
              <w:t xml:space="preserve">Integrated with AI-Enabled Grant Fraud Detection System (Exhibit </w:t>
            </w:r>
            <w:r w:rsidR="000724F1">
              <w:t>12.4</w:t>
            </w:r>
            <w:r>
              <w:t>)</w:t>
            </w:r>
          </w:p>
        </w:tc>
      </w:tr>
      <w:tr w:rsidR="007F1FA3" w14:paraId="309B7719" w14:textId="77777777" w:rsidTr="002E2837">
        <w:tc>
          <w:tcPr>
            <w:tcW w:w="2800" w:type="dxa"/>
            <w:shd w:val="clear" w:color="auto" w:fill="F4F4F4"/>
            <w:tcMar>
              <w:top w:w="80" w:type="dxa"/>
              <w:left w:w="120" w:type="dxa"/>
              <w:bottom w:w="80" w:type="dxa"/>
              <w:right w:w="120" w:type="dxa"/>
            </w:tcMar>
          </w:tcPr>
          <w:p w14:paraId="5B90C083" w14:textId="77777777" w:rsidR="00F76CC2" w:rsidRDefault="006E6510" w:rsidP="00D77F95">
            <w:pPr>
              <w:jc w:val="both"/>
            </w:pPr>
            <w:r>
              <w:t>Distribution model</w:t>
            </w:r>
          </w:p>
        </w:tc>
        <w:tc>
          <w:tcPr>
            <w:tcW w:w="3280" w:type="dxa"/>
            <w:shd w:val="clear" w:color="auto" w:fill="F4F4F4"/>
            <w:tcMar>
              <w:top w:w="80" w:type="dxa"/>
              <w:left w:w="120" w:type="dxa"/>
              <w:bottom w:w="80" w:type="dxa"/>
              <w:right w:w="120" w:type="dxa"/>
            </w:tcMar>
          </w:tcPr>
          <w:p w14:paraId="5B3648EA" w14:textId="77777777" w:rsidR="00F76CC2" w:rsidRDefault="006E6510" w:rsidP="00D77F95">
            <w:pPr>
              <w:jc w:val="both"/>
            </w:pPr>
            <w:r>
              <w:t>Proprietary, licensed software</w:t>
            </w:r>
          </w:p>
        </w:tc>
        <w:tc>
          <w:tcPr>
            <w:tcW w:w="3995" w:type="dxa"/>
            <w:shd w:val="clear" w:color="auto" w:fill="F4F4F4"/>
            <w:tcMar>
              <w:top w:w="80" w:type="dxa"/>
              <w:left w:w="120" w:type="dxa"/>
              <w:bottom w:w="80" w:type="dxa"/>
              <w:right w:w="120" w:type="dxa"/>
            </w:tcMar>
          </w:tcPr>
          <w:p w14:paraId="4C98255B" w14:textId="77777777" w:rsidR="00F76CC2" w:rsidRDefault="006E6510" w:rsidP="00D77F95">
            <w:pPr>
              <w:jc w:val="both"/>
            </w:pPr>
            <w:r>
              <w:t>Open-access, freely distributable, adaptable by any entity</w:t>
            </w:r>
          </w:p>
        </w:tc>
      </w:tr>
    </w:tbl>
    <w:p w14:paraId="22A5AEF0" w14:textId="50B22508" w:rsidR="000F0181" w:rsidRDefault="000F0181" w:rsidP="00D77F95">
      <w:pPr>
        <w:pStyle w:val="Heading2"/>
        <w:jc w:val="both"/>
        <w:rPr>
          <w:sz w:val="22"/>
          <w:szCs w:val="22"/>
        </w:rPr>
      </w:pPr>
    </w:p>
    <w:p w14:paraId="71FCB93E" w14:textId="4934FB90" w:rsidR="00F76CC2" w:rsidRDefault="00C42C42" w:rsidP="00D77F95">
      <w:pPr>
        <w:pStyle w:val="Heading2"/>
        <w:jc w:val="both"/>
      </w:pPr>
      <w:r>
        <w:rPr>
          <w:sz w:val="22"/>
          <w:szCs w:val="22"/>
        </w:rPr>
        <w:lastRenderedPageBreak/>
        <w:t>4. Purpose</w:t>
      </w:r>
    </w:p>
    <w:p w14:paraId="075B83ED" w14:textId="77777777" w:rsidR="00F76CC2" w:rsidRDefault="006E6510" w:rsidP="00D77F95">
      <w:pPr>
        <w:spacing w:before="60" w:after="100"/>
        <w:jc w:val="both"/>
      </w:pPr>
      <w:r>
        <w:t>The dashboard addresses long-standing challenges in federal grant administration by providing a fully integrated, cloud-based control system that:</w:t>
      </w:r>
    </w:p>
    <w:p w14:paraId="5CE0CD13" w14:textId="77777777" w:rsidR="00F76CC2" w:rsidRDefault="006E6510" w:rsidP="00D77F95">
      <w:pPr>
        <w:pStyle w:val="ListParagraph"/>
        <w:numPr>
          <w:ilvl w:val="0"/>
          <w:numId w:val="2"/>
        </w:numPr>
        <w:spacing w:before="40" w:after="40"/>
        <w:jc w:val="both"/>
      </w:pPr>
      <w:r>
        <w:t>Ensures compliance with all clauses of 2 CFR 200 (Uniform Guidance)</w:t>
      </w:r>
    </w:p>
    <w:p w14:paraId="372831A9" w14:textId="77777777" w:rsidR="00F76CC2" w:rsidRDefault="006E6510" w:rsidP="00D77F95">
      <w:pPr>
        <w:pStyle w:val="ListParagraph"/>
        <w:numPr>
          <w:ilvl w:val="0"/>
          <w:numId w:val="2"/>
        </w:numPr>
        <w:spacing w:before="40" w:after="40"/>
        <w:jc w:val="both"/>
      </w:pPr>
      <w:r>
        <w:t>Aligns operations with GAO Green Book Internal Control Principles (2023)</w:t>
      </w:r>
    </w:p>
    <w:p w14:paraId="1C05FF7B" w14:textId="77777777" w:rsidR="00F76CC2" w:rsidRDefault="006E6510" w:rsidP="00D77F95">
      <w:pPr>
        <w:pStyle w:val="ListParagraph"/>
        <w:numPr>
          <w:ilvl w:val="0"/>
          <w:numId w:val="2"/>
        </w:numPr>
        <w:spacing w:before="40" w:after="40"/>
        <w:jc w:val="both"/>
      </w:pPr>
      <w:r>
        <w:t>Provides real-time oversight, including documentation links, automated monitoring, and executive dashboards</w:t>
      </w:r>
    </w:p>
    <w:p w14:paraId="2D26D86B" w14:textId="77777777" w:rsidR="00F76CC2" w:rsidRDefault="006E6510" w:rsidP="00D77F95">
      <w:pPr>
        <w:pStyle w:val="ListParagraph"/>
        <w:numPr>
          <w:ilvl w:val="0"/>
          <w:numId w:val="2"/>
        </w:numPr>
        <w:spacing w:before="40" w:after="40"/>
        <w:jc w:val="both"/>
      </w:pPr>
      <w:r>
        <w:t>Enables structured compliance reporting for Single Audits, Inspector General audits, and internal governance reviews</w:t>
      </w:r>
    </w:p>
    <w:p w14:paraId="46494654" w14:textId="56971047" w:rsidR="00F76CC2" w:rsidRDefault="006E6510" w:rsidP="00D77F95">
      <w:pPr>
        <w:pStyle w:val="ListParagraph"/>
        <w:numPr>
          <w:ilvl w:val="0"/>
          <w:numId w:val="2"/>
        </w:numPr>
        <w:spacing w:before="40" w:after="40"/>
        <w:jc w:val="both"/>
      </w:pPr>
      <w:r>
        <w:t xml:space="preserve">Integrates with the AI-Enabled Grant Fraud Detection System (Exhibit </w:t>
      </w:r>
      <w:r w:rsidR="000724F1">
        <w:t>12.4</w:t>
      </w:r>
      <w:r>
        <w:t>) to provide automated anomaly alerts within the compliance monitoring workflow</w:t>
      </w:r>
    </w:p>
    <w:p w14:paraId="041BECF8" w14:textId="169E0E17" w:rsidR="00F76CC2" w:rsidRDefault="00C42C42" w:rsidP="00D77F95">
      <w:pPr>
        <w:pStyle w:val="Heading2"/>
        <w:jc w:val="both"/>
      </w:pPr>
      <w:r>
        <w:rPr>
          <w:sz w:val="22"/>
          <w:szCs w:val="22"/>
        </w:rPr>
        <w:t>5. Scope and Governance Coverage</w:t>
      </w:r>
    </w:p>
    <w:p w14:paraId="3E5EA183" w14:textId="77777777" w:rsidR="00F76CC2" w:rsidRDefault="006E6510" w:rsidP="00D77F95">
      <w:pPr>
        <w:spacing w:before="60" w:after="100"/>
        <w:jc w:val="both"/>
      </w:pPr>
      <w:r>
        <w:t>The dashboard provides end-to-end governance coverage across the entire grant lifecycle, spanning 130+ controls: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1260"/>
        <w:gridCol w:w="5310"/>
      </w:tblGrid>
      <w:tr w:rsidR="007F1FA3" w14:paraId="1F206884" w14:textId="77777777" w:rsidTr="00C42B8E">
        <w:tc>
          <w:tcPr>
            <w:tcW w:w="3415" w:type="dxa"/>
            <w:shd w:val="clear" w:color="auto" w:fill="1F3864"/>
            <w:tcMar>
              <w:top w:w="80" w:type="dxa"/>
              <w:left w:w="120" w:type="dxa"/>
              <w:bottom w:w="80" w:type="dxa"/>
              <w:right w:w="120" w:type="dxa"/>
            </w:tcMar>
          </w:tcPr>
          <w:p w14:paraId="4F66FA00" w14:textId="77777777" w:rsidR="00F76CC2" w:rsidRDefault="006E6510" w:rsidP="00D77F95">
            <w:pPr>
              <w:jc w:val="both"/>
            </w:pPr>
            <w:r>
              <w:rPr>
                <w:b/>
                <w:bCs/>
                <w:color w:val="FFFFFF"/>
                <w:sz w:val="20"/>
                <w:szCs w:val="20"/>
              </w:rPr>
              <w:t>Domain</w:t>
            </w:r>
          </w:p>
        </w:tc>
        <w:tc>
          <w:tcPr>
            <w:tcW w:w="1260" w:type="dxa"/>
            <w:shd w:val="clear" w:color="auto" w:fill="1F3864"/>
            <w:tcMar>
              <w:top w:w="80" w:type="dxa"/>
              <w:left w:w="120" w:type="dxa"/>
              <w:bottom w:w="80" w:type="dxa"/>
              <w:right w:w="120" w:type="dxa"/>
            </w:tcMar>
          </w:tcPr>
          <w:p w14:paraId="3C91C2EB" w14:textId="77777777" w:rsidR="00F76CC2" w:rsidRDefault="006E6510" w:rsidP="00D77F95">
            <w:pPr>
              <w:jc w:val="both"/>
            </w:pPr>
            <w:r>
              <w:rPr>
                <w:b/>
                <w:bCs/>
                <w:color w:val="FFFFFF"/>
                <w:sz w:val="20"/>
                <w:szCs w:val="20"/>
              </w:rPr>
              <w:t>Controls</w:t>
            </w:r>
          </w:p>
        </w:tc>
        <w:tc>
          <w:tcPr>
            <w:tcW w:w="5310" w:type="dxa"/>
            <w:shd w:val="clear" w:color="auto" w:fill="1F3864"/>
            <w:tcMar>
              <w:top w:w="80" w:type="dxa"/>
              <w:left w:w="120" w:type="dxa"/>
              <w:bottom w:w="80" w:type="dxa"/>
              <w:right w:w="120" w:type="dxa"/>
            </w:tcMar>
          </w:tcPr>
          <w:p w14:paraId="3EEF80F2" w14:textId="77777777" w:rsidR="00F76CC2" w:rsidRDefault="006E6510" w:rsidP="00D77F95">
            <w:pPr>
              <w:jc w:val="both"/>
            </w:pPr>
            <w:r>
              <w:rPr>
                <w:b/>
                <w:bCs/>
                <w:color w:val="FFFFFF"/>
                <w:sz w:val="20"/>
                <w:szCs w:val="20"/>
              </w:rPr>
              <w:t>Regulatory Basis</w:t>
            </w:r>
          </w:p>
        </w:tc>
      </w:tr>
      <w:tr w:rsidR="007F1FA3" w14:paraId="3D8DE2D3" w14:textId="77777777" w:rsidTr="00C42B8E">
        <w:tc>
          <w:tcPr>
            <w:tcW w:w="3415" w:type="dxa"/>
            <w:shd w:val="clear" w:color="auto" w:fill="F4F4F4"/>
            <w:tcMar>
              <w:top w:w="80" w:type="dxa"/>
              <w:left w:w="120" w:type="dxa"/>
              <w:bottom w:w="80" w:type="dxa"/>
              <w:right w:w="120" w:type="dxa"/>
            </w:tcMar>
          </w:tcPr>
          <w:p w14:paraId="014B0D41" w14:textId="77777777" w:rsidR="00F76CC2" w:rsidRDefault="006E6510" w:rsidP="00D77F95">
            <w:pPr>
              <w:jc w:val="both"/>
            </w:pPr>
            <w:r>
              <w:rPr>
                <w:color w:val="000000"/>
                <w:sz w:val="20"/>
                <w:szCs w:val="20"/>
              </w:rPr>
              <w:t>Governance &amp; Ethics</w:t>
            </w:r>
          </w:p>
        </w:tc>
        <w:tc>
          <w:tcPr>
            <w:tcW w:w="1260" w:type="dxa"/>
            <w:shd w:val="clear" w:color="auto" w:fill="F4F4F4"/>
            <w:tcMar>
              <w:top w:w="80" w:type="dxa"/>
              <w:left w:w="120" w:type="dxa"/>
              <w:bottom w:w="80" w:type="dxa"/>
              <w:right w:w="120" w:type="dxa"/>
            </w:tcMar>
          </w:tcPr>
          <w:p w14:paraId="374837E0" w14:textId="77777777" w:rsidR="00F76CC2" w:rsidRDefault="006E6510" w:rsidP="00D77F95">
            <w:pPr>
              <w:jc w:val="both"/>
            </w:pPr>
            <w:r>
              <w:rPr>
                <w:color w:val="000000"/>
                <w:sz w:val="20"/>
                <w:szCs w:val="20"/>
              </w:rPr>
              <w:t>10</w:t>
            </w:r>
          </w:p>
        </w:tc>
        <w:tc>
          <w:tcPr>
            <w:tcW w:w="5310" w:type="dxa"/>
            <w:shd w:val="clear" w:color="auto" w:fill="F4F4F4"/>
            <w:tcMar>
              <w:top w:w="80" w:type="dxa"/>
              <w:left w:w="120" w:type="dxa"/>
              <w:bottom w:w="80" w:type="dxa"/>
              <w:right w:w="120" w:type="dxa"/>
            </w:tcMar>
          </w:tcPr>
          <w:p w14:paraId="68946E3B" w14:textId="77777777" w:rsidR="00F76CC2" w:rsidRDefault="006E6510" w:rsidP="00D77F95">
            <w:pPr>
              <w:jc w:val="both"/>
            </w:pPr>
            <w:r>
              <w:rPr>
                <w:color w:val="000000"/>
                <w:sz w:val="20"/>
                <w:szCs w:val="20"/>
              </w:rPr>
              <w:t>GAO Green Book Principles 1–5; 2 CFR § 200.303</w:t>
            </w:r>
          </w:p>
        </w:tc>
      </w:tr>
      <w:tr w:rsidR="007F1FA3" w14:paraId="4360DF96" w14:textId="77777777" w:rsidTr="00C42B8E">
        <w:tc>
          <w:tcPr>
            <w:tcW w:w="3415" w:type="dxa"/>
            <w:shd w:val="clear" w:color="auto" w:fill="FFFFFF"/>
            <w:tcMar>
              <w:top w:w="80" w:type="dxa"/>
              <w:left w:w="120" w:type="dxa"/>
              <w:bottom w:w="80" w:type="dxa"/>
              <w:right w:w="120" w:type="dxa"/>
            </w:tcMar>
          </w:tcPr>
          <w:p w14:paraId="70FE7792" w14:textId="77777777" w:rsidR="00F76CC2" w:rsidRDefault="006E6510" w:rsidP="00D77F95">
            <w:pPr>
              <w:jc w:val="both"/>
            </w:pPr>
            <w:r>
              <w:rPr>
                <w:color w:val="000000"/>
                <w:sz w:val="20"/>
                <w:szCs w:val="20"/>
              </w:rPr>
              <w:t>Financial Management</w:t>
            </w:r>
          </w:p>
        </w:tc>
        <w:tc>
          <w:tcPr>
            <w:tcW w:w="1260" w:type="dxa"/>
            <w:shd w:val="clear" w:color="auto" w:fill="FFFFFF"/>
            <w:tcMar>
              <w:top w:w="80" w:type="dxa"/>
              <w:left w:w="120" w:type="dxa"/>
              <w:bottom w:w="80" w:type="dxa"/>
              <w:right w:w="120" w:type="dxa"/>
            </w:tcMar>
          </w:tcPr>
          <w:p w14:paraId="6D3E01A4" w14:textId="77777777" w:rsidR="00F76CC2" w:rsidRDefault="006E6510" w:rsidP="00D77F95">
            <w:pPr>
              <w:jc w:val="both"/>
            </w:pPr>
            <w:r>
              <w:rPr>
                <w:color w:val="000000"/>
                <w:sz w:val="20"/>
                <w:szCs w:val="20"/>
              </w:rPr>
              <w:t>22</w:t>
            </w:r>
          </w:p>
        </w:tc>
        <w:tc>
          <w:tcPr>
            <w:tcW w:w="5310" w:type="dxa"/>
            <w:shd w:val="clear" w:color="auto" w:fill="FFFFFF"/>
            <w:tcMar>
              <w:top w:w="80" w:type="dxa"/>
              <w:left w:w="120" w:type="dxa"/>
              <w:bottom w:w="80" w:type="dxa"/>
              <w:right w:w="120" w:type="dxa"/>
            </w:tcMar>
          </w:tcPr>
          <w:p w14:paraId="7ED1D61A" w14:textId="77777777" w:rsidR="00F76CC2" w:rsidRDefault="006E6510" w:rsidP="00D77F95">
            <w:pPr>
              <w:jc w:val="both"/>
            </w:pPr>
            <w:r>
              <w:rPr>
                <w:color w:val="000000"/>
                <w:sz w:val="20"/>
                <w:szCs w:val="20"/>
              </w:rPr>
              <w:t>2 CFR §§ 200.302–200.305</w:t>
            </w:r>
          </w:p>
        </w:tc>
      </w:tr>
      <w:tr w:rsidR="007F1FA3" w14:paraId="0418D289" w14:textId="77777777" w:rsidTr="00C42B8E">
        <w:tc>
          <w:tcPr>
            <w:tcW w:w="3415" w:type="dxa"/>
            <w:shd w:val="clear" w:color="auto" w:fill="F4F4F4"/>
            <w:tcMar>
              <w:top w:w="80" w:type="dxa"/>
              <w:left w:w="120" w:type="dxa"/>
              <w:bottom w:w="80" w:type="dxa"/>
              <w:right w:w="120" w:type="dxa"/>
            </w:tcMar>
          </w:tcPr>
          <w:p w14:paraId="1ABDE0C7" w14:textId="77777777" w:rsidR="00F76CC2" w:rsidRDefault="006E6510" w:rsidP="00D77F95">
            <w:pPr>
              <w:jc w:val="both"/>
            </w:pPr>
            <w:r>
              <w:rPr>
                <w:color w:val="000000"/>
                <w:sz w:val="20"/>
                <w:szCs w:val="20"/>
              </w:rPr>
              <w:t>Procurement</w:t>
            </w:r>
          </w:p>
        </w:tc>
        <w:tc>
          <w:tcPr>
            <w:tcW w:w="1260" w:type="dxa"/>
            <w:shd w:val="clear" w:color="auto" w:fill="F4F4F4"/>
            <w:tcMar>
              <w:top w:w="80" w:type="dxa"/>
              <w:left w:w="120" w:type="dxa"/>
              <w:bottom w:w="80" w:type="dxa"/>
              <w:right w:w="120" w:type="dxa"/>
            </w:tcMar>
          </w:tcPr>
          <w:p w14:paraId="0164F116" w14:textId="77777777" w:rsidR="00F76CC2" w:rsidRDefault="006E6510" w:rsidP="00D77F95">
            <w:pPr>
              <w:jc w:val="both"/>
            </w:pPr>
            <w:r>
              <w:rPr>
                <w:color w:val="000000"/>
                <w:sz w:val="20"/>
                <w:szCs w:val="20"/>
              </w:rPr>
              <w:t>16</w:t>
            </w:r>
          </w:p>
        </w:tc>
        <w:tc>
          <w:tcPr>
            <w:tcW w:w="5310" w:type="dxa"/>
            <w:shd w:val="clear" w:color="auto" w:fill="F4F4F4"/>
            <w:tcMar>
              <w:top w:w="80" w:type="dxa"/>
              <w:left w:w="120" w:type="dxa"/>
              <w:bottom w:w="80" w:type="dxa"/>
              <w:right w:w="120" w:type="dxa"/>
            </w:tcMar>
          </w:tcPr>
          <w:p w14:paraId="188194B6" w14:textId="77777777" w:rsidR="00F76CC2" w:rsidRDefault="006E6510" w:rsidP="00D77F95">
            <w:pPr>
              <w:jc w:val="both"/>
            </w:pPr>
            <w:r>
              <w:rPr>
                <w:color w:val="000000"/>
                <w:sz w:val="20"/>
                <w:szCs w:val="20"/>
              </w:rPr>
              <w:t>2 CFR §§ 200.317–200.327</w:t>
            </w:r>
          </w:p>
        </w:tc>
      </w:tr>
      <w:tr w:rsidR="007F1FA3" w14:paraId="1CAE1C5B" w14:textId="77777777" w:rsidTr="00C42B8E">
        <w:tc>
          <w:tcPr>
            <w:tcW w:w="3415" w:type="dxa"/>
            <w:shd w:val="clear" w:color="auto" w:fill="FFFFFF"/>
            <w:tcMar>
              <w:top w:w="80" w:type="dxa"/>
              <w:left w:w="120" w:type="dxa"/>
              <w:bottom w:w="80" w:type="dxa"/>
              <w:right w:w="120" w:type="dxa"/>
            </w:tcMar>
          </w:tcPr>
          <w:p w14:paraId="4009FA91" w14:textId="77777777" w:rsidR="00F76CC2" w:rsidRDefault="006E6510" w:rsidP="00D77F95">
            <w:pPr>
              <w:jc w:val="both"/>
            </w:pPr>
            <w:r>
              <w:rPr>
                <w:color w:val="000000"/>
                <w:sz w:val="20"/>
                <w:szCs w:val="20"/>
              </w:rPr>
              <w:t>Subrecipient Monitoring</w:t>
            </w:r>
          </w:p>
        </w:tc>
        <w:tc>
          <w:tcPr>
            <w:tcW w:w="1260" w:type="dxa"/>
            <w:shd w:val="clear" w:color="auto" w:fill="FFFFFF"/>
            <w:tcMar>
              <w:top w:w="80" w:type="dxa"/>
              <w:left w:w="120" w:type="dxa"/>
              <w:bottom w:w="80" w:type="dxa"/>
              <w:right w:w="120" w:type="dxa"/>
            </w:tcMar>
          </w:tcPr>
          <w:p w14:paraId="59DE6C6F" w14:textId="77777777" w:rsidR="00F76CC2" w:rsidRDefault="006E6510" w:rsidP="00D77F95">
            <w:pPr>
              <w:jc w:val="both"/>
            </w:pPr>
            <w:r>
              <w:rPr>
                <w:color w:val="000000"/>
                <w:sz w:val="20"/>
                <w:szCs w:val="20"/>
              </w:rPr>
              <w:t>12</w:t>
            </w:r>
          </w:p>
        </w:tc>
        <w:tc>
          <w:tcPr>
            <w:tcW w:w="5310" w:type="dxa"/>
            <w:shd w:val="clear" w:color="auto" w:fill="FFFFFF"/>
            <w:tcMar>
              <w:top w:w="80" w:type="dxa"/>
              <w:left w:w="120" w:type="dxa"/>
              <w:bottom w:w="80" w:type="dxa"/>
              <w:right w:w="120" w:type="dxa"/>
            </w:tcMar>
          </w:tcPr>
          <w:p w14:paraId="44F2BD69" w14:textId="77777777" w:rsidR="00F76CC2" w:rsidRDefault="006E6510" w:rsidP="00D77F95">
            <w:pPr>
              <w:jc w:val="both"/>
            </w:pPr>
            <w:r>
              <w:rPr>
                <w:color w:val="000000"/>
                <w:sz w:val="20"/>
                <w:szCs w:val="20"/>
              </w:rPr>
              <w:t>2 CFR §§ 200.330–200.332</w:t>
            </w:r>
          </w:p>
        </w:tc>
      </w:tr>
      <w:tr w:rsidR="007F1FA3" w14:paraId="5185C00B" w14:textId="77777777" w:rsidTr="00C42B8E">
        <w:tc>
          <w:tcPr>
            <w:tcW w:w="3415" w:type="dxa"/>
            <w:shd w:val="clear" w:color="auto" w:fill="F4F4F4"/>
            <w:tcMar>
              <w:top w:w="80" w:type="dxa"/>
              <w:left w:w="120" w:type="dxa"/>
              <w:bottom w:w="80" w:type="dxa"/>
              <w:right w:w="120" w:type="dxa"/>
            </w:tcMar>
          </w:tcPr>
          <w:p w14:paraId="0AF51C33" w14:textId="77777777" w:rsidR="00F76CC2" w:rsidRDefault="006E6510" w:rsidP="00D77F95">
            <w:pPr>
              <w:jc w:val="both"/>
            </w:pPr>
            <w:r>
              <w:rPr>
                <w:color w:val="000000"/>
                <w:sz w:val="20"/>
                <w:szCs w:val="20"/>
              </w:rPr>
              <w:t>Internal Audit &amp; Oversight</w:t>
            </w:r>
          </w:p>
        </w:tc>
        <w:tc>
          <w:tcPr>
            <w:tcW w:w="1260" w:type="dxa"/>
            <w:shd w:val="clear" w:color="auto" w:fill="F4F4F4"/>
            <w:tcMar>
              <w:top w:w="80" w:type="dxa"/>
              <w:left w:w="120" w:type="dxa"/>
              <w:bottom w:w="80" w:type="dxa"/>
              <w:right w:w="120" w:type="dxa"/>
            </w:tcMar>
          </w:tcPr>
          <w:p w14:paraId="7847929C" w14:textId="77777777" w:rsidR="00F76CC2" w:rsidRDefault="006E6510" w:rsidP="00D77F95">
            <w:pPr>
              <w:jc w:val="both"/>
            </w:pPr>
            <w:r>
              <w:rPr>
                <w:color w:val="000000"/>
                <w:sz w:val="20"/>
                <w:szCs w:val="20"/>
              </w:rPr>
              <w:t>8</w:t>
            </w:r>
          </w:p>
        </w:tc>
        <w:tc>
          <w:tcPr>
            <w:tcW w:w="5310" w:type="dxa"/>
            <w:shd w:val="clear" w:color="auto" w:fill="F4F4F4"/>
            <w:tcMar>
              <w:top w:w="80" w:type="dxa"/>
              <w:left w:w="120" w:type="dxa"/>
              <w:bottom w:w="80" w:type="dxa"/>
              <w:right w:w="120" w:type="dxa"/>
            </w:tcMar>
          </w:tcPr>
          <w:p w14:paraId="6CD072D0" w14:textId="77777777" w:rsidR="00F76CC2" w:rsidRDefault="006E6510" w:rsidP="00D77F95">
            <w:pPr>
              <w:jc w:val="both"/>
            </w:pPr>
            <w:r>
              <w:rPr>
                <w:color w:val="000000"/>
                <w:sz w:val="20"/>
                <w:szCs w:val="20"/>
              </w:rPr>
              <w:t>GAO Green Book Monitoring Standards; 2 CFR § 200.303</w:t>
            </w:r>
          </w:p>
        </w:tc>
      </w:tr>
      <w:tr w:rsidR="007F1FA3" w14:paraId="1656CEB2" w14:textId="77777777" w:rsidTr="00C42B8E">
        <w:tc>
          <w:tcPr>
            <w:tcW w:w="3415" w:type="dxa"/>
            <w:shd w:val="clear" w:color="auto" w:fill="FFFFFF"/>
            <w:tcMar>
              <w:top w:w="80" w:type="dxa"/>
              <w:left w:w="120" w:type="dxa"/>
              <w:bottom w:w="80" w:type="dxa"/>
              <w:right w:w="120" w:type="dxa"/>
            </w:tcMar>
          </w:tcPr>
          <w:p w14:paraId="6AAA8F1A" w14:textId="77777777" w:rsidR="00F76CC2" w:rsidRDefault="006E6510" w:rsidP="00D77F95">
            <w:pPr>
              <w:jc w:val="both"/>
            </w:pPr>
            <w:r>
              <w:rPr>
                <w:color w:val="000000"/>
                <w:sz w:val="20"/>
                <w:szCs w:val="20"/>
              </w:rPr>
              <w:t>Cost Principles</w:t>
            </w:r>
          </w:p>
        </w:tc>
        <w:tc>
          <w:tcPr>
            <w:tcW w:w="1260" w:type="dxa"/>
            <w:shd w:val="clear" w:color="auto" w:fill="FFFFFF"/>
            <w:tcMar>
              <w:top w:w="80" w:type="dxa"/>
              <w:left w:w="120" w:type="dxa"/>
              <w:bottom w:w="80" w:type="dxa"/>
              <w:right w:w="120" w:type="dxa"/>
            </w:tcMar>
          </w:tcPr>
          <w:p w14:paraId="2C40D13B" w14:textId="77777777" w:rsidR="00F76CC2" w:rsidRDefault="006E6510" w:rsidP="00D77F95">
            <w:pPr>
              <w:jc w:val="both"/>
            </w:pPr>
            <w:r>
              <w:rPr>
                <w:color w:val="000000"/>
                <w:sz w:val="20"/>
                <w:szCs w:val="20"/>
              </w:rPr>
              <w:t>14</w:t>
            </w:r>
          </w:p>
        </w:tc>
        <w:tc>
          <w:tcPr>
            <w:tcW w:w="5310" w:type="dxa"/>
            <w:shd w:val="clear" w:color="auto" w:fill="FFFFFF"/>
            <w:tcMar>
              <w:top w:w="80" w:type="dxa"/>
              <w:left w:w="120" w:type="dxa"/>
              <w:bottom w:w="80" w:type="dxa"/>
              <w:right w:w="120" w:type="dxa"/>
            </w:tcMar>
          </w:tcPr>
          <w:p w14:paraId="4DA796C7" w14:textId="77777777" w:rsidR="00F76CC2" w:rsidRDefault="006E6510" w:rsidP="00D77F95">
            <w:pPr>
              <w:jc w:val="both"/>
            </w:pPr>
            <w:r>
              <w:rPr>
                <w:color w:val="000000"/>
                <w:sz w:val="20"/>
                <w:szCs w:val="20"/>
              </w:rPr>
              <w:t>2 CFR §§ 200.400–200.475</w:t>
            </w:r>
          </w:p>
        </w:tc>
      </w:tr>
      <w:tr w:rsidR="007F1FA3" w14:paraId="22149DCE" w14:textId="77777777" w:rsidTr="00C42B8E">
        <w:tc>
          <w:tcPr>
            <w:tcW w:w="3415" w:type="dxa"/>
            <w:shd w:val="clear" w:color="auto" w:fill="F4F4F4"/>
            <w:tcMar>
              <w:top w:w="80" w:type="dxa"/>
              <w:left w:w="120" w:type="dxa"/>
              <w:bottom w:w="80" w:type="dxa"/>
              <w:right w:w="120" w:type="dxa"/>
            </w:tcMar>
          </w:tcPr>
          <w:p w14:paraId="6F0222C4" w14:textId="77777777" w:rsidR="00F76CC2" w:rsidRDefault="006E6510" w:rsidP="00D77F95">
            <w:pPr>
              <w:jc w:val="both"/>
            </w:pPr>
            <w:r>
              <w:rPr>
                <w:color w:val="000000"/>
                <w:sz w:val="20"/>
                <w:szCs w:val="20"/>
              </w:rPr>
              <w:t>Allowable Cost Testing</w:t>
            </w:r>
          </w:p>
        </w:tc>
        <w:tc>
          <w:tcPr>
            <w:tcW w:w="1260" w:type="dxa"/>
            <w:shd w:val="clear" w:color="auto" w:fill="F4F4F4"/>
            <w:tcMar>
              <w:top w:w="80" w:type="dxa"/>
              <w:left w:w="120" w:type="dxa"/>
              <w:bottom w:w="80" w:type="dxa"/>
              <w:right w:w="120" w:type="dxa"/>
            </w:tcMar>
          </w:tcPr>
          <w:p w14:paraId="3FFCAEB1" w14:textId="77777777" w:rsidR="00F76CC2" w:rsidRDefault="006E6510" w:rsidP="00D77F95">
            <w:pPr>
              <w:jc w:val="both"/>
            </w:pPr>
            <w:r>
              <w:rPr>
                <w:color w:val="000000"/>
                <w:sz w:val="20"/>
                <w:szCs w:val="20"/>
              </w:rPr>
              <w:t>12</w:t>
            </w:r>
          </w:p>
        </w:tc>
        <w:tc>
          <w:tcPr>
            <w:tcW w:w="5310" w:type="dxa"/>
            <w:shd w:val="clear" w:color="auto" w:fill="F4F4F4"/>
            <w:tcMar>
              <w:top w:w="80" w:type="dxa"/>
              <w:left w:w="120" w:type="dxa"/>
              <w:bottom w:w="80" w:type="dxa"/>
              <w:right w:w="120" w:type="dxa"/>
            </w:tcMar>
          </w:tcPr>
          <w:p w14:paraId="5BC68EF2" w14:textId="77777777" w:rsidR="00F76CC2" w:rsidRDefault="006E6510" w:rsidP="00D77F95">
            <w:pPr>
              <w:jc w:val="both"/>
            </w:pPr>
            <w:r>
              <w:rPr>
                <w:color w:val="000000"/>
                <w:sz w:val="20"/>
                <w:szCs w:val="20"/>
              </w:rPr>
              <w:t>Direct vs. Indirect Cost standards; 2 CFR § 200.414</w:t>
            </w:r>
          </w:p>
        </w:tc>
      </w:tr>
      <w:tr w:rsidR="007F1FA3" w14:paraId="119C7C1D" w14:textId="77777777" w:rsidTr="00C42B8E">
        <w:tc>
          <w:tcPr>
            <w:tcW w:w="3415" w:type="dxa"/>
            <w:shd w:val="clear" w:color="auto" w:fill="FFFFFF"/>
            <w:tcMar>
              <w:top w:w="80" w:type="dxa"/>
              <w:left w:w="120" w:type="dxa"/>
              <w:bottom w:w="80" w:type="dxa"/>
              <w:right w:w="120" w:type="dxa"/>
            </w:tcMar>
          </w:tcPr>
          <w:p w14:paraId="600D4DA2" w14:textId="77777777" w:rsidR="00F76CC2" w:rsidRDefault="006E6510" w:rsidP="00D77F95">
            <w:pPr>
              <w:jc w:val="both"/>
            </w:pPr>
            <w:r>
              <w:rPr>
                <w:color w:val="000000"/>
                <w:sz w:val="20"/>
                <w:szCs w:val="20"/>
              </w:rPr>
              <w:t>Performance &amp; Reporting</w:t>
            </w:r>
          </w:p>
        </w:tc>
        <w:tc>
          <w:tcPr>
            <w:tcW w:w="1260" w:type="dxa"/>
            <w:shd w:val="clear" w:color="auto" w:fill="FFFFFF"/>
            <w:tcMar>
              <w:top w:w="80" w:type="dxa"/>
              <w:left w:w="120" w:type="dxa"/>
              <w:bottom w:w="80" w:type="dxa"/>
              <w:right w:w="120" w:type="dxa"/>
            </w:tcMar>
          </w:tcPr>
          <w:p w14:paraId="796836E9" w14:textId="77777777" w:rsidR="00F76CC2" w:rsidRDefault="006E6510" w:rsidP="00D77F95">
            <w:pPr>
              <w:jc w:val="both"/>
            </w:pPr>
            <w:r>
              <w:rPr>
                <w:color w:val="000000"/>
                <w:sz w:val="20"/>
                <w:szCs w:val="20"/>
              </w:rPr>
              <w:t>10</w:t>
            </w:r>
          </w:p>
        </w:tc>
        <w:tc>
          <w:tcPr>
            <w:tcW w:w="5310" w:type="dxa"/>
            <w:shd w:val="clear" w:color="auto" w:fill="FFFFFF"/>
            <w:tcMar>
              <w:top w:w="80" w:type="dxa"/>
              <w:left w:w="120" w:type="dxa"/>
              <w:bottom w:w="80" w:type="dxa"/>
              <w:right w:w="120" w:type="dxa"/>
            </w:tcMar>
          </w:tcPr>
          <w:p w14:paraId="2E0F7A89" w14:textId="77777777" w:rsidR="00F76CC2" w:rsidRDefault="006E6510" w:rsidP="00D77F95">
            <w:pPr>
              <w:jc w:val="both"/>
            </w:pPr>
            <w:r>
              <w:rPr>
                <w:color w:val="000000"/>
                <w:sz w:val="20"/>
                <w:szCs w:val="20"/>
              </w:rPr>
              <w:t>2 CFR §§ 200.328–200.329</w:t>
            </w:r>
          </w:p>
        </w:tc>
      </w:tr>
      <w:tr w:rsidR="007F1FA3" w14:paraId="57C638E1" w14:textId="77777777" w:rsidTr="00C42B8E">
        <w:tc>
          <w:tcPr>
            <w:tcW w:w="3415" w:type="dxa"/>
            <w:shd w:val="clear" w:color="auto" w:fill="F4F4F4"/>
            <w:tcMar>
              <w:top w:w="80" w:type="dxa"/>
              <w:left w:w="120" w:type="dxa"/>
              <w:bottom w:w="80" w:type="dxa"/>
              <w:right w:w="120" w:type="dxa"/>
            </w:tcMar>
          </w:tcPr>
          <w:p w14:paraId="086D3324" w14:textId="77777777" w:rsidR="00F76CC2" w:rsidRDefault="006E6510" w:rsidP="00D77F95">
            <w:pPr>
              <w:jc w:val="both"/>
            </w:pPr>
            <w:r>
              <w:rPr>
                <w:color w:val="000000"/>
                <w:sz w:val="20"/>
                <w:szCs w:val="20"/>
              </w:rPr>
              <w:t>Property &amp; Inventory</w:t>
            </w:r>
          </w:p>
        </w:tc>
        <w:tc>
          <w:tcPr>
            <w:tcW w:w="1260" w:type="dxa"/>
            <w:shd w:val="clear" w:color="auto" w:fill="F4F4F4"/>
            <w:tcMar>
              <w:top w:w="80" w:type="dxa"/>
              <w:left w:w="120" w:type="dxa"/>
              <w:bottom w:w="80" w:type="dxa"/>
              <w:right w:w="120" w:type="dxa"/>
            </w:tcMar>
          </w:tcPr>
          <w:p w14:paraId="604F991C" w14:textId="77777777" w:rsidR="00F76CC2" w:rsidRDefault="006E6510" w:rsidP="00D77F95">
            <w:pPr>
              <w:jc w:val="both"/>
            </w:pPr>
            <w:r>
              <w:rPr>
                <w:color w:val="000000"/>
                <w:sz w:val="20"/>
                <w:szCs w:val="20"/>
              </w:rPr>
              <w:t>8</w:t>
            </w:r>
          </w:p>
        </w:tc>
        <w:tc>
          <w:tcPr>
            <w:tcW w:w="5310" w:type="dxa"/>
            <w:shd w:val="clear" w:color="auto" w:fill="F4F4F4"/>
            <w:tcMar>
              <w:top w:w="80" w:type="dxa"/>
              <w:left w:w="120" w:type="dxa"/>
              <w:bottom w:w="80" w:type="dxa"/>
              <w:right w:w="120" w:type="dxa"/>
            </w:tcMar>
          </w:tcPr>
          <w:p w14:paraId="68B1A761" w14:textId="77777777" w:rsidR="00F76CC2" w:rsidRDefault="006E6510" w:rsidP="00D77F95">
            <w:pPr>
              <w:jc w:val="both"/>
            </w:pPr>
            <w:r>
              <w:rPr>
                <w:color w:val="000000"/>
                <w:sz w:val="20"/>
                <w:szCs w:val="20"/>
              </w:rPr>
              <w:t>2 CFR §§ 200.310–200.316</w:t>
            </w:r>
          </w:p>
        </w:tc>
      </w:tr>
      <w:tr w:rsidR="007F1FA3" w14:paraId="72F471BD" w14:textId="77777777" w:rsidTr="00C42B8E">
        <w:tc>
          <w:tcPr>
            <w:tcW w:w="3415" w:type="dxa"/>
            <w:shd w:val="clear" w:color="auto" w:fill="FFFFFF"/>
            <w:tcMar>
              <w:top w:w="80" w:type="dxa"/>
              <w:left w:w="120" w:type="dxa"/>
              <w:bottom w:w="80" w:type="dxa"/>
              <w:right w:w="120" w:type="dxa"/>
            </w:tcMar>
          </w:tcPr>
          <w:p w14:paraId="7AC957EF" w14:textId="77777777" w:rsidR="00F76CC2" w:rsidRDefault="006E6510" w:rsidP="00D77F95">
            <w:pPr>
              <w:jc w:val="both"/>
            </w:pPr>
            <w:r>
              <w:rPr>
                <w:color w:val="000000"/>
                <w:sz w:val="20"/>
                <w:szCs w:val="20"/>
              </w:rPr>
              <w:t>Records &amp; Documentation</w:t>
            </w:r>
          </w:p>
        </w:tc>
        <w:tc>
          <w:tcPr>
            <w:tcW w:w="1260" w:type="dxa"/>
            <w:shd w:val="clear" w:color="auto" w:fill="FFFFFF"/>
            <w:tcMar>
              <w:top w:w="80" w:type="dxa"/>
              <w:left w:w="120" w:type="dxa"/>
              <w:bottom w:w="80" w:type="dxa"/>
              <w:right w:w="120" w:type="dxa"/>
            </w:tcMar>
          </w:tcPr>
          <w:p w14:paraId="193F59E6" w14:textId="77777777" w:rsidR="00F76CC2" w:rsidRDefault="006E6510" w:rsidP="00D77F95">
            <w:pPr>
              <w:jc w:val="both"/>
            </w:pPr>
            <w:r>
              <w:rPr>
                <w:color w:val="000000"/>
                <w:sz w:val="20"/>
                <w:szCs w:val="20"/>
              </w:rPr>
              <w:t>9</w:t>
            </w:r>
          </w:p>
        </w:tc>
        <w:tc>
          <w:tcPr>
            <w:tcW w:w="5310" w:type="dxa"/>
            <w:shd w:val="clear" w:color="auto" w:fill="FFFFFF"/>
            <w:tcMar>
              <w:top w:w="80" w:type="dxa"/>
              <w:left w:w="120" w:type="dxa"/>
              <w:bottom w:w="80" w:type="dxa"/>
              <w:right w:w="120" w:type="dxa"/>
            </w:tcMar>
          </w:tcPr>
          <w:p w14:paraId="2E689084" w14:textId="77777777" w:rsidR="00F76CC2" w:rsidRDefault="006E6510" w:rsidP="00D77F95">
            <w:pPr>
              <w:jc w:val="both"/>
            </w:pPr>
            <w:r>
              <w:rPr>
                <w:color w:val="000000"/>
                <w:sz w:val="20"/>
                <w:szCs w:val="20"/>
              </w:rPr>
              <w:t>2 CFR § 200.334</w:t>
            </w:r>
          </w:p>
        </w:tc>
      </w:tr>
      <w:tr w:rsidR="007F1FA3" w14:paraId="23043B0D" w14:textId="77777777" w:rsidTr="00C42B8E">
        <w:tc>
          <w:tcPr>
            <w:tcW w:w="3415" w:type="dxa"/>
            <w:shd w:val="clear" w:color="auto" w:fill="F4F4F4"/>
            <w:tcMar>
              <w:top w:w="80" w:type="dxa"/>
              <w:left w:w="120" w:type="dxa"/>
              <w:bottom w:w="80" w:type="dxa"/>
              <w:right w:w="120" w:type="dxa"/>
            </w:tcMar>
          </w:tcPr>
          <w:p w14:paraId="5EE1FB19" w14:textId="77777777" w:rsidR="00F76CC2" w:rsidRDefault="006E6510" w:rsidP="00D77F95">
            <w:pPr>
              <w:jc w:val="both"/>
            </w:pPr>
            <w:r>
              <w:rPr>
                <w:color w:val="000000"/>
                <w:sz w:val="20"/>
                <w:szCs w:val="20"/>
              </w:rPr>
              <w:t>Award Closeout</w:t>
            </w:r>
          </w:p>
        </w:tc>
        <w:tc>
          <w:tcPr>
            <w:tcW w:w="1260" w:type="dxa"/>
            <w:shd w:val="clear" w:color="auto" w:fill="F4F4F4"/>
            <w:tcMar>
              <w:top w:w="80" w:type="dxa"/>
              <w:left w:w="120" w:type="dxa"/>
              <w:bottom w:w="80" w:type="dxa"/>
              <w:right w:w="120" w:type="dxa"/>
            </w:tcMar>
          </w:tcPr>
          <w:p w14:paraId="1E6AE871" w14:textId="77777777" w:rsidR="00F76CC2" w:rsidRDefault="006E6510" w:rsidP="00D77F95">
            <w:pPr>
              <w:jc w:val="both"/>
            </w:pPr>
            <w:r>
              <w:rPr>
                <w:color w:val="000000"/>
                <w:sz w:val="20"/>
                <w:szCs w:val="20"/>
              </w:rPr>
              <w:t>9</w:t>
            </w:r>
          </w:p>
        </w:tc>
        <w:tc>
          <w:tcPr>
            <w:tcW w:w="5310" w:type="dxa"/>
            <w:shd w:val="clear" w:color="auto" w:fill="F4F4F4"/>
            <w:tcMar>
              <w:top w:w="80" w:type="dxa"/>
              <w:left w:w="120" w:type="dxa"/>
              <w:bottom w:w="80" w:type="dxa"/>
              <w:right w:w="120" w:type="dxa"/>
            </w:tcMar>
          </w:tcPr>
          <w:p w14:paraId="06640248" w14:textId="77777777" w:rsidR="00F76CC2" w:rsidRDefault="006E6510" w:rsidP="00D77F95">
            <w:pPr>
              <w:jc w:val="both"/>
            </w:pPr>
            <w:r>
              <w:rPr>
                <w:color w:val="000000"/>
                <w:sz w:val="20"/>
                <w:szCs w:val="20"/>
              </w:rPr>
              <w:t>2 CFR § 200.344</w:t>
            </w:r>
          </w:p>
        </w:tc>
      </w:tr>
    </w:tbl>
    <w:p w14:paraId="49577B36" w14:textId="77777777" w:rsidR="00F76CC2" w:rsidRDefault="006E6510" w:rsidP="00D77F95">
      <w:pPr>
        <w:pStyle w:val="Heading2"/>
        <w:jc w:val="both"/>
      </w:pPr>
      <w:r>
        <w:rPr>
          <w:sz w:val="22"/>
          <w:szCs w:val="22"/>
        </w:rPr>
        <w:t>5. Key Features</w:t>
      </w:r>
    </w:p>
    <w:p w14:paraId="3C1E9884" w14:textId="77777777" w:rsidR="00F76CC2" w:rsidRDefault="006E6510" w:rsidP="00D77F95">
      <w:pPr>
        <w:pStyle w:val="ListParagraph"/>
        <w:numPr>
          <w:ilvl w:val="0"/>
          <w:numId w:val="3"/>
        </w:numPr>
        <w:spacing w:before="40" w:after="40"/>
        <w:jc w:val="both"/>
      </w:pPr>
      <w:r>
        <w:rPr>
          <w:b/>
          <w:bCs/>
        </w:rPr>
        <w:t xml:space="preserve">Comprehensive Coverage: </w:t>
      </w:r>
      <w:r>
        <w:t>130+ controls mapped across all relevant 2 CFR 200 clauses and GAO Green Book principles</w:t>
      </w:r>
    </w:p>
    <w:p w14:paraId="7CCDC7E2" w14:textId="77777777" w:rsidR="00F76CC2" w:rsidRDefault="006E6510" w:rsidP="00D77F95">
      <w:pPr>
        <w:pStyle w:val="ListParagraph"/>
        <w:numPr>
          <w:ilvl w:val="0"/>
          <w:numId w:val="3"/>
        </w:numPr>
        <w:spacing w:before="40" w:after="40"/>
        <w:jc w:val="both"/>
      </w:pPr>
      <w:r>
        <w:rPr>
          <w:b/>
          <w:bCs/>
        </w:rPr>
        <w:t xml:space="preserve">Compliance Readiness: </w:t>
      </w:r>
      <w:r>
        <w:t>Designed to support Single Audits (2 CFR § 200.501), IG audits, and other federal compliance reviews</w:t>
      </w:r>
    </w:p>
    <w:p w14:paraId="7D7A1153" w14:textId="77777777" w:rsidR="00F76CC2" w:rsidRDefault="006E6510" w:rsidP="00D77F95">
      <w:pPr>
        <w:pStyle w:val="ListParagraph"/>
        <w:numPr>
          <w:ilvl w:val="0"/>
          <w:numId w:val="3"/>
        </w:numPr>
        <w:spacing w:before="40" w:after="40"/>
        <w:jc w:val="both"/>
      </w:pPr>
      <w:r>
        <w:rPr>
          <w:b/>
          <w:bCs/>
        </w:rPr>
        <w:t xml:space="preserve">Cloud-Enabled Evidence Tracking: </w:t>
      </w:r>
      <w:r>
        <w:t>Real-time documentation, monitoring, and reporting across multiple grant recipients</w:t>
      </w:r>
    </w:p>
    <w:p w14:paraId="4EF79077" w14:textId="77777777" w:rsidR="00F76CC2" w:rsidRDefault="006E6510" w:rsidP="00D77F95">
      <w:pPr>
        <w:pStyle w:val="ListParagraph"/>
        <w:numPr>
          <w:ilvl w:val="0"/>
          <w:numId w:val="3"/>
        </w:numPr>
        <w:spacing w:before="40" w:after="40"/>
        <w:jc w:val="both"/>
      </w:pPr>
      <w:r>
        <w:rPr>
          <w:b/>
          <w:bCs/>
        </w:rPr>
        <w:t xml:space="preserve">Free Open-Access Distribution: </w:t>
      </w:r>
      <w:r w:rsidRPr="00C42C42">
        <w:t xml:space="preserve">Available at </w:t>
      </w:r>
      <w:r w:rsidRPr="00C42C42">
        <w:rPr>
          <w:highlight w:val="yellow"/>
        </w:rPr>
        <w:t>[WEBSITE URL</w:t>
      </w:r>
      <w:r w:rsidRPr="00C42C42">
        <w:t xml:space="preserve">] and </w:t>
      </w:r>
      <w:r w:rsidRPr="00C42C42">
        <w:rPr>
          <w:highlight w:val="yellow"/>
        </w:rPr>
        <w:t>[GitHub URL]</w:t>
      </w:r>
      <w:r w:rsidRPr="00C42C42">
        <w:t xml:space="preserve"> at no cost — no licensing fees, no proprietary lock-in</w:t>
      </w:r>
    </w:p>
    <w:p w14:paraId="0A6E140E" w14:textId="77777777" w:rsidR="00F76CC2" w:rsidRDefault="006E6510" w:rsidP="00D77F95">
      <w:pPr>
        <w:pStyle w:val="ListParagraph"/>
        <w:numPr>
          <w:ilvl w:val="0"/>
          <w:numId w:val="3"/>
        </w:numPr>
        <w:spacing w:before="40" w:after="40"/>
        <w:jc w:val="both"/>
      </w:pPr>
      <w:r>
        <w:rPr>
          <w:b/>
          <w:bCs/>
        </w:rPr>
        <w:t xml:space="preserve">Replicable Public Value: </w:t>
      </w:r>
      <w:r>
        <w:t>Scalable framework suitable for federal, state, and nonprofit agencies nationwide</w:t>
      </w:r>
    </w:p>
    <w:p w14:paraId="3C040300" w14:textId="4A538EAC" w:rsidR="000F0181" w:rsidRDefault="006E6510" w:rsidP="00D77F95">
      <w:pPr>
        <w:pStyle w:val="ListParagraph"/>
        <w:numPr>
          <w:ilvl w:val="0"/>
          <w:numId w:val="3"/>
        </w:numPr>
        <w:spacing w:before="40" w:after="40"/>
        <w:jc w:val="both"/>
      </w:pPr>
      <w:r>
        <w:rPr>
          <w:b/>
          <w:bCs/>
        </w:rPr>
        <w:t xml:space="preserve">AI Integration: </w:t>
      </w:r>
      <w:r>
        <w:t xml:space="preserve">Interconnects with the AI-Enabled Grant Fraud Detection System (Exhibit </w:t>
      </w:r>
      <w:r w:rsidR="000724F1">
        <w:t>12.4</w:t>
      </w:r>
      <w:r>
        <w:t>) for automated anomaly detection within the compliance monitoring workflow</w:t>
      </w:r>
    </w:p>
    <w:p w14:paraId="46861578" w14:textId="77777777" w:rsidR="000F0181" w:rsidRDefault="000F0181">
      <w:r>
        <w:br w:type="page"/>
      </w:r>
    </w:p>
    <w:p w14:paraId="00F3ED66" w14:textId="77777777" w:rsidR="00F76CC2" w:rsidRDefault="006E6510" w:rsidP="00D77F95">
      <w:pPr>
        <w:pStyle w:val="Heading2"/>
        <w:jc w:val="both"/>
      </w:pPr>
      <w:r>
        <w:rPr>
          <w:sz w:val="22"/>
          <w:szCs w:val="22"/>
        </w:rPr>
        <w:lastRenderedPageBreak/>
        <w:t>6. Evidence of Adoption and National Interest</w:t>
      </w:r>
    </w:p>
    <w:p w14:paraId="28E6FFBA" w14:textId="0610AB2C" w:rsidR="00F76CC2" w:rsidRDefault="006E6510" w:rsidP="00D77F95">
      <w:pPr>
        <w:spacing w:before="60" w:after="100"/>
        <w:jc w:val="both"/>
      </w:pPr>
      <w:r>
        <w:t>The following evidence demonstrates that this tool is not merely designed but actively available and generating national interest:</w:t>
      </w:r>
    </w:p>
    <w:p w14:paraId="40ED59B7" w14:textId="77777777" w:rsidR="00F76CC2" w:rsidRDefault="006E6510" w:rsidP="00D77F95">
      <w:pPr>
        <w:pStyle w:val="ListParagraph"/>
        <w:numPr>
          <w:ilvl w:val="0"/>
          <w:numId w:val="2"/>
        </w:numPr>
        <w:spacing w:before="40" w:after="40"/>
        <w:jc w:val="both"/>
      </w:pPr>
      <w:r>
        <w:t xml:space="preserve">Public Release: </w:t>
      </w:r>
      <w:r w:rsidRPr="00C42C42">
        <w:t>The Dashboard framework is freely available at [</w:t>
      </w:r>
      <w:r w:rsidRPr="00C42C42">
        <w:rPr>
          <w:highlight w:val="yellow"/>
        </w:rPr>
        <w:t>WEBSITE URL</w:t>
      </w:r>
      <w:r w:rsidRPr="00C42C42">
        <w:t xml:space="preserve">] and </w:t>
      </w:r>
      <w:r w:rsidRPr="00C42C42">
        <w:rPr>
          <w:highlight w:val="yellow"/>
        </w:rPr>
        <w:t>[GitHub URL], with [X] downloads</w:t>
      </w:r>
      <w:r w:rsidRPr="00C42C42">
        <w:t xml:space="preserve"> recorded since public release on [</w:t>
      </w:r>
      <w:r w:rsidRPr="00C42C42">
        <w:rPr>
          <w:highlight w:val="yellow"/>
        </w:rPr>
        <w:t>DATE</w:t>
      </w:r>
      <w:r w:rsidRPr="00C42C42">
        <w:t>].</w:t>
      </w:r>
    </w:p>
    <w:p w14:paraId="6C9789F9" w14:textId="77777777" w:rsidR="00F76CC2" w:rsidRPr="00D77F95" w:rsidRDefault="006E6510" w:rsidP="00D77F95">
      <w:pPr>
        <w:pStyle w:val="ListParagraph"/>
        <w:numPr>
          <w:ilvl w:val="0"/>
          <w:numId w:val="2"/>
        </w:numPr>
        <w:spacing w:before="40" w:after="40"/>
        <w:jc w:val="both"/>
        <w:rPr>
          <w:strike/>
          <w:highlight w:val="cyan"/>
        </w:rPr>
      </w:pPr>
      <w:r w:rsidRPr="00D77F95">
        <w:rPr>
          <w:strike/>
          <w:highlight w:val="cyan"/>
        </w:rPr>
        <w:t>[INSERT: Letter of Interest from [Organization Name], [City, State] — confirming the organization has reviewed the Dashboard and finds it directly applicable to their federal grant compliance operations. See Exhibit [X].]</w:t>
      </w:r>
    </w:p>
    <w:p w14:paraId="0C94F85E" w14:textId="77777777" w:rsidR="00F76CC2" w:rsidRPr="00D77F95" w:rsidRDefault="006E6510" w:rsidP="00D77F95">
      <w:pPr>
        <w:pStyle w:val="ListParagraph"/>
        <w:numPr>
          <w:ilvl w:val="0"/>
          <w:numId w:val="2"/>
        </w:numPr>
        <w:spacing w:before="40" w:after="40"/>
        <w:jc w:val="both"/>
        <w:rPr>
          <w:strike/>
          <w:highlight w:val="cyan"/>
        </w:rPr>
      </w:pPr>
      <w:r w:rsidRPr="00D77F95">
        <w:rPr>
          <w:strike/>
          <w:highlight w:val="cyan"/>
        </w:rPr>
        <w:t>[INSERT: LinkedIn engagement metrics from the public release announcement — [X] views, [X] shares from U.S. public finance practitioners.]</w:t>
      </w:r>
    </w:p>
    <w:p w14:paraId="4A08D8A2" w14:textId="696B668E" w:rsidR="00F76CC2" w:rsidRDefault="006E6510" w:rsidP="00D77F95">
      <w:pPr>
        <w:spacing w:before="60" w:after="100"/>
        <w:jc w:val="both"/>
      </w:pPr>
      <w:r>
        <w:t>The Dashboard is uniquely designed to integrate GAO Green Book principles, federal cost rules, and digital monitoring in a freely accessible format — making it distinct from existing commercial compliance tools in both technical architecture and distribution model</w:t>
      </w:r>
      <w:r w:rsidR="005E221F">
        <w:t>.</w:t>
      </w:r>
    </w:p>
    <w:p w14:paraId="506B9851" w14:textId="421C8E79" w:rsidR="00F76CC2" w:rsidRDefault="00F76CC2" w:rsidP="00D77F95">
      <w:pPr>
        <w:jc w:val="both"/>
      </w:pPr>
    </w:p>
    <w:sectPr w:rsidR="00F76CC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B0EA" w14:textId="77777777" w:rsidR="00B216FC" w:rsidRDefault="00B216FC">
      <w:r>
        <w:separator/>
      </w:r>
    </w:p>
  </w:endnote>
  <w:endnote w:type="continuationSeparator" w:id="0">
    <w:p w14:paraId="73AAF225" w14:textId="77777777" w:rsidR="00B216FC" w:rsidRDefault="00B21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639458"/>
      <w:docPartObj>
        <w:docPartGallery w:val="Page Numbers (Bottom of Page)"/>
        <w:docPartUnique/>
      </w:docPartObj>
    </w:sdtPr>
    <w:sdtContent>
      <w:sdt>
        <w:sdtPr>
          <w:id w:val="-1705238520"/>
          <w:docPartObj>
            <w:docPartGallery w:val="Page Numbers (Top of Page)"/>
            <w:docPartUnique/>
          </w:docPartObj>
        </w:sdtPr>
        <w:sdtContent>
          <w:p w14:paraId="31FDB037" w14:textId="04D5E605" w:rsidR="000F0181" w:rsidRDefault="000F0181" w:rsidP="000F01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0FD37A6" w14:textId="12F4AAAC" w:rsidR="00F76CC2" w:rsidRPr="000F0181" w:rsidRDefault="00F76CC2" w:rsidP="000F0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6D04E" w14:textId="77777777" w:rsidR="00B216FC" w:rsidRDefault="00B216FC">
      <w:r>
        <w:separator/>
      </w:r>
    </w:p>
  </w:footnote>
  <w:footnote w:type="continuationSeparator" w:id="0">
    <w:p w14:paraId="1715F899" w14:textId="77777777" w:rsidR="00B216FC" w:rsidRDefault="00B21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1F2C" w14:textId="1723F456" w:rsidR="00F76CC2" w:rsidRPr="005E221F" w:rsidRDefault="005539E4">
    <w:pPr>
      <w:pBdr>
        <w:bottom w:val="single" w:sz="4" w:space="0" w:color="2E5090"/>
      </w:pBdr>
      <w:spacing w:after="80"/>
      <w:rPr>
        <w:sz w:val="16"/>
        <w:szCs w:val="16"/>
      </w:rPr>
    </w:pPr>
    <w:r>
      <w:rPr>
        <w:color w:val="777777"/>
        <w:sz w:val="16"/>
        <w:szCs w:val="16"/>
      </w:rPr>
      <w:t xml:space="preserve">Financial Governance and Compliance Tools </w:t>
    </w:r>
    <w:r w:rsidR="006E6510" w:rsidRPr="005E221F">
      <w:rPr>
        <w:color w:val="777777"/>
        <w:sz w:val="16"/>
        <w:szCs w:val="16"/>
      </w:rPr>
      <w:t xml:space="preserve">| Muhammad Bilal </w:t>
    </w:r>
    <w:r>
      <w:rPr>
        <w:color w:val="777777"/>
        <w:sz w:val="16"/>
        <w:szCs w:val="16"/>
      </w:rPr>
      <w:t xml:space="preserve">EB 2 </w:t>
    </w:r>
    <w:r w:rsidR="006E6510" w:rsidRPr="005E221F">
      <w:rPr>
        <w:color w:val="777777"/>
        <w:sz w:val="16"/>
        <w:szCs w:val="16"/>
      </w:rPr>
      <w:t xml:space="preserve">NIW </w:t>
    </w:r>
    <w:r>
      <w:rPr>
        <w:color w:val="777777"/>
        <w:sz w:val="16"/>
        <w:szCs w:val="16"/>
      </w:rPr>
      <w:t>Petition</w:t>
    </w:r>
    <w:r w:rsidR="006E6510" w:rsidRPr="005E221F">
      <w:rPr>
        <w:color w:val="777777"/>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03951"/>
    <w:multiLevelType w:val="hybridMultilevel"/>
    <w:tmpl w:val="56ECEF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8816F3E"/>
    <w:multiLevelType w:val="hybridMultilevel"/>
    <w:tmpl w:val="C8644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917F26"/>
    <w:multiLevelType w:val="hybridMultilevel"/>
    <w:tmpl w:val="4718B3A4"/>
    <w:lvl w:ilvl="0" w:tplc="3EDCEB3C">
      <w:start w:val="1"/>
      <w:numFmt w:val="bullet"/>
      <w:lvlText w:val="•"/>
      <w:lvlJc w:val="left"/>
      <w:pPr>
        <w:ind w:left="720" w:hanging="360"/>
      </w:pPr>
    </w:lvl>
    <w:lvl w:ilvl="1" w:tplc="F5625CBA">
      <w:numFmt w:val="decimal"/>
      <w:lvlText w:val=""/>
      <w:lvlJc w:val="left"/>
    </w:lvl>
    <w:lvl w:ilvl="2" w:tplc="A31CD8C8">
      <w:numFmt w:val="decimal"/>
      <w:lvlText w:val=""/>
      <w:lvlJc w:val="left"/>
    </w:lvl>
    <w:lvl w:ilvl="3" w:tplc="F802030C">
      <w:numFmt w:val="decimal"/>
      <w:lvlText w:val=""/>
      <w:lvlJc w:val="left"/>
    </w:lvl>
    <w:lvl w:ilvl="4" w:tplc="4CA846C8">
      <w:numFmt w:val="decimal"/>
      <w:lvlText w:val=""/>
      <w:lvlJc w:val="left"/>
    </w:lvl>
    <w:lvl w:ilvl="5" w:tplc="B40E1F04">
      <w:numFmt w:val="decimal"/>
      <w:lvlText w:val=""/>
      <w:lvlJc w:val="left"/>
    </w:lvl>
    <w:lvl w:ilvl="6" w:tplc="658881C0">
      <w:numFmt w:val="decimal"/>
      <w:lvlText w:val=""/>
      <w:lvlJc w:val="left"/>
    </w:lvl>
    <w:lvl w:ilvl="7" w:tplc="315E6644">
      <w:numFmt w:val="decimal"/>
      <w:lvlText w:val=""/>
      <w:lvlJc w:val="left"/>
    </w:lvl>
    <w:lvl w:ilvl="8" w:tplc="ACAE1192">
      <w:numFmt w:val="decimal"/>
      <w:lvlText w:val=""/>
      <w:lvlJc w:val="left"/>
    </w:lvl>
  </w:abstractNum>
  <w:abstractNum w:abstractNumId="3" w15:restartNumberingAfterBreak="0">
    <w:nsid w:val="5FAA4F06"/>
    <w:multiLevelType w:val="hybridMultilevel"/>
    <w:tmpl w:val="BF78DE78"/>
    <w:lvl w:ilvl="0" w:tplc="448292AE">
      <w:start w:val="1"/>
      <w:numFmt w:val="bullet"/>
      <w:lvlText w:val="•"/>
      <w:lvlJc w:val="left"/>
      <w:pPr>
        <w:ind w:left="720" w:hanging="360"/>
      </w:pPr>
    </w:lvl>
    <w:lvl w:ilvl="1" w:tplc="CAA22DA6">
      <w:numFmt w:val="decimal"/>
      <w:lvlText w:val=""/>
      <w:lvlJc w:val="left"/>
    </w:lvl>
    <w:lvl w:ilvl="2" w:tplc="AFEC96E4">
      <w:numFmt w:val="decimal"/>
      <w:lvlText w:val=""/>
      <w:lvlJc w:val="left"/>
    </w:lvl>
    <w:lvl w:ilvl="3" w:tplc="14764C16">
      <w:numFmt w:val="decimal"/>
      <w:lvlText w:val=""/>
      <w:lvlJc w:val="left"/>
    </w:lvl>
    <w:lvl w:ilvl="4" w:tplc="6548D0E6">
      <w:numFmt w:val="decimal"/>
      <w:lvlText w:val=""/>
      <w:lvlJc w:val="left"/>
    </w:lvl>
    <w:lvl w:ilvl="5" w:tplc="8AE28A2A">
      <w:numFmt w:val="decimal"/>
      <w:lvlText w:val=""/>
      <w:lvlJc w:val="left"/>
    </w:lvl>
    <w:lvl w:ilvl="6" w:tplc="0DA4920C">
      <w:numFmt w:val="decimal"/>
      <w:lvlText w:val=""/>
      <w:lvlJc w:val="left"/>
    </w:lvl>
    <w:lvl w:ilvl="7" w:tplc="424EFCBA">
      <w:numFmt w:val="decimal"/>
      <w:lvlText w:val=""/>
      <w:lvlJc w:val="left"/>
    </w:lvl>
    <w:lvl w:ilvl="8" w:tplc="F1947610">
      <w:numFmt w:val="decimal"/>
      <w:lvlText w:val=""/>
      <w:lvlJc w:val="left"/>
    </w:lvl>
  </w:abstractNum>
  <w:abstractNum w:abstractNumId="4" w15:restartNumberingAfterBreak="0">
    <w:nsid w:val="77427DF6"/>
    <w:multiLevelType w:val="hybridMultilevel"/>
    <w:tmpl w:val="154092C2"/>
    <w:lvl w:ilvl="0" w:tplc="B3F8A352">
      <w:start w:val="1"/>
      <w:numFmt w:val="decimal"/>
      <w:lvlText w:val="%1."/>
      <w:lvlJc w:val="left"/>
      <w:pPr>
        <w:ind w:left="720" w:hanging="360"/>
      </w:pPr>
    </w:lvl>
    <w:lvl w:ilvl="1" w:tplc="0D666A8A">
      <w:numFmt w:val="decimal"/>
      <w:lvlText w:val=""/>
      <w:lvlJc w:val="left"/>
    </w:lvl>
    <w:lvl w:ilvl="2" w:tplc="D2440FD6">
      <w:numFmt w:val="decimal"/>
      <w:lvlText w:val=""/>
      <w:lvlJc w:val="left"/>
    </w:lvl>
    <w:lvl w:ilvl="3" w:tplc="0A62B328">
      <w:numFmt w:val="decimal"/>
      <w:lvlText w:val=""/>
      <w:lvlJc w:val="left"/>
    </w:lvl>
    <w:lvl w:ilvl="4" w:tplc="BA5CF36A">
      <w:numFmt w:val="decimal"/>
      <w:lvlText w:val=""/>
      <w:lvlJc w:val="left"/>
    </w:lvl>
    <w:lvl w:ilvl="5" w:tplc="B908F4AE">
      <w:numFmt w:val="decimal"/>
      <w:lvlText w:val=""/>
      <w:lvlJc w:val="left"/>
    </w:lvl>
    <w:lvl w:ilvl="6" w:tplc="77103C54">
      <w:numFmt w:val="decimal"/>
      <w:lvlText w:val=""/>
      <w:lvlJc w:val="left"/>
    </w:lvl>
    <w:lvl w:ilvl="7" w:tplc="F5405EDC">
      <w:numFmt w:val="decimal"/>
      <w:lvlText w:val=""/>
      <w:lvlJc w:val="left"/>
    </w:lvl>
    <w:lvl w:ilvl="8" w:tplc="BC6606FA">
      <w:numFmt w:val="decimal"/>
      <w:lvlText w:val=""/>
      <w:lvlJc w:val="left"/>
    </w:lvl>
  </w:abstractNum>
  <w:abstractNum w:abstractNumId="5" w15:restartNumberingAfterBreak="0">
    <w:nsid w:val="7A9D2678"/>
    <w:multiLevelType w:val="hybridMultilevel"/>
    <w:tmpl w:val="376ECDE0"/>
    <w:lvl w:ilvl="0" w:tplc="C1C890B4">
      <w:start w:val="1"/>
      <w:numFmt w:val="bullet"/>
      <w:lvlText w:val="●"/>
      <w:lvlJc w:val="left"/>
      <w:pPr>
        <w:ind w:left="720" w:hanging="360"/>
      </w:pPr>
    </w:lvl>
    <w:lvl w:ilvl="1" w:tplc="AE8CA214">
      <w:start w:val="1"/>
      <w:numFmt w:val="bullet"/>
      <w:lvlText w:val="○"/>
      <w:lvlJc w:val="left"/>
      <w:pPr>
        <w:ind w:left="1440" w:hanging="360"/>
      </w:pPr>
    </w:lvl>
    <w:lvl w:ilvl="2" w:tplc="51963BA4">
      <w:start w:val="1"/>
      <w:numFmt w:val="bullet"/>
      <w:lvlText w:val="■"/>
      <w:lvlJc w:val="left"/>
      <w:pPr>
        <w:ind w:left="2160" w:hanging="360"/>
      </w:pPr>
    </w:lvl>
    <w:lvl w:ilvl="3" w:tplc="576ACFDE">
      <w:start w:val="1"/>
      <w:numFmt w:val="bullet"/>
      <w:lvlText w:val="●"/>
      <w:lvlJc w:val="left"/>
      <w:pPr>
        <w:ind w:left="2880" w:hanging="360"/>
      </w:pPr>
    </w:lvl>
    <w:lvl w:ilvl="4" w:tplc="2D38026E">
      <w:start w:val="1"/>
      <w:numFmt w:val="bullet"/>
      <w:lvlText w:val="○"/>
      <w:lvlJc w:val="left"/>
      <w:pPr>
        <w:ind w:left="3600" w:hanging="360"/>
      </w:pPr>
    </w:lvl>
    <w:lvl w:ilvl="5" w:tplc="8D84AC22">
      <w:start w:val="1"/>
      <w:numFmt w:val="bullet"/>
      <w:lvlText w:val="■"/>
      <w:lvlJc w:val="left"/>
      <w:pPr>
        <w:ind w:left="4320" w:hanging="360"/>
      </w:pPr>
    </w:lvl>
    <w:lvl w:ilvl="6" w:tplc="3ED625F8">
      <w:start w:val="1"/>
      <w:numFmt w:val="bullet"/>
      <w:lvlText w:val="●"/>
      <w:lvlJc w:val="left"/>
      <w:pPr>
        <w:ind w:left="5040" w:hanging="360"/>
      </w:pPr>
    </w:lvl>
    <w:lvl w:ilvl="7" w:tplc="EC484486">
      <w:start w:val="1"/>
      <w:numFmt w:val="bullet"/>
      <w:lvlText w:val="●"/>
      <w:lvlJc w:val="left"/>
      <w:pPr>
        <w:ind w:left="5760" w:hanging="360"/>
      </w:pPr>
    </w:lvl>
    <w:lvl w:ilvl="8" w:tplc="56C065E0">
      <w:start w:val="1"/>
      <w:numFmt w:val="bullet"/>
      <w:lvlText w:val="●"/>
      <w:lvlJc w:val="left"/>
      <w:pPr>
        <w:ind w:left="6480" w:hanging="360"/>
      </w:pPr>
    </w:lvl>
  </w:abstractNum>
  <w:num w:numId="1" w16cid:durableId="1605843903">
    <w:abstractNumId w:val="5"/>
    <w:lvlOverride w:ilvl="0">
      <w:startOverride w:val="1"/>
    </w:lvlOverride>
  </w:num>
  <w:num w:numId="2" w16cid:durableId="476265944">
    <w:abstractNumId w:val="2"/>
    <w:lvlOverride w:ilvl="0">
      <w:startOverride w:val="1"/>
    </w:lvlOverride>
  </w:num>
  <w:num w:numId="3" w16cid:durableId="372659517">
    <w:abstractNumId w:val="4"/>
    <w:lvlOverride w:ilvl="0">
      <w:startOverride w:val="1"/>
    </w:lvlOverride>
  </w:num>
  <w:num w:numId="4" w16cid:durableId="2132891731">
    <w:abstractNumId w:val="1"/>
  </w:num>
  <w:num w:numId="5" w16cid:durableId="1232733914">
    <w:abstractNumId w:val="3"/>
    <w:lvlOverride w:ilvl="0">
      <w:startOverride w:val="1"/>
    </w:lvlOverride>
  </w:num>
  <w:num w:numId="6" w16cid:durableId="87026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CC2"/>
    <w:rsid w:val="00026B3E"/>
    <w:rsid w:val="000724F1"/>
    <w:rsid w:val="000965C5"/>
    <w:rsid w:val="000F0181"/>
    <w:rsid w:val="00130D2C"/>
    <w:rsid w:val="00135D11"/>
    <w:rsid w:val="00167C51"/>
    <w:rsid w:val="00176DEC"/>
    <w:rsid w:val="001B74F0"/>
    <w:rsid w:val="001C3C24"/>
    <w:rsid w:val="001D2ACE"/>
    <w:rsid w:val="001F4AFB"/>
    <w:rsid w:val="00202990"/>
    <w:rsid w:val="00233A94"/>
    <w:rsid w:val="00252E06"/>
    <w:rsid w:val="00257CAC"/>
    <w:rsid w:val="00267F26"/>
    <w:rsid w:val="002E2837"/>
    <w:rsid w:val="003657AB"/>
    <w:rsid w:val="00394847"/>
    <w:rsid w:val="003C2249"/>
    <w:rsid w:val="00462700"/>
    <w:rsid w:val="00484ABA"/>
    <w:rsid w:val="004A7159"/>
    <w:rsid w:val="004C3B20"/>
    <w:rsid w:val="004E1E04"/>
    <w:rsid w:val="005275B3"/>
    <w:rsid w:val="00544E9C"/>
    <w:rsid w:val="005539E4"/>
    <w:rsid w:val="005840E3"/>
    <w:rsid w:val="005E0FAB"/>
    <w:rsid w:val="005E221F"/>
    <w:rsid w:val="006437E7"/>
    <w:rsid w:val="00675437"/>
    <w:rsid w:val="006E6510"/>
    <w:rsid w:val="006F0AEB"/>
    <w:rsid w:val="00774B38"/>
    <w:rsid w:val="007F1FA3"/>
    <w:rsid w:val="00806396"/>
    <w:rsid w:val="008154AF"/>
    <w:rsid w:val="00853C1D"/>
    <w:rsid w:val="008647CF"/>
    <w:rsid w:val="008F3C14"/>
    <w:rsid w:val="009736CE"/>
    <w:rsid w:val="009814F6"/>
    <w:rsid w:val="00A04D0A"/>
    <w:rsid w:val="00A50F98"/>
    <w:rsid w:val="00A5369A"/>
    <w:rsid w:val="00AB48EA"/>
    <w:rsid w:val="00AC148C"/>
    <w:rsid w:val="00B216FC"/>
    <w:rsid w:val="00B86E45"/>
    <w:rsid w:val="00B93C34"/>
    <w:rsid w:val="00B963F0"/>
    <w:rsid w:val="00BC4D49"/>
    <w:rsid w:val="00C25F33"/>
    <w:rsid w:val="00C42B8E"/>
    <w:rsid w:val="00C42C42"/>
    <w:rsid w:val="00C54F41"/>
    <w:rsid w:val="00C80AA9"/>
    <w:rsid w:val="00C92F3A"/>
    <w:rsid w:val="00C964D8"/>
    <w:rsid w:val="00CA1545"/>
    <w:rsid w:val="00CA2391"/>
    <w:rsid w:val="00D05372"/>
    <w:rsid w:val="00D71167"/>
    <w:rsid w:val="00D77F95"/>
    <w:rsid w:val="00DB312F"/>
    <w:rsid w:val="00DB5D03"/>
    <w:rsid w:val="00DE19E4"/>
    <w:rsid w:val="00E66276"/>
    <w:rsid w:val="00E91C42"/>
    <w:rsid w:val="00F37F82"/>
    <w:rsid w:val="00F76CC2"/>
    <w:rsid w:val="00F87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389A"/>
  <w15:docId w15:val="{6FBD0966-5D5C-4E3B-8F51-7F41512C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275B3"/>
    <w:pPr>
      <w:tabs>
        <w:tab w:val="center" w:pos="4680"/>
        <w:tab w:val="right" w:pos="9360"/>
      </w:tabs>
    </w:pPr>
  </w:style>
  <w:style w:type="character" w:customStyle="1" w:styleId="HeaderChar">
    <w:name w:val="Header Char"/>
    <w:basedOn w:val="DefaultParagraphFont"/>
    <w:link w:val="Header"/>
    <w:uiPriority w:val="99"/>
    <w:rsid w:val="005275B3"/>
  </w:style>
  <w:style w:type="paragraph" w:styleId="Footer">
    <w:name w:val="footer"/>
    <w:basedOn w:val="Normal"/>
    <w:link w:val="FooterChar"/>
    <w:uiPriority w:val="99"/>
    <w:unhideWhenUsed/>
    <w:rsid w:val="005275B3"/>
    <w:pPr>
      <w:tabs>
        <w:tab w:val="center" w:pos="4680"/>
        <w:tab w:val="right" w:pos="9360"/>
      </w:tabs>
    </w:pPr>
  </w:style>
  <w:style w:type="character" w:customStyle="1" w:styleId="FooterChar">
    <w:name w:val="Footer Char"/>
    <w:basedOn w:val="DefaultParagraphFont"/>
    <w:link w:val="Footer"/>
    <w:uiPriority w:val="99"/>
    <w:rsid w:val="00527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0DB76-3FDD-4B59-BAA1-8374B903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Adeena Bilal</cp:lastModifiedBy>
  <cp:revision>3</cp:revision>
  <dcterms:created xsi:type="dcterms:W3CDTF">2026-06-12T00:04:00Z</dcterms:created>
  <dcterms:modified xsi:type="dcterms:W3CDTF">2026-06-12T00:08:00Z</dcterms:modified>
</cp:coreProperties>
</file>