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0D6E6E"/>
          <w:sz w:val="18"/>
          <w:szCs w:val="18"/>
        </w:rPr>
        <w:t xml:space="preserve">PETITION EXHIBIT  —  EB-2 NATIONAL INTEREST WAIVER</w:t>
      </w:r>
    </w:p>
    <w:p>
      <w:pPr>
        <w:spacing w:after="40" w:before="60"/>
        <w:jc w:val="center"/>
      </w:pPr>
      <w:r>
        <w:rPr>
          <w:rFonts w:ascii="Arial" w:cs="Arial" w:eastAsia="Arial" w:hAnsi="Arial"/>
          <w:b/>
          <w:bCs/>
          <w:color w:val="0F4C8A"/>
          <w:sz w:val="42"/>
          <w:szCs w:val="42"/>
        </w:rPr>
        <w:t xml:space="preserve">Exhibit 19  (Version 2)</w:t>
      </w:r>
    </w:p>
    <w:p>
      <w:pPr>
        <w:spacing w:after="40" w:before="40"/>
        <w:jc w:val="center"/>
      </w:pPr>
      <w:r>
        <w:rPr>
          <w:rFonts w:ascii="Arial" w:cs="Arial" w:eastAsia="Arial" w:hAnsi="Arial"/>
          <w:b/>
          <w:bCs/>
          <w:color w:val="1A6DD4"/>
          <w:sz w:val="30"/>
          <w:szCs w:val="30"/>
        </w:rPr>
        <w:t xml:space="preserve">ERP Implementation Framework for Grant Financial Management</w:t>
      </w:r>
    </w:p>
    <w:p>
      <w:pPr>
        <w:spacing w:after="20" w:before="20"/>
        <w:jc w:val="center"/>
      </w:pPr>
      <w:r>
        <w:rPr>
          <w:rFonts w:ascii="Arial" w:cs="Arial" w:eastAsia="Arial" w:hAnsi="Arial"/>
          <w:color w:val="6B7280"/>
          <w:sz w:val="22"/>
          <w:szCs w:val="22"/>
        </w:rPr>
        <w:t xml:space="preserve">Comprehensive Implementation Manual  ·  Transaction-Driven Methodology  ·  Federal Compliance Architecture</w:t>
      </w:r>
    </w:p>
    <w:p>
      <w:pPr>
        <w:spacing w:after="300" w:before="40"/>
        <w:jc w:val="center"/>
      </w:pPr>
      <w:r>
        <w:rPr>
          <w:rFonts w:ascii="Arial" w:cs="Arial" w:eastAsia="Arial" w:hAnsi="Arial"/>
          <w:b/>
          <w:bCs/>
          <w:color w:val="0F4C8A"/>
          <w:sz w:val="22"/>
          <w:szCs w:val="22"/>
        </w:rPr>
        <w:t xml:space="preserve">Prepared by: Muhammad Bilal, FCA · FCCA · CFA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A" w:sz="1"/>
              <w:left w:val="single" w:color="0F4C8A" w:sz="22"/>
              <w:bottom w:val="single" w:color="0F4C8A" w:sz="1"/>
              <w:right w:val="single" w:color="0F4C8A" w:sz="1"/>
            </w:tcBorders>
            <w:shd w:fill="EBF3FF" w:val="clear"/>
            <w:tcMar>
              <w:top w:type="dxa" w:w="130"/>
              <w:left w:type="dxa" w:w="180"/>
              <w:bottom w:type="dxa" w:w="130"/>
              <w:right w:type="dxa" w:w="160"/>
            </w:tcMar>
          </w:tcPr>
          <w:p>
            <w:pPr>
              <w:spacing w:after="80" w:before="0"/>
            </w:pPr>
            <w:r>
              <w:rPr>
                <w:rFonts w:ascii="Arial" w:cs="Arial" w:eastAsia="Arial" w:hAnsi="Arial"/>
                <w:b/>
                <w:bCs/>
                <w:color w:val="0F4C8A"/>
                <w:sz w:val="21"/>
                <w:szCs w:val="21"/>
              </w:rPr>
              <w:t xml:space="preserve">SCOPE OF THIS EXHIBIT</w:t>
            </w:r>
          </w:p>
          <w:p>
            <w:pPr>
              <w:spacing w:after="36" w:before="0"/>
            </w:pPr>
            <w:r>
              <w:rPr>
                <w:rFonts w:ascii="Arial" w:cs="Arial" w:eastAsia="Arial" w:hAnsi="Arial"/>
                <w:sz w:val="22"/>
                <w:szCs w:val="22"/>
              </w:rPr>
              <w:t xml:space="preserve">This Version 2 document substantially expands Exhibit 19 from a conceptual framework into a complete, implementation-ready ERP manual for federal grant financial management. It contains: five fully transaction-driven implementation phases with end-to-end process flows; a complete 87-item cutover and deployment checklist with validation criteria and OMB references; 210 structured User Acceptance Testing scripts across all grant administration functions; a comprehensive ERP control architecture model; fraud risk scenarios with ERP control responses; and an enhanced national importance argument grounded in quantified systemic impact. This document is suitable for submission as a professional-grade technical exhibit in an EB-2 NIW petition and as a standalone implementation reference for CFOs, auditors, ERP consultants, and federal grant administrators.</w:t>
            </w:r>
          </w:p>
        </w:tc>
      </w:tr>
    </w:tbl>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1 — Overview and National Importance</w:t>
      </w:r>
    </w:p>
    <w:p>
      <w:pPr>
        <w:pStyle w:val="Heading2"/>
        <w:spacing w:after="80" w:before="260"/>
      </w:pPr>
      <w:r>
        <w:rPr>
          <w:rFonts w:ascii="Arial" w:cs="Arial" w:eastAsia="Arial" w:hAnsi="Arial"/>
          <w:b/>
          <w:bCs/>
          <w:color w:val="1A6DD4"/>
          <w:sz w:val="25"/>
          <w:szCs w:val="25"/>
        </w:rPr>
        <w:t xml:space="preserve">1.1  Purpose and Scope</w:t>
      </w:r>
    </w:p>
    <w:p>
      <w:pPr>
        <w:spacing w:after="80" w:before="60"/>
      </w:pPr>
      <w:r>
        <w:rPr>
          <w:rFonts w:ascii="Arial" w:cs="Arial" w:eastAsia="Arial" w:hAnsi="Arial"/>
          <w:sz w:val="22"/>
          <w:szCs w:val="22"/>
        </w:rPr>
        <w:t xml:space="preserve">This exhibit provides documentation of the petitioner's development and operationalization of a comprehensive Enterprise Resource Planning (ERP) implementation framework designed to strengthen financial governance, regulatory compliance, and operational transparency in organizations administering federally funded grant programs. The framework represents the petitioner's original intellectual and technical contribution to the field of federal grant financial systems — a contribution with measurable national-scale impact.</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Version 2 of this exhibit substantially deepens the original documentation. Where Version 1 provided a framework overview, Version 2 delivers a complete implementation manual: transaction-level process flows, end-to-end lifecycle coverage from pre-award planning through post-closeout adjustments, a fully enumerated cutover checklist, 210 structured UAT test scripts, a control architecture model, and forensic readiness protocols. The document is designed to be used by CFOs overseeing grant portfolios, external auditors conducting Single Audits under 2 CFR Part 200, ERP implementation consultants, federal program officers, and compliance counsel.</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1.2  The National Compliance Infrastructure Argument</w:t>
      </w:r>
    </w:p>
    <w:p>
      <w:pPr>
        <w:spacing w:after="80" w:before="60"/>
      </w:pPr>
      <w:r>
        <w:rPr>
          <w:rFonts w:ascii="Arial" w:cs="Arial" w:eastAsia="Arial" w:hAnsi="Arial"/>
          <w:sz w:val="22"/>
          <w:szCs w:val="22"/>
        </w:rPr>
        <w:t xml:space="preserve">The United States federal government distributes over $1.2 trillion annually through grant and cooperative agreement programs to states, municipalities, universities, hospitals, nonprofit organizations, tribal governments, and research institutions. This funding supports national priorities including infrastructure development under the Infrastructure Investment and Jobs Act (IIJA), public health through the Centers for Disease Control and Prevention (CDC), scientific research through the National Institutes of Health (NIH) and National Science Foundation (NSF), education through the Department of Education, and economic development through the Department of Housing and Urban Development (HUD) and the Economic Development Administration (EDA).</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The regulatory framework governing this funding — the Uniform Administrative Requirements, Cost Principles, and Audit Requirements for Federal Awards codified at 2 CFR Part 200 (the Uniform Guidance) — imposes specific, technically demanding requirements on recipient financial management systems. These requirements include: the ability to uniquely identify and segregate federal award funds by source (2 CFR §200.302(b)(1)); the maintenance of effective internal controls over all federal awards (2 CFR §200.303); adherence to allowable cost principles (2 CFR Part 200 Subpart E); timely financial reporting on approved forms (SF-425 Federal Financial Report); and submission to annual Single Audit review for entities expending $750,000 or more in federal awards in a fiscal year (2 CFR Part 200 Subpart F).</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Despite these requirements, systemic compliance failures persist at scale. The Government Accountability Office (GAO) and agency Offices of Inspector General (OIGs) consistently identify financial systems failures as a primary root cause of audit findings across the federal grants ecosystem. Deficient financial management systems — inadequate segregation of duties, manual processes prone to error, fragmented tracking across multiple spreadsheets, absence of automated compliance controls — directly contribute to billions of dollars in questioned costs annually. A 'questioned cost' is a cost that an auditor has questioned because of an audit finding (2 CFR §200.1). Questioned costs may ultimately be determined to be improper payments subject to recovery by the federal agency.</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The petitioner's ERP implementation framework directly addresses this systemic failure. By providing organizations with a structured, implementable methodology for deploying financial systems that are natively compliant with the Uniform Guidance, the framework functions as a component of the national compliance infrastructure — the systems-level architecture that enables the federal grants ecosystem to operate with integrity. Organizations that implement the framework gain the ability to track expenditures by federal award and cost category, enforce budget controls, generate compliant financial reports, maintain audit-ready documentation, and demonstrate internal control effectiveness to oversight bodies.</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1"/>
              <w:left w:val="single" w:color="155724" w:sz="22"/>
              <w:bottom w:val="single" w:color="155724" w:sz="1"/>
              <w:right w:val="single" w:color="155724" w:sz="1"/>
            </w:tcBorders>
            <w:shd w:fill="D4EDDA" w:val="clear"/>
            <w:tcMar>
              <w:top w:type="dxa" w:w="130"/>
              <w:left w:type="dxa" w:w="180"/>
              <w:bottom w:type="dxa" w:w="130"/>
              <w:right w:type="dxa" w:w="160"/>
            </w:tcMar>
          </w:tcPr>
          <w:p>
            <w:pPr>
              <w:spacing w:after="80" w:before="0"/>
            </w:pPr>
            <w:r>
              <w:rPr>
                <w:rFonts w:ascii="Arial" w:cs="Arial" w:eastAsia="Arial" w:hAnsi="Arial"/>
                <w:b/>
                <w:bCs/>
                <w:color w:val="155724"/>
                <w:sz w:val="21"/>
                <w:szCs w:val="21"/>
              </w:rPr>
              <w:t xml:space="preserve">QUANTIFIED NATIONAL IMPACT</w:t>
            </w:r>
          </w:p>
          <w:p>
            <w:pPr>
              <w:spacing w:after="36" w:before="0"/>
            </w:pPr>
            <w:r>
              <w:rPr>
                <w:rFonts w:ascii="Arial" w:cs="Arial" w:eastAsia="Arial" w:hAnsi="Arial"/>
                <w:sz w:val="22"/>
                <w:szCs w:val="22"/>
              </w:rPr>
              <w:t xml:space="preserve">The significance of this work can be measured at scale:</w:t>
            </w:r>
          </w:p>
          <w:p>
            <w:pPr>
              <w:spacing w:after="36" w:before="0"/>
            </w:pPr>
            <w:r>
              <w:rPr>
                <w:rFonts w:ascii="Arial" w:cs="Arial" w:eastAsia="Arial" w:hAnsi="Arial"/>
                <w:sz w:val="22"/>
                <w:szCs w:val="22"/>
              </w:rPr>
              <w:t xml:space="preserve">• Federal Single Audit reports filed annually: approximately 40,000+ entities (GAO data)</w:t>
            </w:r>
          </w:p>
          <w:p>
            <w:pPr>
              <w:spacing w:after="36" w:before="0"/>
            </w:pPr>
            <w:r>
              <w:rPr>
                <w:rFonts w:ascii="Arial" w:cs="Arial" w:eastAsia="Arial" w:hAnsi="Arial"/>
                <w:sz w:val="22"/>
                <w:szCs w:val="22"/>
              </w:rPr>
              <w:t xml:space="preserve">• Entities with material weaknesses or significant deficiencies in financial systems: ~15% in any given year</w:t>
            </w:r>
          </w:p>
          <w:p>
            <w:pPr>
              <w:spacing w:after="36" w:before="0"/>
            </w:pPr>
            <w:r>
              <w:rPr>
                <w:rFonts w:ascii="Arial" w:cs="Arial" w:eastAsia="Arial" w:hAnsi="Arial"/>
                <w:sz w:val="22"/>
                <w:szCs w:val="22"/>
              </w:rPr>
              <w:t xml:space="preserve">• Average cost of remediation per material weakness finding: $250,000–$850,000 in personnel, consulting, and recovery costs</w:t>
            </w:r>
          </w:p>
          <w:p>
            <w:pPr>
              <w:spacing w:after="36" w:before="0"/>
            </w:pPr>
            <w:r>
              <w:rPr>
                <w:rFonts w:ascii="Arial" w:cs="Arial" w:eastAsia="Arial" w:hAnsi="Arial"/>
                <w:sz w:val="22"/>
                <w:szCs w:val="22"/>
              </w:rPr>
              <w:t xml:space="preserve">• Estimated total questioned costs across federal grants annually: $2.8–$4.5 billion (combined OIG annual reports)</w:t>
            </w:r>
          </w:p>
          <w:p>
            <w:pPr>
              <w:spacing w:after="36" w:before="0"/>
            </w:pPr>
            <w:r>
              <w:rPr>
                <w:rFonts w:ascii="Arial" w:cs="Arial" w:eastAsia="Arial" w:hAnsi="Arial"/>
                <w:sz w:val="22"/>
                <w:szCs w:val="22"/>
              </w:rPr>
              <w:t xml:space="preserve">• Proportion attributable to financial systems deficiencies: approximately 35–45%</w:t>
            </w:r>
          </w:p>
          <w:p>
            <w:pPr>
              <w:spacing w:after="36" w:before="0"/>
            </w:pPr>
            <w:r>
              <w:rPr>
                <w:rFonts w:ascii="Arial" w:cs="Arial" w:eastAsia="Arial" w:hAnsi="Arial"/>
                <w:sz w:val="22"/>
                <w:szCs w:val="22"/>
              </w:rPr>
              <w:t xml:space="preserve">• Each organization that successfully implements a compliant ERP framework reduces its risk of contributing to this pool of questioned costs — and prevents the diversion of public funds away from intended program beneficiaries.</w:t>
            </w:r>
          </w:p>
          <w:p>
            <w:pPr>
              <w:spacing w:after="36" w:before="0"/>
            </w:pPr>
            <w:r>
              <w:rPr>
                <w:rFonts w:ascii="Arial" w:cs="Arial" w:eastAsia="Arial" w:hAnsi="Arial"/>
                <w:sz w:val="22"/>
                <w:szCs w:val="22"/>
              </w:rPr>
              <w:t xml:space="preserve">The petitioner's framework, when applied across multiple organizations — which it is specifically designed to do — represents a multiplied systemic intervention in a compliance ecosystem of national scale.</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1.3  Framework Components — Version 2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Component</w:t>
            </w:r>
          </w:p>
        </w:tc>
        <w:tc>
          <w:tcPr>
            <w:tcW w:type="dxa" w:w="40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Description</w:t>
            </w:r>
          </w:p>
        </w:tc>
        <w:tc>
          <w:tcPr>
            <w:tcW w:type="dxa" w:w="35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V2 Enhancement</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Section 2: Implementation Methodology</w:t>
            </w:r>
          </w:p>
        </w:tc>
        <w:tc>
          <w:tcPr>
            <w:tcW w:type="dxa" w:w="4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Five-phase grant lifecycle methodology from pre-award planning through post-closeout adjustments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Expanded to include 25 transaction scenarios per phase, journal entries, system triggers, integration touchpoints, and exception handling flows</w:t>
            </w:r>
          </w:p>
        </w:tc>
      </w:tr>
      <w:tr>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Section 3: Cutover Checklist</w:t>
            </w:r>
          </w:p>
        </w:tc>
        <w:tc>
          <w:tcPr>
            <w:tcW w:type="dxa" w:w="4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87-item deployment readiness checklist</w:t>
            </w:r>
          </w:p>
        </w:tc>
        <w:tc>
          <w:tcPr>
            <w:tcW w:type="dxa" w:w="3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Fully enumerated with responsible role, ERP validation method, evidence required, risk if failed, and OMB reference for each item</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Section 4: UAT Framework</w:t>
            </w:r>
          </w:p>
        </w:tc>
        <w:tc>
          <w:tcPr>
            <w:tcW w:type="dxa" w:w="4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210 user acceptance testing scripts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Complete structured listing organized by functional domain with step-by-step execution, expected behavior, and pass/fail criteria</w:t>
            </w:r>
          </w:p>
        </w:tc>
      </w:tr>
      <w:tr>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Section 5: ERP Control Architecture</w:t>
            </w:r>
          </w:p>
        </w:tc>
        <w:tc>
          <w:tcPr>
            <w:tcW w:type="dxa" w:w="4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Logical control architecture for federal grant compliance</w:t>
            </w:r>
          </w:p>
        </w:tc>
        <w:tc>
          <w:tcPr>
            <w:tcW w:type="dxa" w:w="3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New section: data flow model, integration architecture, segregation of duties matrix, preventive vs detective control mapping</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Section 6: Fraud Risk &amp; Forensic Readiness</w:t>
            </w:r>
          </w:p>
        </w:tc>
        <w:tc>
          <w:tcPr>
            <w:tcW w:type="dxa" w:w="4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Fraud scenarios and audit trail design</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New section: 15 fraud risk scenarios with ERP control responses; audit trail specifications; forensic evidence extraction guidance</w:t>
            </w:r>
          </w:p>
        </w:tc>
      </w:tr>
      <w:tr>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Section 7: Training Curriculum</w:t>
            </w:r>
          </w:p>
        </w:tc>
        <w:tc>
          <w:tcPr>
            <w:tcW w:type="dxa" w:w="4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Role-based training framework</w:t>
            </w:r>
          </w:p>
        </w:tc>
        <w:tc>
          <w:tcPr>
            <w:tcW w:type="dxa" w:w="3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Enhanced with competency matrices, assessment criteria, and executive briefing framework</w:t>
            </w:r>
          </w:p>
        </w:tc>
      </w:tr>
    </w:tbl>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2 — Five-Phase ERP Implementation Methodology</w:t>
      </w:r>
    </w:p>
    <w:p>
      <w:pPr>
        <w:spacing w:after="80" w:before="60"/>
      </w:pPr>
      <w:r>
        <w:rPr>
          <w:rFonts w:ascii="Arial" w:cs="Arial" w:eastAsia="Arial" w:hAnsi="Arial"/>
          <w:sz w:val="22"/>
          <w:szCs w:val="22"/>
        </w:rPr>
        <w:t xml:space="preserve">The following five phases constitute the complete grant financial management lifecycle. Each phase is presented with end-to-end transaction flows, ERP configuration requirements, journal entry templates, control points, audit evidence, integration touchpoints, and exception handling protocols.</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Phase 1 — Pre-Award Financial Structure Design</w:t>
      </w:r>
    </w:p>
    <w:p>
      <w:pPr>
        <w:spacing w:after="80" w:before="60"/>
      </w:pPr>
      <w:r>
        <w:rPr>
          <w:rFonts w:ascii="Arial" w:cs="Arial" w:eastAsia="Arial" w:hAnsi="Arial"/>
          <w:sz w:val="22"/>
          <w:szCs w:val="22"/>
        </w:rPr>
        <w:t xml:space="preserve">Phase 1 establishes the financial and organizational architecture in the ERP system before any award is received. This phase is foundational: errors in account code structure, cost allocation methodology, or budget hierarchy established in Phase 1 will propagate through every subsequent phase of grant administration.</w:t>
      </w:r>
    </w:p>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1A. Chart of Accounts Design for Grant Fund Tracking</w:t>
      </w:r>
    </w:p>
    <w:p>
      <w:pPr>
        <w:spacing w:after="80" w:before="60"/>
      </w:pPr>
      <w:r>
        <w:rPr>
          <w:rFonts w:ascii="Arial" w:cs="Arial" w:eastAsia="Arial" w:hAnsi="Arial"/>
          <w:sz w:val="22"/>
          <w:szCs w:val="22"/>
        </w:rPr>
        <w:t xml:space="preserve">The Chart of Accounts (CoA) must support multi-dimensional grant tracking. At minimum, the ERP must support the following account segments: Fund (identifying the specific federal award and fund source), Program (aligning expenditures to program activities), Cost Category (Personnel, Fringe, Travel, Equipment, Supplies, Contractual, Indirect — aligned to federal budget line items), Department/Cost Center (organizational unit responsible for expenditure), Project Code (grant-specific identifier cross-referencing the award number in Grants.gov), and Reporting Period (fiscal year or period for SF-425 generation).</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CoA Segment</w:t>
            </w:r>
          </w:p>
        </w:tc>
        <w:tc>
          <w:tcPr>
            <w:tcW w:type="dxa" w:w="1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ERP Field</w:t>
            </w:r>
          </w:p>
        </w:tc>
        <w:tc>
          <w:tcPr>
            <w:tcW w:type="dxa" w:w="3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Grant Compliance Function</w:t>
            </w:r>
          </w:p>
        </w:tc>
        <w:tc>
          <w:tcPr>
            <w:tcW w:type="dxa" w:w="25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OMB Reference</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Fund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FUND</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Segregates federal award funds from non-federal sources</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§200.302(b)(1)</w:t>
            </w:r>
          </w:p>
        </w:tc>
      </w:tr>
      <w:tr>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Program</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PROG</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Tracks expenditures by authorized program activity</w:t>
            </w:r>
          </w:p>
        </w:tc>
        <w:tc>
          <w:tcPr>
            <w:tcW w:type="dxa" w:w="2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 CFR §200.302(b)(3)</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Cost Category</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ACCT</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Enforces allowable cost categories per award budget</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§200.405–200.475</w:t>
            </w:r>
          </w:p>
        </w:tc>
      </w:tr>
      <w:tr>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Department</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DEPT</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Supports segregation of duties and cost center reporting</w:t>
            </w:r>
          </w:p>
        </w:tc>
        <w:tc>
          <w:tcPr>
            <w:tcW w:type="dxa" w:w="2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 CFR §200.303</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Project Code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PROJ</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Cross-references award number for SF-425 reporting</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§200.302(b)(4)</w:t>
            </w:r>
          </w:p>
        </w:tc>
      </w:tr>
      <w:tr>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Object Code</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OBJ</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Detailed expenditure classification for audit trail</w:t>
            </w:r>
          </w:p>
        </w:tc>
        <w:tc>
          <w:tcPr>
            <w:tcW w:type="dxa" w:w="2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 CFR §200.302(b)(7)</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Reporting Period</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PERIOD</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Aligns to SF-425 reporting frequency (quarterly/semi-annual)</w:t>
            </w:r>
          </w:p>
        </w:tc>
        <w:tc>
          <w:tcPr>
            <w:tcW w:type="dxa" w:w="2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§200.328</w:t>
            </w:r>
          </w:p>
        </w:tc>
      </w:tr>
    </w:tbl>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1B. Phase 1 Transaction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P1-T01 — </w:t>
            </w:r>
            <w:r>
              <w:rPr>
                <w:rFonts w:ascii="Arial" w:cs="Arial" w:eastAsia="Arial" w:hAnsi="Arial"/>
                <w:b/>
                <w:bCs/>
                <w:color w:val="1A6DD4"/>
                <w:sz w:val="20"/>
                <w:szCs w:val="20"/>
              </w:rPr>
              <w:t xml:space="preserve">New Federal Award — Chart of Accounts Setup</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Trigger: </w:t>
            </w:r>
            <w:r>
              <w:rPr>
                <w:rFonts w:ascii="Arial" w:cs="Arial" w:eastAsia="Arial" w:hAnsi="Arial"/>
                <w:sz w:val="19"/>
                <w:szCs w:val="19"/>
              </w:rPr>
              <w:t xml:space="preserve">Federal award notification received from Grants.gov or agency award document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Action: </w:t>
            </w:r>
            <w:r>
              <w:rPr>
                <w:rFonts w:ascii="Arial" w:cs="Arial" w:eastAsia="Arial" w:hAnsi="Arial"/>
                <w:sz w:val="19"/>
                <w:szCs w:val="19"/>
              </w:rPr>
              <w:t xml:space="preserve">Finance system administrator creates new Fund code (e.g., FUND-NIH-2024-001) in CoA master data</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Configuration Steps: </w:t>
            </w:r>
            <w:r>
              <w:rPr>
                <w:rFonts w:ascii="Arial" w:cs="Arial" w:eastAsia="Arial" w:hAnsi="Arial"/>
                <w:sz w:val="19"/>
                <w:szCs w:val="19"/>
              </w:rPr>
              <w:t xml:space="preserve">1. Create Fund master in ERP General Ledger module. 2. Assign fund type = Federal Award. 3. Enter award number, CFDA/ALN number, awarding agency. 4. Set fund status = Active. 5. Assign to project hierarchy</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 </w:t>
            </w:r>
            <w:r>
              <w:rPr>
                <w:rFonts w:ascii="Arial" w:cs="Arial" w:eastAsia="Arial" w:hAnsi="Arial"/>
                <w:sz w:val="19"/>
                <w:szCs w:val="19"/>
              </w:rPr>
              <w:t xml:space="preserve">Dual authorization required: Grant Manager approval + Controller approval before fund code is activated in production system</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Journal Entry: </w:t>
            </w:r>
            <w:r>
              <w:rPr>
                <w:rFonts w:ascii="Arial" w:cs="Arial" w:eastAsia="Arial" w:hAnsi="Arial"/>
                <w:sz w:val="19"/>
                <w:szCs w:val="19"/>
              </w:rPr>
              <w:t xml:space="preserve">No financial posting at setup — configuration only. System generates audit log entry: 'Fund FUND-NIH-2024-001 created by [USER] at [TIMESTAMP]'</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Evidence Generated: </w:t>
            </w:r>
            <w:r>
              <w:rPr>
                <w:rFonts w:ascii="Arial" w:cs="Arial" w:eastAsia="Arial" w:hAnsi="Arial"/>
                <w:sz w:val="19"/>
                <w:szCs w:val="19"/>
              </w:rPr>
              <w:t xml:space="preserve">Fund Master Record printout with authorization signatures; ERP change log entry; Grant setup notification email archived in document management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§200.302(b)(1) — Financial management system must permit preparation of required financial reports and tracing expenditures to source documentation</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P1-T02 — </w:t>
            </w:r>
            <w:r>
              <w:rPr>
                <w:rFonts w:ascii="Arial" w:cs="Arial" w:eastAsia="Arial" w:hAnsi="Arial"/>
                <w:b/>
                <w:bCs/>
                <w:color w:val="1A6DD4"/>
                <w:sz w:val="20"/>
                <w:szCs w:val="20"/>
              </w:rPr>
              <w:t xml:space="preserve">Budget Structure Entry — Award Budget Line Items</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Trigger: </w:t>
            </w:r>
            <w:r>
              <w:rPr>
                <w:rFonts w:ascii="Arial" w:cs="Arial" w:eastAsia="Arial" w:hAnsi="Arial"/>
                <w:sz w:val="19"/>
                <w:szCs w:val="19"/>
              </w:rPr>
              <w:t xml:space="preserve">Fully executed Notice of Award (NoA) received with approved budget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Action: </w:t>
            </w:r>
            <w:r>
              <w:rPr>
                <w:rFonts w:ascii="Arial" w:cs="Arial" w:eastAsia="Arial" w:hAnsi="Arial"/>
                <w:sz w:val="19"/>
                <w:szCs w:val="19"/>
              </w:rPr>
              <w:t xml:space="preserve">Grant Accountant enters approved budget by line item into Budget module against Fund code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Configuration Steps: </w:t>
            </w:r>
            <w:r>
              <w:rPr>
                <w:rFonts w:ascii="Arial" w:cs="Arial" w:eastAsia="Arial" w:hAnsi="Arial"/>
                <w:sz w:val="19"/>
                <w:szCs w:val="19"/>
              </w:rPr>
              <w:t xml:space="preserve">1. Open Budget Entry screen in ERP Grant Management module. 2. Select Fund code. 3. Enter budget period (e.g., 07/01/2024 – 06/30/2025). 4. Enter approved amounts by cost category. 5. Attach scanned NoA as supporting document. 6. Submit for Controller approval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 </w:t>
            </w:r>
            <w:r>
              <w:rPr>
                <w:rFonts w:ascii="Arial" w:cs="Arial" w:eastAsia="Arial" w:hAnsi="Arial"/>
                <w:sz w:val="19"/>
                <w:szCs w:val="19"/>
              </w:rPr>
              <w:t xml:space="preserve">Budget amounts must match NoA exactly. ERP validation check: if submitted total ≠ NoA total, system blocks approval and generates discrepancy report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Journal Entry: </w:t>
            </w:r>
            <w:r>
              <w:rPr>
                <w:rFonts w:ascii="Arial" w:cs="Arial" w:eastAsia="Arial" w:hAnsi="Arial"/>
                <w:sz w:val="19"/>
                <w:szCs w:val="19"/>
              </w:rPr>
              <w:t xml:space="preserve">Budgetary entry (memorandum): Dr. Appropriation — Federal Award $[total] / Cr. Estimated Revenue — Federal Award $[total] (Non-posting budgetary entry for internal control)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Exception Handling: </w:t>
            </w:r>
            <w:r>
              <w:rPr>
                <w:rFonts w:ascii="Arial" w:cs="Arial" w:eastAsia="Arial" w:hAnsi="Arial"/>
                <w:sz w:val="19"/>
                <w:szCs w:val="19"/>
              </w:rPr>
              <w:t xml:space="preserve">If budget entry is rejected: system generates exception notification to Grant Manager. Reason code required. Correction workflow re-routes to Controller</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§200.302(b)(2) — Records that identify adequately the source and application of federal funds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P1-T03 — </w:t>
            </w:r>
            <w:r>
              <w:rPr>
                <w:rFonts w:ascii="Arial" w:cs="Arial" w:eastAsia="Arial" w:hAnsi="Arial"/>
                <w:b/>
                <w:bCs/>
                <w:color w:val="1A6DD4"/>
                <w:sz w:val="20"/>
                <w:szCs w:val="20"/>
              </w:rPr>
              <w:t xml:space="preserve">Indirect Cost Rate Configuration</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Trigger: </w:t>
            </w:r>
            <w:r>
              <w:rPr>
                <w:rFonts w:ascii="Arial" w:cs="Arial" w:eastAsia="Arial" w:hAnsi="Arial"/>
                <w:sz w:val="19"/>
                <w:szCs w:val="19"/>
              </w:rPr>
              <w:t xml:space="preserve">Negotiated Indirect Cost Rate Agreement (NICRA) received from cognizant agency</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Action: </w:t>
            </w:r>
            <w:r>
              <w:rPr>
                <w:rFonts w:ascii="Arial" w:cs="Arial" w:eastAsia="Arial" w:hAnsi="Arial"/>
                <w:sz w:val="19"/>
                <w:szCs w:val="19"/>
              </w:rPr>
              <w:t xml:space="preserve">Controller configures indirect cost rate in Cost Allocation module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Configuration Steps: </w:t>
            </w:r>
            <w:r>
              <w:rPr>
                <w:rFonts w:ascii="Arial" w:cs="Arial" w:eastAsia="Arial" w:hAnsi="Arial"/>
                <w:sz w:val="19"/>
                <w:szCs w:val="19"/>
              </w:rPr>
              <w:t xml:space="preserve">1. Access Indirect Cost Rate table in ERP. 2. Enter rate type (predetermined/fixed/provisional). 3. Enter rate percentage by cost pool (e.g., MTDC 28.5%). 4. Define MTDC exclusions per 2 CFR §200.1. 5. Set effective date range. 6. Link to applicable grants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 </w:t>
            </w:r>
            <w:r>
              <w:rPr>
                <w:rFonts w:ascii="Arial" w:cs="Arial" w:eastAsia="Arial" w:hAnsi="Arial"/>
                <w:sz w:val="19"/>
                <w:szCs w:val="19"/>
              </w:rPr>
              <w:t xml:space="preserve">Rate must match executed NICRA. ERP comparison: system cross-checks entered rate against NICRA rate stored in award master. Discrepancy triggers alert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System Configuration: </w:t>
            </w:r>
            <w:r>
              <w:rPr>
                <w:rFonts w:ascii="Arial" w:cs="Arial" w:eastAsia="Arial" w:hAnsi="Arial"/>
                <w:sz w:val="19"/>
                <w:szCs w:val="19"/>
              </w:rPr>
              <w:t xml:space="preserve">ERP automates indirect cost calculation on direct cost postings. Each direct cost transaction triggers indirect cost allocation at configured rate before expense is charged to grant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Exception: </w:t>
            </w:r>
            <w:r>
              <w:rPr>
                <w:rFonts w:ascii="Arial" w:cs="Arial" w:eastAsia="Arial" w:hAnsi="Arial"/>
                <w:sz w:val="19"/>
                <w:szCs w:val="19"/>
              </w:rPr>
              <w:t xml:space="preserve">If grant award specifies a different rate or imposes a rate cap, override flag required with Controller and CFO approval. Override logged permanently</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§200.414 — Indirect (F&amp;A) costs; rate negotiation with cognizant federal agency</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P1-T04 — </w:t>
            </w:r>
            <w:r>
              <w:rPr>
                <w:rFonts w:ascii="Arial" w:cs="Arial" w:eastAsia="Arial" w:hAnsi="Arial"/>
                <w:b/>
                <w:bCs/>
                <w:color w:val="1A6DD4"/>
                <w:sz w:val="20"/>
                <w:szCs w:val="20"/>
              </w:rPr>
              <w:t xml:space="preserve">Subrecipient Risk Assessment and System Setup</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Trigger: </w:t>
            </w:r>
            <w:r>
              <w:rPr>
                <w:rFonts w:ascii="Arial" w:cs="Arial" w:eastAsia="Arial" w:hAnsi="Arial"/>
                <w:sz w:val="19"/>
                <w:szCs w:val="19"/>
              </w:rPr>
              <w:t xml:space="preserve">Subrecipient identified for subaward under federal prime award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Action: </w:t>
            </w:r>
            <w:r>
              <w:rPr>
                <w:rFonts w:ascii="Arial" w:cs="Arial" w:eastAsia="Arial" w:hAnsi="Arial"/>
                <w:sz w:val="19"/>
                <w:szCs w:val="19"/>
              </w:rPr>
              <w:t xml:space="preserve">Grants Management Specialist creates Subrecipient Master Record in ERP</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Risk Assessment Fields: </w:t>
            </w:r>
            <w:r>
              <w:rPr>
                <w:rFonts w:ascii="Arial" w:cs="Arial" w:eastAsia="Arial" w:hAnsi="Arial"/>
                <w:sz w:val="19"/>
                <w:szCs w:val="19"/>
              </w:rPr>
              <w:t xml:space="preserve">1. DUNS/UEI number verified in SAM.gov. 2. Debarment/suspension check logged. 3. Prior audit history (Single Audit findings in past 2 years). 4. Financial management capacity assessment. 5. Program experience rating. 6. Risk score calculated (Low/Medium/High)</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Configuration: </w:t>
            </w:r>
            <w:r>
              <w:rPr>
                <w:rFonts w:ascii="Arial" w:cs="Arial" w:eastAsia="Arial" w:hAnsi="Arial"/>
                <w:sz w:val="19"/>
                <w:szCs w:val="19"/>
              </w:rPr>
              <w:t xml:space="preserve">Monitoring frequency set based on risk score: Low = annual; Medium = semi-annual; High = quarterly. System generates monitoring reminders automatically</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 </w:t>
            </w:r>
            <w:r>
              <w:rPr>
                <w:rFonts w:ascii="Arial" w:cs="Arial" w:eastAsia="Arial" w:hAnsi="Arial"/>
                <w:sz w:val="19"/>
                <w:szCs w:val="19"/>
              </w:rPr>
              <w:t xml:space="preserve">Subaward cannot be executed until SAM.gov verification is complete and debarment check returns clean. ERP blocks subaward creation if SAM.gov status = Excluded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Evidence Generated: </w:t>
            </w:r>
            <w:r>
              <w:rPr>
                <w:rFonts w:ascii="Arial" w:cs="Arial" w:eastAsia="Arial" w:hAnsi="Arial"/>
                <w:sz w:val="19"/>
                <w:szCs w:val="19"/>
              </w:rPr>
              <w:t xml:space="preserve">Subrecipient risk assessment form; SAM.gov verification screenshot; debarment check log with timestamp</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§200.331 — Requirements for pass-through entities; 2 CFR §200.332 — Requirements for subrecipients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P1-T05 — </w:t>
            </w:r>
            <w:r>
              <w:rPr>
                <w:rFonts w:ascii="Arial" w:cs="Arial" w:eastAsia="Arial" w:hAnsi="Arial"/>
                <w:b/>
                <w:bCs/>
                <w:color w:val="1A6DD4"/>
                <w:sz w:val="20"/>
                <w:szCs w:val="20"/>
              </w:rPr>
              <w:t xml:space="preserve">Multi-Grant Cost Allocation Methodology Setup</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Trigger: </w:t>
            </w:r>
            <w:r>
              <w:rPr>
                <w:rFonts w:ascii="Arial" w:cs="Arial" w:eastAsia="Arial" w:hAnsi="Arial"/>
                <w:sz w:val="19"/>
                <w:szCs w:val="19"/>
              </w:rPr>
              <w:t xml:space="preserve">Organization administers multiple federal awards requiring shared cost allocation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Action: </w:t>
            </w:r>
            <w:r>
              <w:rPr>
                <w:rFonts w:ascii="Arial" w:cs="Arial" w:eastAsia="Arial" w:hAnsi="Arial"/>
                <w:sz w:val="19"/>
                <w:szCs w:val="19"/>
              </w:rPr>
              <w:t xml:space="preserve">Controller configures Cost Allocation Plan (CAP) in ERP Cost Accounting module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Configuration Steps: </w:t>
            </w:r>
            <w:r>
              <w:rPr>
                <w:rFonts w:ascii="Arial" w:cs="Arial" w:eastAsia="Arial" w:hAnsi="Arial"/>
                <w:sz w:val="19"/>
                <w:szCs w:val="19"/>
              </w:rPr>
              <w:t xml:space="preserve">1. Define shared cost pools (e.g., administrative overhead, facilities). 2. Define allocation bases for each pool (e.g., direct labor hours, square footage, headcount). 3. Map each federal award to applicable cost pools. 4. Configure allocation calculation period (monthly recommended). 5. Set up budget-to-actual comparison by cost pool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 </w:t>
            </w:r>
            <w:r>
              <w:rPr>
                <w:rFonts w:ascii="Arial" w:cs="Arial" w:eastAsia="Arial" w:hAnsi="Arial"/>
                <w:sz w:val="19"/>
                <w:szCs w:val="19"/>
              </w:rPr>
              <w:t xml:space="preserve">Allocation methodology must be consistent period-to-period unless documented change approved. ERP enforces methodology lock; changes require Controller override with reason code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Conflict Detection: </w:t>
            </w:r>
            <w:r>
              <w:rPr>
                <w:rFonts w:ascii="Arial" w:cs="Arial" w:eastAsia="Arial" w:hAnsi="Arial"/>
                <w:sz w:val="19"/>
                <w:szCs w:val="19"/>
              </w:rPr>
              <w:t xml:space="preserve">If two grants have incompatible restrictions on shared costs, ERP flagging logic identifies the conflict and routes to Grant Accountant for resolution before allocation posting</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§200.405 — Allocable costs; 2 CFR Part 200 Appendix III–VII — Cost allocation principles by organization type</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Phase 1 Transaction Scenarios (P1-T06 through P1-T20) cover: Restricted fund configuration and segregation controls; grant-specific approval workflow design; cash drawdown method selection (advance payment vs reimbursement); program income tracking account setup; matching and cost share account configuration; foreign currency award handling; equipment threshold configuration for capitalization; budget period and project hierarchy setup; integration with HR system for fringe benefit rate setup; grant filing system initialization with document retention policy configuration; federal versus non-federal fund firewall testing; reporting template configuration for SF-425; project closeout date entry and auto-notification setup; and authorized representative designation with ERP signature authority mapping.</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Phase 2 — Award Configuration and Control Environment</w:t>
      </w:r>
    </w:p>
    <w:p>
      <w:pPr>
        <w:spacing w:after="80" w:before="60"/>
      </w:pPr>
      <w:r>
        <w:rPr>
          <w:rFonts w:ascii="Arial" w:cs="Arial" w:eastAsia="Arial" w:hAnsi="Arial"/>
          <w:sz w:val="22"/>
          <w:szCs w:val="22"/>
        </w:rPr>
        <w:t xml:space="preserve">Phase 2 configures the ERP control environment following award execution. This phase operationalizes the internal control structure required by 2 CFR §200.303, establishing automated preventive controls, approval workflows, and segregation of duties that will govern every financial transaction throughout the award period.</w:t>
      </w:r>
    </w:p>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2A. Internal Control Configuration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Control Objective</w:t>
            </w:r>
          </w:p>
        </w:tc>
        <w:tc>
          <w:tcPr>
            <w:tcW w:type="dxa" w:w="2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ERP Configuration</w:t>
            </w:r>
          </w:p>
        </w:tc>
        <w:tc>
          <w:tcPr>
            <w:tcW w:type="dxa" w:w="14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Control Type</w:t>
            </w:r>
          </w:p>
        </w:tc>
        <w:tc>
          <w:tcPr>
            <w:tcW w:type="dxa" w:w="2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OMB Basis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availability before expenditure commitment</w:t>
            </w:r>
          </w:p>
        </w:tc>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System blocks purchase orders and journal entries that would exceed budget by cost category</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§200.302(b)(6)</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Authorization of expenditures</w:t>
            </w:r>
          </w:p>
        </w:tc>
        <w:tc>
          <w:tcPr>
            <w:tcW w:type="dxa" w:w="2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Approval workflow with threshold-based routing: &lt;$5K = Dept Head; $5K–$25K = Finance Manager; &gt;$25K = Controller/CFO</w:t>
            </w:r>
          </w:p>
        </w:tc>
        <w:tc>
          <w:tcPr>
            <w:tcW w:type="dxa" w:w="1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2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 CFR §200.303(a)</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Segregation of duties</w:t>
            </w:r>
          </w:p>
        </w:tc>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Vendor creation ≠ invoice approval ≠ payment release — enforced by ERP role matrix</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§200.303(b)</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Allowable cost enforcement</w:t>
            </w:r>
          </w:p>
        </w:tc>
        <w:tc>
          <w:tcPr>
            <w:tcW w:type="dxa" w:w="2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Cost category restrictions coded at fund level — unallowable object codes blocked</w:t>
            </w:r>
          </w:p>
        </w:tc>
        <w:tc>
          <w:tcPr>
            <w:tcW w:type="dxa" w:w="1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2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 CFR §200.403–200.405</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Time and effort certification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Payroll allocations to grants require bi-monthly certification by employee and supervisor</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Detective/Preventive</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§200.430(i)</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Debarment verification</w:t>
            </w:r>
          </w:p>
        </w:tc>
        <w:tc>
          <w:tcPr>
            <w:tcW w:type="dxa" w:w="2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SAM.gov API integration — real-time check on all new vendor additions</w:t>
            </w:r>
          </w:p>
        </w:tc>
        <w:tc>
          <w:tcPr>
            <w:tcW w:type="dxa" w:w="1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2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 CFR §200.213</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Prior period adjustment control</w:t>
            </w:r>
          </w:p>
        </w:tc>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period end date enforced — transactions after closeout date blocked without CFO override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2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 CFR §200.309</w:t>
            </w:r>
          </w:p>
        </w:tc>
      </w:tr>
    </w:tbl>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2B. Phase 2 Transaction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P2-T01 — </w:t>
            </w:r>
            <w:r>
              <w:rPr>
                <w:rFonts w:ascii="Arial" w:cs="Arial" w:eastAsia="Arial" w:hAnsi="Arial"/>
                <w:b/>
                <w:bCs/>
                <w:color w:val="1A6DD4"/>
                <w:sz w:val="20"/>
                <w:szCs w:val="20"/>
              </w:rPr>
              <w:t xml:space="preserve">Procurement Request Initiation — Personnel Computer Purchase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Research staff member initiates purchase request for laptop computer for use on NIH grant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PR Creation: </w:t>
            </w:r>
            <w:r>
              <w:rPr>
                <w:rFonts w:ascii="Arial" w:cs="Arial" w:eastAsia="Arial" w:hAnsi="Arial"/>
                <w:sz w:val="19"/>
                <w:szCs w:val="19"/>
              </w:rPr>
              <w:t xml:space="preserve">Employee creates Purchase Requisition (PR) in ERP Procurement module. Fields: description, quantity, estimated cost, cost center, grant fund code, budget line (Equipment)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Budget Check: </w:t>
            </w:r>
            <w:r>
              <w:rPr>
                <w:rFonts w:ascii="Arial" w:cs="Arial" w:eastAsia="Arial" w:hAnsi="Arial"/>
                <w:sz w:val="19"/>
                <w:szCs w:val="19"/>
              </w:rPr>
              <w:t xml:space="preserve">ERP automatically queries Equipment budget for Fund-NIH-2024-001. Available balance check: If available ≥ PR amount, proceed. If insufficient, system blocks and generates budget exception notification to Grant Manager</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Allowability Check: </w:t>
            </w:r>
            <w:r>
              <w:rPr>
                <w:rFonts w:ascii="Arial" w:cs="Arial" w:eastAsia="Arial" w:hAnsi="Arial"/>
                <w:sz w:val="19"/>
                <w:szCs w:val="19"/>
              </w:rPr>
              <w:t xml:space="preserve">System cross-references Equipment category against award-specific restriction table. Computers are allowable under most federal awards; if grant prohibits equipment, ERP flags and routes to Grant Manager for determination</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Approval Routing: </w:t>
            </w:r>
            <w:r>
              <w:rPr>
                <w:rFonts w:ascii="Arial" w:cs="Arial" w:eastAsia="Arial" w:hAnsi="Arial"/>
                <w:sz w:val="19"/>
                <w:szCs w:val="19"/>
              </w:rPr>
              <w:t xml:space="preserve">PR for $1,850 routes to Department Head for approval (threshold &lt;$5,000). Department Head approves via ERP workflow. Approval timestamp and user ID recorded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PR to PO Conversion: </w:t>
            </w:r>
            <w:r>
              <w:rPr>
                <w:rFonts w:ascii="Arial" w:cs="Arial" w:eastAsia="Arial" w:hAnsi="Arial"/>
                <w:sz w:val="19"/>
                <w:szCs w:val="19"/>
              </w:rPr>
              <w:t xml:space="preserve">Approved PR converted to Purchase Order. Vendor selection occurs. Debarment check run against SAM.gov API. If vendor excluded, PO blocked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Journal Entry — PO Encumbrance: </w:t>
            </w:r>
            <w:r>
              <w:rPr>
                <w:rFonts w:ascii="Arial" w:cs="Arial" w:eastAsia="Arial" w:hAnsi="Arial"/>
                <w:sz w:val="19"/>
                <w:szCs w:val="19"/>
              </w:rPr>
              <w:t xml:space="preserve">Dr. Encumbrance — Equipment $1,850 / Cr. Budgetary Reserve for Encumbrances $1,850 (encumbrance entry reducing available budget)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Points: </w:t>
            </w:r>
            <w:r>
              <w:rPr>
                <w:rFonts w:ascii="Arial" w:cs="Arial" w:eastAsia="Arial" w:hAnsi="Arial"/>
                <w:sz w:val="19"/>
                <w:szCs w:val="19"/>
              </w:rPr>
              <w:t xml:space="preserve">Budget availability (preventive); allowability check (preventive); approval workflow (preventive); debarment check (preventive)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Audit Evidence: </w:t>
            </w:r>
            <w:r>
              <w:rPr>
                <w:rFonts w:ascii="Arial" w:cs="Arial" w:eastAsia="Arial" w:hAnsi="Arial"/>
                <w:sz w:val="19"/>
                <w:szCs w:val="19"/>
              </w:rPr>
              <w:t xml:space="preserve">PR record with approval timestamp; budget check confirmation; debarment check log; PO document with authorized signature</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P2-T02 — </w:t>
            </w:r>
            <w:r>
              <w:rPr>
                <w:rFonts w:ascii="Arial" w:cs="Arial" w:eastAsia="Arial" w:hAnsi="Arial"/>
                <w:b/>
                <w:bCs/>
                <w:color w:val="1A6DD4"/>
                <w:sz w:val="20"/>
                <w:szCs w:val="20"/>
              </w:rPr>
              <w:t xml:space="preserve">Invoice Processing and Three-Way Match</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Vendor invoice received for laptop computer previously ordered via PO</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Invoice Entry: </w:t>
            </w:r>
            <w:r>
              <w:rPr>
                <w:rFonts w:ascii="Arial" w:cs="Arial" w:eastAsia="Arial" w:hAnsi="Arial"/>
                <w:sz w:val="19"/>
                <w:szCs w:val="19"/>
              </w:rPr>
              <w:t xml:space="preserve">Accounts Payable specialist enters vendor invoice in ERP AP module. Invoice number, vendor ID, amount, invoice date, PO reference number</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Three-Way Match: </w:t>
            </w:r>
            <w:r>
              <w:rPr>
                <w:rFonts w:ascii="Arial" w:cs="Arial" w:eastAsia="Arial" w:hAnsi="Arial"/>
                <w:sz w:val="19"/>
                <w:szCs w:val="19"/>
              </w:rPr>
              <w:t xml:space="preserve">ERP automatically compares: (a) PO amount ($1,850) vs Invoice amount ($1,850) vs Goods Receipt Note amount ($1,850). Match result: Pass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Match Failure Scenario: </w:t>
            </w:r>
            <w:r>
              <w:rPr>
                <w:rFonts w:ascii="Arial" w:cs="Arial" w:eastAsia="Arial" w:hAnsi="Arial"/>
                <w:sz w:val="19"/>
                <w:szCs w:val="19"/>
              </w:rPr>
              <w:t xml:space="preserve">If invoice amount = $1,950 (exceeds PO by $100): ERP flags matching exception. AP specialist cannot approve. Exception routes to Controller. Controller options: reject invoice; authorize PO amendment; request credit memo. All actions logged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Approval and Posting: </w:t>
            </w:r>
            <w:r>
              <w:rPr>
                <w:rFonts w:ascii="Arial" w:cs="Arial" w:eastAsia="Arial" w:hAnsi="Arial"/>
                <w:sz w:val="19"/>
                <w:szCs w:val="19"/>
              </w:rPr>
              <w:t xml:space="preserve">Matched invoice approved. System posts: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Grant Cost Recording: </w:t>
            </w:r>
            <w:r>
              <w:rPr>
                <w:rFonts w:ascii="Arial" w:cs="Arial" w:eastAsia="Arial" w:hAnsi="Arial"/>
                <w:sz w:val="19"/>
                <w:szCs w:val="19"/>
              </w:rPr>
              <w:t xml:space="preserve">Cost posted to grant at fund+program+cost category+period combination. Immediately visible on grant budget-to-actual report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Points: </w:t>
            </w:r>
            <w:r>
              <w:rPr>
                <w:rFonts w:ascii="Arial" w:cs="Arial" w:eastAsia="Arial" w:hAnsi="Arial"/>
                <w:sz w:val="19"/>
                <w:szCs w:val="19"/>
              </w:rPr>
              <w:t xml:space="preserve">Three-way match (preventive); authorization before payment (preventive); encumbrance liquidation accuracy (detective)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§200.305(b)(5) — Disbursements must be made timely and properly authorized</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P2-T03 — </w:t>
            </w:r>
            <w:r>
              <w:rPr>
                <w:rFonts w:ascii="Arial" w:cs="Arial" w:eastAsia="Arial" w:hAnsi="Arial"/>
                <w:b/>
                <w:bCs/>
                <w:color w:val="1A6DD4"/>
                <w:sz w:val="20"/>
                <w:szCs w:val="20"/>
              </w:rPr>
              <w:t xml:space="preserve">Disallowed Cost Identification and Reversal</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Post-award audit identifies $3,200 of entertainment expenses incorrectly charged to federal grant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Finding Notification: </w:t>
            </w:r>
            <w:r>
              <w:rPr>
                <w:rFonts w:ascii="Arial" w:cs="Arial" w:eastAsia="Arial" w:hAnsi="Arial"/>
                <w:sz w:val="19"/>
                <w:szCs w:val="19"/>
              </w:rPr>
              <w:t xml:space="preserve">Auditor finding documented. Grant Manager receives notification. ERP exception workflow initiated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Transaction Identification: </w:t>
            </w:r>
            <w:r>
              <w:rPr>
                <w:rFonts w:ascii="Arial" w:cs="Arial" w:eastAsia="Arial" w:hAnsi="Arial"/>
                <w:sz w:val="19"/>
                <w:szCs w:val="19"/>
              </w:rPr>
              <w:t xml:space="preserve">Controller queries ERP for all Entertainment (Object Code 6510) charges against Fund-NIH-2024-001 in audit period. Report generated showing 4 transactions totaling $3,200</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Reversal Entry: </w:t>
            </w:r>
            <w:r>
              <w:rPr>
                <w:rFonts w:ascii="Arial" w:cs="Arial" w:eastAsia="Arial" w:hAnsi="Arial"/>
                <w:sz w:val="19"/>
                <w:szCs w:val="19"/>
              </w:rPr>
              <w:t xml:space="preserve">Controller initiates reversing journal entry:</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Alternative Fund Charging: </w:t>
            </w:r>
            <w:r>
              <w:rPr>
                <w:rFonts w:ascii="Arial" w:cs="Arial" w:eastAsia="Arial" w:hAnsi="Arial"/>
                <w:sz w:val="19"/>
                <w:szCs w:val="19"/>
              </w:rPr>
              <w:t xml:space="preserve">If costs were legitimate but simply unallowable on federal grant, they may be re-charged to unrestricted organizational funds: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Repayment: </w:t>
            </w:r>
            <w:r>
              <w:rPr>
                <w:rFonts w:ascii="Arial" w:cs="Arial" w:eastAsia="Arial" w:hAnsi="Arial"/>
                <w:sz w:val="19"/>
                <w:szCs w:val="19"/>
              </w:rPr>
              <w:t xml:space="preserve">If federal agency requires cash repayment: Dr. Due to Federal Agency $3,200 / Cr. Cash $3,200</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Documentation Required: </w:t>
            </w:r>
            <w:r>
              <w:rPr>
                <w:rFonts w:ascii="Arial" w:cs="Arial" w:eastAsia="Arial" w:hAnsi="Arial"/>
                <w:sz w:val="19"/>
                <w:szCs w:val="19"/>
              </w:rPr>
              <w:t xml:space="preserve">Original transaction records; auditor finding documentation; authorization for reversal; evidence of alternative fund availability; repayment confirmation if applicable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§200.405 — Allocable costs; questioned cost resolution per 2 CFR Part 200 Subpart F</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P2-T04 — </w:t>
            </w:r>
            <w:r>
              <w:rPr>
                <w:rFonts w:ascii="Arial" w:cs="Arial" w:eastAsia="Arial" w:hAnsi="Arial"/>
                <w:b/>
                <w:bCs/>
                <w:color w:val="1A6DD4"/>
                <w:sz w:val="20"/>
                <w:szCs w:val="20"/>
              </w:rPr>
              <w:t xml:space="preserve">Budget Modification with Federal Approval Requirement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Organization needs to reallocate $50,000 from Contractual to Personnel due to change in project staffing model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Threshold Analysis: </w:t>
            </w:r>
            <w:r>
              <w:rPr>
                <w:rFonts w:ascii="Arial" w:cs="Arial" w:eastAsia="Arial" w:hAnsi="Arial"/>
                <w:sz w:val="19"/>
                <w:szCs w:val="19"/>
              </w:rPr>
              <w:t xml:space="preserve">Grant Manager checks award terms for prior approval requirements. Awards under most agencies require prior approval for budget modifications exceeding 10% of total award or $25,000 per 2 CFR §200.308</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Modification Request in ERP: </w:t>
            </w:r>
            <w:r>
              <w:rPr>
                <w:rFonts w:ascii="Arial" w:cs="Arial" w:eastAsia="Arial" w:hAnsi="Arial"/>
                <w:sz w:val="19"/>
                <w:szCs w:val="19"/>
              </w:rPr>
              <w:t xml:space="preserve">Grant Manager initiates budget modification workflow in ERP. System calculates percentage impact: $50,000 / $500,000 award = 10% — requires prior approval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Agency Notification: </w:t>
            </w:r>
            <w:r>
              <w:rPr>
                <w:rFonts w:ascii="Arial" w:cs="Arial" w:eastAsia="Arial" w:hAnsi="Arial"/>
                <w:sz w:val="19"/>
                <w:szCs w:val="19"/>
              </w:rPr>
              <w:t xml:space="preserve">ERP generates draft budget modification request letter referencing award number, requested change, justification. Routed to authorized representative for signature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System Lock: </w:t>
            </w:r>
            <w:r>
              <w:rPr>
                <w:rFonts w:ascii="Arial" w:cs="Arial" w:eastAsia="Arial" w:hAnsi="Arial"/>
                <w:sz w:val="19"/>
                <w:szCs w:val="19"/>
              </w:rPr>
              <w:t xml:space="preserve">ERP places soft lock on Personnel budget line increase — allows budget view but blocks actual expenditures against increased amount until agency approval is recorded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Approval Recording: </w:t>
            </w:r>
            <w:r>
              <w:rPr>
                <w:rFonts w:ascii="Arial" w:cs="Arial" w:eastAsia="Arial" w:hAnsi="Arial"/>
                <w:sz w:val="19"/>
                <w:szCs w:val="19"/>
              </w:rPr>
              <w:t xml:space="preserve">Upon receipt of agency approval, Controller uploads agency approval letter, records approval in ERP budget modification log, releases soft lock</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6 — Budget Adjustment Posting: </w:t>
            </w:r>
            <w:r>
              <w:rPr>
                <w:rFonts w:ascii="Arial" w:cs="Arial" w:eastAsia="Arial" w:hAnsi="Arial"/>
                <w:sz w:val="19"/>
                <w:szCs w:val="19"/>
              </w:rPr>
              <w:t xml:space="preserve">Budget module updated: Personnel line increased by $50,000; Contractual line decreased by $50,000. Budget revision log entry created with effective date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 </w:t>
            </w:r>
            <w:r>
              <w:rPr>
                <w:rFonts w:ascii="Arial" w:cs="Arial" w:eastAsia="Arial" w:hAnsi="Arial"/>
                <w:sz w:val="19"/>
                <w:szCs w:val="19"/>
              </w:rPr>
              <w:t xml:space="preserve">System prevents expenditure against modified budget amounts until agency approval is formally recorded — prevents unauthorized exceeding of approved budget structure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§200.308 — Revision of budget and program plans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P2-T05 — </w:t>
            </w:r>
            <w:r>
              <w:rPr>
                <w:rFonts w:ascii="Arial" w:cs="Arial" w:eastAsia="Arial" w:hAnsi="Arial"/>
                <w:b/>
                <w:bCs/>
                <w:color w:val="1A6DD4"/>
                <w:sz w:val="20"/>
                <w:szCs w:val="20"/>
              </w:rPr>
              <w:t xml:space="preserve">Override Attempt Detection and Response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Department Director attempts to approve a purchase order that exceeds their authorization threshold of $25,000</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Response: </w:t>
            </w:r>
            <w:r>
              <w:rPr>
                <w:rFonts w:ascii="Arial" w:cs="Arial" w:eastAsia="Arial" w:hAnsi="Arial"/>
                <w:sz w:val="19"/>
                <w:szCs w:val="19"/>
              </w:rPr>
              <w:t xml:space="preserve">System detects that approval was attempted by user role 'Department Director' on a transaction valued at $31,500, which exceeds the $25,000 threshold for that role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System Action: </w:t>
            </w:r>
            <w:r>
              <w:rPr>
                <w:rFonts w:ascii="Arial" w:cs="Arial" w:eastAsia="Arial" w:hAnsi="Arial"/>
                <w:sz w:val="19"/>
                <w:szCs w:val="19"/>
              </w:rPr>
              <w:t xml:space="preserve">ERP blocks the approval. Warning message displayed: 'Authorization threshold exceeded. This transaction requires Controller approval. Refer to Approval Authority Policy Table.'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Escalation: </w:t>
            </w:r>
            <w:r>
              <w:rPr>
                <w:rFonts w:ascii="Arial" w:cs="Arial" w:eastAsia="Arial" w:hAnsi="Arial"/>
                <w:sz w:val="19"/>
                <w:szCs w:val="19"/>
              </w:rPr>
              <w:t xml:space="preserve">System automatically re-routes the transaction to the Controller approval queue. Notification sent to CFO as oversight alert (for transactions flagged for escalation)</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Audit Log Entry: </w:t>
            </w:r>
            <w:r>
              <w:rPr>
                <w:rFonts w:ascii="Arial" w:cs="Arial" w:eastAsia="Arial" w:hAnsi="Arial"/>
                <w:sz w:val="19"/>
                <w:szCs w:val="19"/>
              </w:rPr>
              <w:t xml:space="preserve">Attempted override logged: Transaction ID; attempted approver; role; threshold; amount; timestamp; system action taken. Log is immutable and cannot be deleted by any user role including system administrator</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Follow-Up: </w:t>
            </w:r>
            <w:r>
              <w:rPr>
                <w:rFonts w:ascii="Arial" w:cs="Arial" w:eastAsia="Arial" w:hAnsi="Arial"/>
                <w:sz w:val="19"/>
                <w:szCs w:val="19"/>
              </w:rPr>
              <w:t xml:space="preserve">If pattern of override attempts is detected (same user, multiple transactions), ERP generates exception report routed to Internal Audit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§200.303 — Effective internal controls and compliance with laws and regulations</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Phase 2 Transaction Scenarios (P2-T06 through P2-T20) cover: Payroll allocation to grants — time distribution setup and bi-monthly certification workflow; subrecipient agreement execution and monitoring schedule activation; advance payment vs reimbursement method setup per 2 CFR §200.305; program income receipt recording and usage tracking; cost share commitment tracking and evidence documentation; equipment inventory tag assignment and ERP asset register update; automatic encumbrance liquidation at period close; period-end accrual for goods received but not yet invoiced; grant-specific user access provisioning with segregation of duties validation; fringe benefit rate posting automation; intercompany cost transfer between departments with grant attribution; student hourly wage processing on sponsored awards; fellowship stipend processing and tax reporting; conference grant expenditure tracking with per diem compliance; and capital project expenditure tracking with depreciation exclusion per 2 CFR §200.436.</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Phase 3 — Financial Operations and Transaction Monitoring</w:t>
      </w:r>
    </w:p>
    <w:p>
      <w:pPr>
        <w:spacing w:after="80" w:before="60"/>
      </w:pPr>
      <w:r>
        <w:rPr>
          <w:rFonts w:ascii="Arial" w:cs="Arial" w:eastAsia="Arial" w:hAnsi="Arial"/>
          <w:sz w:val="22"/>
          <w:szCs w:val="22"/>
        </w:rPr>
        <w:t xml:space="preserve">Phase 3 covers the day-to-day financial management activities that occur throughout the grant award period. This phase is operationally the most intensive, encompassing the full procurement lifecycle, payroll and time allocation, cash drawdown, cost allocation cycles, subrecipient monitoring, and continuous compliance monitoring.</w:t>
      </w:r>
    </w:p>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3A. Payroll and Time Allocation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P3-T01 — </w:t>
            </w:r>
            <w:r>
              <w:rPr>
                <w:rFonts w:ascii="Arial" w:cs="Arial" w:eastAsia="Arial" w:hAnsi="Arial"/>
                <w:b/>
                <w:bCs/>
                <w:color w:val="1A6DD4"/>
                <w:sz w:val="20"/>
                <w:szCs w:val="20"/>
              </w:rPr>
              <w:t xml:space="preserve">Bi-Monthly Time and Effort Certification — Salary Allocation to Grant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Regulatory Basis: </w:t>
            </w:r>
            <w:r>
              <w:rPr>
                <w:rFonts w:ascii="Arial" w:cs="Arial" w:eastAsia="Arial" w:hAnsi="Arial"/>
                <w:sz w:val="19"/>
                <w:szCs w:val="19"/>
              </w:rPr>
              <w:t xml:space="preserve">2 CFR §200.430(i) requires that effort reports be certified by the employee or a responsible official with first-hand knowledge. Certifications must be done at least every two months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Payroll Run: </w:t>
            </w:r>
            <w:r>
              <w:rPr>
                <w:rFonts w:ascii="Arial" w:cs="Arial" w:eastAsia="Arial" w:hAnsi="Arial"/>
                <w:sz w:val="19"/>
                <w:szCs w:val="19"/>
              </w:rPr>
              <w:t xml:space="preserve">Payroll module calculates gross wages for all employees. System queries each employee's current effort distribution table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Effort Distribution: </w:t>
            </w:r>
            <w:r>
              <w:rPr>
                <w:rFonts w:ascii="Arial" w:cs="Arial" w:eastAsia="Arial" w:hAnsi="Arial"/>
                <w:sz w:val="19"/>
                <w:szCs w:val="19"/>
              </w:rPr>
              <w:t xml:space="preserve">Employee A has certified effort distribution: 60% NIH Grant / 25% NSF Grant / 15% Unrestricted. Gross pay = $8,000/bimonthly. System calculates: $4,800 to NIH; $2,000 to NSF; $1,200 to Unrestricted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Payroll Journal Entry: </w:t>
            </w:r>
            <w:r>
              <w:rPr>
                <w:rFonts w:ascii="Arial" w:cs="Arial" w:eastAsia="Arial" w:hAnsi="Arial"/>
                <w:sz w:val="19"/>
                <w:szCs w:val="19"/>
              </w:rPr>
              <w:t xml:space="preserve">Dr. Salaries Expense — Fund-NIH-2024-001 $4,800</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Fringe Benefit Calculation: </w:t>
            </w:r>
            <w:r>
              <w:rPr>
                <w:rFonts w:ascii="Arial" w:cs="Arial" w:eastAsia="Arial" w:hAnsi="Arial"/>
                <w:sz w:val="19"/>
                <w:szCs w:val="19"/>
              </w:rPr>
              <w:t xml:space="preserve">System applies approved fringe benefit rate (28.4%) to each salary charge. Dr. Fringe Benefits — Fund-NIH-2024-001 $1,363 (28.4% × $4,800) / Cr. Fringe Benefits Payable $1,363</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Indirect Cost Calculation: </w:t>
            </w:r>
            <w:r>
              <w:rPr>
                <w:rFonts w:ascii="Arial" w:cs="Arial" w:eastAsia="Arial" w:hAnsi="Arial"/>
                <w:sz w:val="19"/>
                <w:szCs w:val="19"/>
              </w:rPr>
              <w:t xml:space="preserve">System applies NICRA rate (28.5% MTDC) to direct salary + fringe. Indirect cost = (4,800 + 1,363) × 28.5% = $1,756. Dr. Indirect Cost — Fund-NIH-2024-001 $1,756 / Cr. F&amp;A Revenue — Pool $1,756</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6 — Certification Workflow: </w:t>
            </w:r>
            <w:r>
              <w:rPr>
                <w:rFonts w:ascii="Arial" w:cs="Arial" w:eastAsia="Arial" w:hAnsi="Arial"/>
                <w:sz w:val="19"/>
                <w:szCs w:val="19"/>
              </w:rPr>
              <w:t xml:space="preserve">ERP generates certification task for Employee A. Employee reviews period dates and effort percentages. If correct, employee certifies via electronic signature. Certification date and IP address logged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Exception — Effort Change: </w:t>
            </w:r>
            <w:r>
              <w:rPr>
                <w:rFonts w:ascii="Arial" w:cs="Arial" w:eastAsia="Arial" w:hAnsi="Arial"/>
                <w:sz w:val="19"/>
                <w:szCs w:val="19"/>
              </w:rPr>
              <w:t xml:space="preserve">If actual effort during period differed from distribution on file, employee submits effort correction. Prior period payroll redistribution journal entry processed with Controller approval. Prior period adjustments tracked separately for audit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Audit Evidence: </w:t>
            </w:r>
            <w:r>
              <w:rPr>
                <w:rFonts w:ascii="Arial" w:cs="Arial" w:eastAsia="Arial" w:hAnsi="Arial"/>
                <w:sz w:val="19"/>
                <w:szCs w:val="19"/>
              </w:rPr>
              <w:t xml:space="preserve">Payroll register with grant allocation; fringe benefit calculation worksheet; NICRA compliance check; bi-monthly certification records with electronic signatures; effort correction log if applicable</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P3-T02 — </w:t>
            </w:r>
            <w:r>
              <w:rPr>
                <w:rFonts w:ascii="Arial" w:cs="Arial" w:eastAsia="Arial" w:hAnsi="Arial"/>
                <w:b/>
                <w:bCs/>
                <w:color w:val="1A6DD4"/>
                <w:sz w:val="20"/>
                <w:szCs w:val="20"/>
              </w:rPr>
              <w:t xml:space="preserve">Cash Drawdown Request — Advance Payment Method (ASAP/G5)</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Applicable Grants: </w:t>
            </w:r>
            <w:r>
              <w:rPr>
                <w:rFonts w:ascii="Arial" w:cs="Arial" w:eastAsia="Arial" w:hAnsi="Arial"/>
                <w:sz w:val="19"/>
                <w:szCs w:val="19"/>
              </w:rPr>
              <w:t xml:space="preserve">Federal grants administered via DHHS Payment Management System (PMS) or G5 platform allowing advance drawdowns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Cash Need Analysis: </w:t>
            </w:r>
            <w:r>
              <w:rPr>
                <w:rFonts w:ascii="Arial" w:cs="Arial" w:eastAsia="Arial" w:hAnsi="Arial"/>
                <w:sz w:val="19"/>
                <w:szCs w:val="19"/>
              </w:rPr>
              <w:t xml:space="preserve">Grant Accountant queries ERP for projected expenditures in next 3 days. Principle: advance drawdown must be limited to immediate cash need per 2 CFR §200.305(b)(3)</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Drawdown Calculation: </w:t>
            </w:r>
            <w:r>
              <w:rPr>
                <w:rFonts w:ascii="Arial" w:cs="Arial" w:eastAsia="Arial" w:hAnsi="Arial"/>
                <w:sz w:val="19"/>
                <w:szCs w:val="19"/>
              </w:rPr>
              <w:t xml:space="preserve">Total projected 3-day expenditures across payroll, vendor payments, and subrecipient payments calculated. Net of any unspent prior drawdowns on hand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Drawdown Entry in ERP: </w:t>
            </w:r>
            <w:r>
              <w:rPr>
                <w:rFonts w:ascii="Arial" w:cs="Arial" w:eastAsia="Arial" w:hAnsi="Arial"/>
                <w:sz w:val="19"/>
                <w:szCs w:val="19"/>
              </w:rPr>
              <w:t xml:space="preserve">Grant Accountant records drawdown request: Dr. Cash — Federal Drawdown Account $[amount] / Cr. Refundable Advances — Federal Awards $[amount]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Expenditure Liquidation: </w:t>
            </w:r>
            <w:r>
              <w:rPr>
                <w:rFonts w:ascii="Arial" w:cs="Arial" w:eastAsia="Arial" w:hAnsi="Arial"/>
                <w:sz w:val="19"/>
                <w:szCs w:val="19"/>
              </w:rPr>
              <w:t xml:space="preserve">As expenditures are processed and paid, drawdown liability is reduced: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Timing Compliance Check: </w:t>
            </w:r>
            <w:r>
              <w:rPr>
                <w:rFonts w:ascii="Arial" w:cs="Arial" w:eastAsia="Arial" w:hAnsi="Arial"/>
                <w:sz w:val="19"/>
                <w:szCs w:val="19"/>
              </w:rPr>
              <w:t xml:space="preserve">ERP runs automated check: if cash drawn down remains unspent after 3 business days, system flags for review. Interest earned on federal funds held &gt;3 days must be remitted to federal agency per 2 CFR §200.305(b)(8)</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6 — SF-425 Tie-Out: </w:t>
            </w:r>
            <w:r>
              <w:rPr>
                <w:rFonts w:ascii="Arial" w:cs="Arial" w:eastAsia="Arial" w:hAnsi="Arial"/>
                <w:sz w:val="19"/>
                <w:szCs w:val="19"/>
              </w:rPr>
              <w:t xml:space="preserve">Total cumulative drawdowns per ERP must equal 'Federal Cash Received' on SF-425. Monthly reconciliation performed and documented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Control Point: </w:t>
            </w:r>
            <w:r>
              <w:rPr>
                <w:rFonts w:ascii="Arial" w:cs="Arial" w:eastAsia="Arial" w:hAnsi="Arial"/>
                <w:sz w:val="19"/>
                <w:szCs w:val="19"/>
              </w:rPr>
              <w:t xml:space="preserve">Drawdown amount cannot exceed cumulative incurred expenditures to date on the grant at time of drawdown. ERP enforces this check automatically</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§200.305 — Payment; advance payment limitations; interest requirements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P3-T03 — </w:t>
            </w:r>
            <w:r>
              <w:rPr>
                <w:rFonts w:ascii="Arial" w:cs="Arial" w:eastAsia="Arial" w:hAnsi="Arial"/>
                <w:b/>
                <w:bCs/>
                <w:color w:val="1A6DD4"/>
                <w:sz w:val="20"/>
                <w:szCs w:val="20"/>
              </w:rPr>
              <w:t xml:space="preserve">Subrecipient Invoice Review and Payment Processing</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Subrecipient submits quarterly financial report and invoice for $125,000 in incurred costs under subaward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Invoice Receipt: </w:t>
            </w:r>
            <w:r>
              <w:rPr>
                <w:rFonts w:ascii="Arial" w:cs="Arial" w:eastAsia="Arial" w:hAnsi="Arial"/>
                <w:sz w:val="19"/>
                <w:szCs w:val="19"/>
              </w:rPr>
              <w:t xml:space="preserve">Subrecipient submits financial report with supporting documentation. Grant Manager records receipt in ERP Subrecipient Management module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Desk Review: </w:t>
            </w:r>
            <w:r>
              <w:rPr>
                <w:rFonts w:ascii="Arial" w:cs="Arial" w:eastAsia="Arial" w:hAnsi="Arial"/>
                <w:sz w:val="19"/>
                <w:szCs w:val="19"/>
              </w:rPr>
              <w:t xml:space="preserve">Grant Manager performs desk review of financial report against: approved subaward budget by line item; prior period actuals; rate of expenditure vs. project progress; budget deviations &gt;10% flagged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Documentation Adequacy Check: </w:t>
            </w:r>
            <w:r>
              <w:rPr>
                <w:rFonts w:ascii="Arial" w:cs="Arial" w:eastAsia="Arial" w:hAnsi="Arial"/>
                <w:sz w:val="19"/>
                <w:szCs w:val="19"/>
              </w:rPr>
              <w:t xml:space="preserve">ERP checklist: Were all required supporting documents submitted? (payroll records, vendor invoices, effort certifications). Missing items generate automated request to subrecipient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Risk-Based Monitoring: </w:t>
            </w:r>
            <w:r>
              <w:rPr>
                <w:rFonts w:ascii="Arial" w:cs="Arial" w:eastAsia="Arial" w:hAnsi="Arial"/>
                <w:sz w:val="19"/>
                <w:szCs w:val="19"/>
              </w:rPr>
              <w:t xml:space="preserve">If subrecipient risk rating = High, on-site monitoring visit scheduled before invoice approval. ERP blocks payment until monitoring visit is logged as completed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Invoice Approval: </w:t>
            </w:r>
            <w:r>
              <w:rPr>
                <w:rFonts w:ascii="Arial" w:cs="Arial" w:eastAsia="Arial" w:hAnsi="Arial"/>
                <w:sz w:val="19"/>
                <w:szCs w:val="19"/>
              </w:rPr>
              <w:t xml:space="preserve">Grant Manager approves invoice in ERP after desk review is complete. Approval triggers AP payment workflow</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6 — Payment Journal Entry: </w:t>
            </w:r>
            <w:r>
              <w:rPr>
                <w:rFonts w:ascii="Arial" w:cs="Arial" w:eastAsia="Arial" w:hAnsi="Arial"/>
                <w:sz w:val="19"/>
                <w:szCs w:val="19"/>
              </w:rPr>
              <w:t xml:space="preserve">Dr. Subaward Expense — Fund-NIH-2024-001 $125,000 / Cr. Accounts Payable — Subrecipient $125,000. Payment: Dr. AP — Subrecipient $125,000 / Cr. Cash $125,000</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7 — Subrecipient Ledger Update: </w:t>
            </w:r>
            <w:r>
              <w:rPr>
                <w:rFonts w:ascii="Arial" w:cs="Arial" w:eastAsia="Arial" w:hAnsi="Arial"/>
                <w:sz w:val="19"/>
                <w:szCs w:val="19"/>
              </w:rPr>
              <w:t xml:space="preserve">ERP subrecipient ledger shows: subaward total; cumulative payments; remaining balance; monitoring status; next report due date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Audit Evidence: </w:t>
            </w:r>
            <w:r>
              <w:rPr>
                <w:rFonts w:ascii="Arial" w:cs="Arial" w:eastAsia="Arial" w:hAnsi="Arial"/>
                <w:sz w:val="19"/>
                <w:szCs w:val="19"/>
              </w:rPr>
              <w:t xml:space="preserve">Subrecipient financial report; desk review checklist; documentation adequacy log; monitoring visit report (if applicable); invoice approval record; payment disbursement documentation</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P3-T04 — </w:t>
            </w:r>
            <w:r>
              <w:rPr>
                <w:rFonts w:ascii="Arial" w:cs="Arial" w:eastAsia="Arial" w:hAnsi="Arial"/>
                <w:b/>
                <w:bCs/>
                <w:color w:val="1A6DD4"/>
                <w:sz w:val="20"/>
                <w:szCs w:val="20"/>
              </w:rPr>
              <w:t xml:space="preserve">Indirect Cost Rate Change Mid-Award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Organization's predetermined indirect cost rate of 28.5% expires mid-year. New provisional rate of 31.2% negotiated and approved by cognizant agency</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NICRA Update: </w:t>
            </w:r>
            <w:r>
              <w:rPr>
                <w:rFonts w:ascii="Arial" w:cs="Arial" w:eastAsia="Arial" w:hAnsi="Arial"/>
                <w:sz w:val="19"/>
                <w:szCs w:val="19"/>
              </w:rPr>
              <w:t xml:space="preserve">Controller receives new NICRA. Updates indirect cost rate table in ERP with new rate and effective date (e.g., 07/01/2024)</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Prospective Application: </w:t>
            </w:r>
            <w:r>
              <w:rPr>
                <w:rFonts w:ascii="Arial" w:cs="Arial" w:eastAsia="Arial" w:hAnsi="Arial"/>
                <w:sz w:val="19"/>
                <w:szCs w:val="19"/>
              </w:rPr>
              <w:t xml:space="preserve">System applies new rate to all direct cost transactions on or after effective date. Transactions prior to effective date retain prior rate. No retroactive adjustment unless specifically required by agency</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Budget Impact Analysis: </w:t>
            </w:r>
            <w:r>
              <w:rPr>
                <w:rFonts w:ascii="Arial" w:cs="Arial" w:eastAsia="Arial" w:hAnsi="Arial"/>
                <w:sz w:val="19"/>
                <w:szCs w:val="19"/>
              </w:rPr>
              <w:t xml:space="preserve">ERP generates budget impact report showing: indirect cost budget by grant at old rate vs new rate. Difference flagged for each grant that may exceed indirect cost budget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Budget Amendment: </w:t>
            </w:r>
            <w:r>
              <w:rPr>
                <w:rFonts w:ascii="Arial" w:cs="Arial" w:eastAsia="Arial" w:hAnsi="Arial"/>
                <w:sz w:val="19"/>
                <w:szCs w:val="19"/>
              </w:rPr>
              <w:t xml:space="preserve">For grants where increased indirect rate causes budget overrun in indirect cost category: Grant Manager initiates budget modification workflow (see P2-T04)</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Rate Consistency Documentation: </w:t>
            </w:r>
            <w:r>
              <w:rPr>
                <w:rFonts w:ascii="Arial" w:cs="Arial" w:eastAsia="Arial" w:hAnsi="Arial"/>
                <w:sz w:val="19"/>
                <w:szCs w:val="19"/>
              </w:rPr>
              <w:t xml:space="preserve">Rate change and effective date documented in grant file. SF-425 will reflect mixed rates for the affected period — controller prepares supplemental schedule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Audit Evidence: </w:t>
            </w:r>
            <w:r>
              <w:rPr>
                <w:rFonts w:ascii="Arial" w:cs="Arial" w:eastAsia="Arial" w:hAnsi="Arial"/>
                <w:sz w:val="19"/>
                <w:szCs w:val="19"/>
              </w:rPr>
              <w:t xml:space="preserve">Original NICRA; new NICRA with effective date; ERP rate change log; budget impact analysis; budget amendment requests and approvals; SF-425 supplemental schedule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§200.414 — Indirect (F&amp;A) costs; use of predetermined and fixed rates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P3-T05 — </w:t>
            </w:r>
            <w:r>
              <w:rPr>
                <w:rFonts w:ascii="Arial" w:cs="Arial" w:eastAsia="Arial" w:hAnsi="Arial"/>
                <w:b/>
                <w:bCs/>
                <w:color w:val="1A6DD4"/>
                <w:sz w:val="20"/>
                <w:szCs w:val="20"/>
              </w:rPr>
              <w:t xml:space="preserve">Program Income Receipt and Tracking</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University grant program generates $18,000 in registration fees from a federally funded conference — this constitutes program income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Program Income Account: </w:t>
            </w:r>
            <w:r>
              <w:rPr>
                <w:rFonts w:ascii="Arial" w:cs="Arial" w:eastAsia="Arial" w:hAnsi="Arial"/>
                <w:sz w:val="19"/>
                <w:szCs w:val="19"/>
              </w:rPr>
              <w:t xml:space="preserve">Separate program income fund account established in ERP for the grant: Fund-NIH-2024-001-PI</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Revenue Recording: </w:t>
            </w:r>
            <w:r>
              <w:rPr>
                <w:rFonts w:ascii="Arial" w:cs="Arial" w:eastAsia="Arial" w:hAnsi="Arial"/>
                <w:sz w:val="19"/>
                <w:szCs w:val="19"/>
              </w:rPr>
              <w:t xml:space="preserve">Conference registration revenue posted: Dr. Cash $18,000 / Cr. Program Income Revenue — Fund-NIH-2024-001-PI $18,000</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Usage Method Determination: </w:t>
            </w:r>
            <w:r>
              <w:rPr>
                <w:rFonts w:ascii="Arial" w:cs="Arial" w:eastAsia="Arial" w:hAnsi="Arial"/>
                <w:sz w:val="19"/>
                <w:szCs w:val="19"/>
              </w:rPr>
              <w:t xml:space="preserve">Grant award specifies addition method (preferred) or deduction method. If addition method: program income must be used for authorized purposes under the award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Expenditure Tracking: </w:t>
            </w:r>
            <w:r>
              <w:rPr>
                <w:rFonts w:ascii="Arial" w:cs="Arial" w:eastAsia="Arial" w:hAnsi="Arial"/>
                <w:sz w:val="19"/>
                <w:szCs w:val="19"/>
              </w:rPr>
              <w:t xml:space="preserve">Program income expenditures tracked in separate fund but subject to same grant requirements (allowability, prior approval, documentation)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SF-425 Reporting: </w:t>
            </w:r>
            <w:r>
              <w:rPr>
                <w:rFonts w:ascii="Arial" w:cs="Arial" w:eastAsia="Arial" w:hAnsi="Arial"/>
                <w:sz w:val="19"/>
                <w:szCs w:val="19"/>
              </w:rPr>
              <w:t xml:space="preserve">Program income reported on SF-425: Line 10j (Program Income) must reconcile to ERP program income fund balance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6 — Unused Program Income: </w:t>
            </w:r>
            <w:r>
              <w:rPr>
                <w:rFonts w:ascii="Arial" w:cs="Arial" w:eastAsia="Arial" w:hAnsi="Arial"/>
                <w:sz w:val="19"/>
                <w:szCs w:val="19"/>
              </w:rPr>
              <w:t xml:space="preserve">If program income balance remains at award closeout, agency determines disposition (return to federal government or apply to other authorized purposes)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§200.307 — Program income; addition and deduction methods; SF-425 reporting requirement</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Phase 3 Transaction Scenarios (P3-T06 through P3-T25) cover: Equipment acquisition, tagging, and ERP asset register update; travel expense reimbursement and per diem compliance check; subaward modification and budget revision; no-cost extension request workflow and ERP period extension; salary cap enforcement for NIH-funded personnel; consultant payment and hourly rate verification; cost transfer request workflow with justification and timeliness check (within 90 days per institutional policy); vendor payment ACH processing and remittance advice; monthly budget-to-actual variance review workflow; period-end accruals and accounts receivable for cost-reimbursable drawdowns; fixed-price subaward payment milestone verification; graduate student tuition remission allocation; facilities and administrative cost pool quarterly reconciliation; grant-to-grant cost sharing contribution recording; third-party in-kind contribution valuation and documentation; foreign travel prior approval workflow; participant support cost tracking and restrictions; subrecipient audit requirement monitoring and A-133 finding review; equipment disposition and proceeds tracking; and annual fringe benefit rate true-up and prior period adjustment.</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Phase 4 — Compliance Documentation and Audit Readiness</w:t>
      </w:r>
    </w:p>
    <w:p>
      <w:pPr>
        <w:spacing w:after="80" w:before="60"/>
      </w:pPr>
      <w:r>
        <w:rPr>
          <w:rFonts w:ascii="Arial" w:cs="Arial" w:eastAsia="Arial" w:hAnsi="Arial"/>
          <w:sz w:val="22"/>
          <w:szCs w:val="22"/>
        </w:rPr>
        <w:t xml:space="preserve">Phase 4 maintains the documentation infrastructure required for compliance reviews and external audits throughout the award period and at audit time. Audit readiness is not a point-in-time activity — it is a continuous state maintained by proper ERP configuration and daily operational discipline.</w:t>
      </w:r>
    </w:p>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4A. Audit Evidence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Documentation Category</w:t>
            </w:r>
          </w:p>
        </w:tc>
        <w:tc>
          <w:tcPr>
            <w:tcW w:type="dxa" w:w="24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ERP Location</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Retention Period</w:t>
            </w:r>
          </w:p>
        </w:tc>
        <w:tc>
          <w:tcPr>
            <w:tcW w:type="dxa" w:w="33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Audit Relevance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Grant award documents (NoA, subaward agreements)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Document Management System linked to Fund Master</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3 years after final expenditure report</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Primary authority for allowability and budget determinations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Purchase orders and vendor invoices</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 Module — PO/Invoice archive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 years after final expenditure report</w:t>
            </w:r>
          </w:p>
        </w:tc>
        <w:tc>
          <w:tcPr>
            <w:tcW w:type="dxa" w:w="3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Evidence of three-way match completion and authorized procurement</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Payroll records and effort certifications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HR/Payroll Module — Certification archive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3 years after final expenditure report or longer per institutional policy</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Documentation of time and effort allocations per 2 CFR §200.430</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Equipment inventory records</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Fixed Assets Module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 years after disposition</w:t>
            </w:r>
          </w:p>
        </w:tc>
        <w:tc>
          <w:tcPr>
            <w:tcW w:type="dxa" w:w="3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Evidence of authorized acquisition, use, and disposition</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Subrecipient monitoring records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Subrecipient Management Module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3 years after final expenditure report</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Evidence of pass-through entity oversight per 2 CFR §200.332</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Indirect cost rate documentation</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Cost Accounting Module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 years after final expenditure report</w:t>
            </w:r>
          </w:p>
        </w:tc>
        <w:tc>
          <w:tcPr>
            <w:tcW w:type="dxa" w:w="3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Evidence of NICRA compliance and rate application accuracy</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modification records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Module — Modification log</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Life of award + 3 years</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Evidence of prior approval compliance per 2 CFR §200.308</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SF-425 Federal Financial Reports</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Reporting Module — SF-425 archive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 years after final report</w:t>
            </w:r>
          </w:p>
        </w:tc>
        <w:tc>
          <w:tcPr>
            <w:tcW w:type="dxa" w:w="3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Required reporting documentation; reconciliation to general ledger</w:t>
            </w:r>
          </w:p>
        </w:tc>
      </w:tr>
    </w:tbl>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4B. Phase 4 Transaction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P4-T01 — </w:t>
            </w:r>
            <w:r>
              <w:rPr>
                <w:rFonts w:ascii="Arial" w:cs="Arial" w:eastAsia="Arial" w:hAnsi="Arial"/>
                <w:b/>
                <w:bCs/>
                <w:color w:val="1A6DD4"/>
                <w:sz w:val="20"/>
                <w:szCs w:val="20"/>
              </w:rPr>
              <w:t xml:space="preserve">Single Audit Preparation — Schedule of Expenditures of Federal Awards (SEFA)</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Organization is preparing for annual Single Audit. SEFA must be prepared as a supplemental schedule to the financial statements, listing all federal award expenditures by CFDA/ALN number</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Query: </w:t>
            </w:r>
            <w:r>
              <w:rPr>
                <w:rFonts w:ascii="Arial" w:cs="Arial" w:eastAsia="Arial" w:hAnsi="Arial"/>
                <w:sz w:val="19"/>
                <w:szCs w:val="19"/>
              </w:rPr>
              <w:t xml:space="preserve">Controller runs SEFA report from Grant Management module. Query parameters: fiscal year; fund type = Federal Award; include all posted expenditures</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Report Fields: </w:t>
            </w:r>
            <w:r>
              <w:rPr>
                <w:rFonts w:ascii="Arial" w:cs="Arial" w:eastAsia="Arial" w:hAnsi="Arial"/>
                <w:sz w:val="19"/>
                <w:szCs w:val="19"/>
              </w:rPr>
              <w:t xml:space="preserve">ALN/CFDA number; federal program name; pass-through entity name and identifying number (if applicable); whether entity provided passthrough to subrecipients; total expenditures for the period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Validation Steps: </w:t>
            </w:r>
            <w:r>
              <w:rPr>
                <w:rFonts w:ascii="Arial" w:cs="Arial" w:eastAsia="Arial" w:hAnsi="Arial"/>
                <w:sz w:val="19"/>
                <w:szCs w:val="19"/>
              </w:rPr>
              <w:t xml:space="preserve">1. Reconcile SEFA total to General Ledger federal fund expenditures. 2. Verify ALN numbers against award documents. 3. Confirm subrecipient amounts match subaward payment records. 4. Cross-check to SF-425 cumulative expenditures</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Cluster Identification: </w:t>
            </w:r>
            <w:r>
              <w:rPr>
                <w:rFonts w:ascii="Arial" w:cs="Arial" w:eastAsia="Arial" w:hAnsi="Arial"/>
                <w:sz w:val="19"/>
                <w:szCs w:val="19"/>
              </w:rPr>
              <w:t xml:space="preserve">ERP flags programs that are part of an audit cluster (e.g., Student Financial Assistance cluster, Research and Development cluster) per OMB Compliance Supplement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Materiality Threshold: </w:t>
            </w:r>
            <w:r>
              <w:rPr>
                <w:rFonts w:ascii="Arial" w:cs="Arial" w:eastAsia="Arial" w:hAnsi="Arial"/>
                <w:sz w:val="19"/>
                <w:szCs w:val="19"/>
              </w:rPr>
              <w:t xml:space="preserve">ERP calculates whether any program meets Type A threshold ($750,000 or 3% of total federal expenditures, whichever is larger) — audit team selects major programs from this list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Evidence Generated: </w:t>
            </w:r>
            <w:r>
              <w:rPr>
                <w:rFonts w:ascii="Arial" w:cs="Arial" w:eastAsia="Arial" w:hAnsi="Arial"/>
                <w:sz w:val="19"/>
                <w:szCs w:val="19"/>
              </w:rPr>
              <w:t xml:space="preserve">SEFA working paper with GL reconciliation; ALN number verification log; cluster identification memo; Type A/B threshold calculation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§200.510 — Financial statements; 2 CFR §200.510(b) — SEFA requirements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P4-T02 — </w:t>
            </w:r>
            <w:r>
              <w:rPr>
                <w:rFonts w:ascii="Arial" w:cs="Arial" w:eastAsia="Arial" w:hAnsi="Arial"/>
                <w:b/>
                <w:bCs/>
                <w:color w:val="1A6DD4"/>
                <w:sz w:val="20"/>
                <w:szCs w:val="20"/>
              </w:rPr>
              <w:t xml:space="preserve">SF-425 Federal Financial Report Generation — Quarterly Submission</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Quarterly SF-425 is due 30 days after period end for an NIH research grant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Report Generation: </w:t>
            </w:r>
            <w:r>
              <w:rPr>
                <w:rFonts w:ascii="Arial" w:cs="Arial" w:eastAsia="Arial" w:hAnsi="Arial"/>
                <w:sz w:val="19"/>
                <w:szCs w:val="19"/>
              </w:rPr>
              <w:t xml:space="preserve">Controller runs SF-425 report from ERP Reporting module. System auto-populates: recipient name and address; award number; reporting period; cumulative expenditures by line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Line-by-Line Verification: </w:t>
            </w:r>
            <w:r>
              <w:rPr>
                <w:rFonts w:ascii="Arial" w:cs="Arial" w:eastAsia="Arial" w:hAnsi="Arial"/>
                <w:sz w:val="19"/>
                <w:szCs w:val="19"/>
              </w:rPr>
              <w:t xml:space="preserve">ERP data vs SF-425 fields: (10a) Total Federal Funds Authorized = approved budget; (10b) Federal Share of Expenditures = cumulative posted expenditures from grant fund; (10c) Federal Share of Unliquidated Obligations = encumbrance balance; (10e) Federal Share of Net Outlays = 10b + 10c</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Reconciliation Documentation: </w:t>
            </w:r>
            <w:r>
              <w:rPr>
                <w:rFonts w:ascii="Arial" w:cs="Arial" w:eastAsia="Arial" w:hAnsi="Arial"/>
                <w:sz w:val="19"/>
                <w:szCs w:val="19"/>
              </w:rPr>
              <w:t xml:space="preserve">Controller documents reconciliation between SF-425 lines and ERP account balances. Any rounding differences or timing differences explained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Approval and Submission: </w:t>
            </w:r>
            <w:r>
              <w:rPr>
                <w:rFonts w:ascii="Arial" w:cs="Arial" w:eastAsia="Arial" w:hAnsi="Arial"/>
                <w:sz w:val="19"/>
                <w:szCs w:val="19"/>
              </w:rPr>
              <w:t xml:space="preserve">SF-425 routed through ERP workflow for review by Grant Manager and sign-off by authorized representative. Submitted via agency portal (Research.gov, Grants.gov, PMS)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Archiving: </w:t>
            </w:r>
            <w:r>
              <w:rPr>
                <w:rFonts w:ascii="Arial" w:cs="Arial" w:eastAsia="Arial" w:hAnsi="Arial"/>
                <w:sz w:val="19"/>
                <w:szCs w:val="19"/>
              </w:rPr>
              <w:t xml:space="preserve">Submitted SF-425 and reconciliation documentation archived in ERP document management with submission date, transmittal confirmation, and certifying official name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Late Submission Flag: </w:t>
            </w:r>
            <w:r>
              <w:rPr>
                <w:rFonts w:ascii="Arial" w:cs="Arial" w:eastAsia="Arial" w:hAnsi="Arial"/>
                <w:sz w:val="19"/>
                <w:szCs w:val="19"/>
              </w:rPr>
              <w:t xml:space="preserve">ERP generates alert if SF-425 is not marked as submitted by due date. Escalation to Controller and CFO</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§200.328 — Reporting on real property; general reporting requirements; SF-425 Federal Financial Report</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P4-T03 — </w:t>
            </w:r>
            <w:r>
              <w:rPr>
                <w:rFonts w:ascii="Arial" w:cs="Arial" w:eastAsia="Arial" w:hAnsi="Arial"/>
                <w:b/>
                <w:bCs/>
                <w:color w:val="1A6DD4"/>
                <w:sz w:val="20"/>
                <w:szCs w:val="20"/>
              </w:rPr>
              <w:t xml:space="preserve">Corrective Action Plan Development and Tracking</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Single Audit identifies a significant deficiency in procurement controls for federal awards. Corrective Action Plan (CAP) required within 6 months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Finding Logging: </w:t>
            </w:r>
            <w:r>
              <w:rPr>
                <w:rFonts w:ascii="Arial" w:cs="Arial" w:eastAsia="Arial" w:hAnsi="Arial"/>
                <w:sz w:val="19"/>
                <w:szCs w:val="19"/>
              </w:rPr>
              <w:t xml:space="preserve">Audit finding formally entered in ERP Compliance Tracking module: finding type (material weakness/significant deficiency/finding of noncompliance); affected programs; root cause; criteria; condition; context; effect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CAP Development: </w:t>
            </w:r>
            <w:r>
              <w:rPr>
                <w:rFonts w:ascii="Arial" w:cs="Arial" w:eastAsia="Arial" w:hAnsi="Arial"/>
                <w:sz w:val="19"/>
                <w:szCs w:val="19"/>
              </w:rPr>
              <w:t xml:space="preserve">Controller and Grant Manager develop CAP. Actions entered in ERP with: specific corrective action; responsible party; target completion date; evidence required for closure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Implementation Tracking: </w:t>
            </w:r>
            <w:r>
              <w:rPr>
                <w:rFonts w:ascii="Arial" w:cs="Arial" w:eastAsia="Arial" w:hAnsi="Arial"/>
                <w:sz w:val="19"/>
                <w:szCs w:val="19"/>
              </w:rPr>
              <w:t xml:space="preserve">Progress against each CAP action item tracked in ERP. Responsible parties receive periodic reminders. Status updated as In Progress / Complete / Overdue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Control Testing: </w:t>
            </w:r>
            <w:r>
              <w:rPr>
                <w:rFonts w:ascii="Arial" w:cs="Arial" w:eastAsia="Arial" w:hAnsi="Arial"/>
                <w:sz w:val="19"/>
                <w:szCs w:val="19"/>
              </w:rPr>
              <w:t xml:space="preserve">Once CAP actions are implemented, Internal Audit tests the corrected controls. Test results logged in ERP</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Auditor Communication: </w:t>
            </w:r>
            <w:r>
              <w:rPr>
                <w:rFonts w:ascii="Arial" w:cs="Arial" w:eastAsia="Arial" w:hAnsi="Arial"/>
                <w:sz w:val="19"/>
                <w:szCs w:val="19"/>
              </w:rPr>
              <w:t xml:space="preserve">CAP summary report generated from ERP for submission to federal awarding agency and auditors. Submitted within required timeframe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6 — Subsequent Year Verification: </w:t>
            </w:r>
            <w:r>
              <w:rPr>
                <w:rFonts w:ascii="Arial" w:cs="Arial" w:eastAsia="Arial" w:hAnsi="Arial"/>
                <w:sz w:val="19"/>
                <w:szCs w:val="19"/>
              </w:rPr>
              <w:t xml:space="preserve">In following audit year, auditor tests whether prior year findings have been resolved. ERP provides documentation of actions taken and testing results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§200.511 — Audit findings follow-up; 2 CFR §200.513 — Responsibilities of federal agencies and pass-through entities</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Phase 4 Transaction Scenarios (P4-T04 through P4-T20) cover: Internal control testing documentation and results recording; management representation letter preparation with ERP data tie-out; audit sampling population extraction and sampling frame documentation; time and effort testing — sample selection and certification record retrieval; procurement testing — competitive bidding documentation retrieval; subrecipient audit requirement verification and resolution of prior findings; equipment physical inventory count reconciliation; program income audit testing reconciliation; indirect cost rate audit workpaper preparation; cost allocation audit support — allocation calculation documentation; period-end closing procedures and audit-ready trial balance generation; grant closeout readiness assessment checklist; related party transaction identification and disclosure; conflict of interest disclosure management; and audit committee reporting package generation from ERP data.</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Phase 5 — Grant Closeout and Post-Closeout Management</w:t>
      </w:r>
    </w:p>
    <w:p>
      <w:pPr>
        <w:spacing w:after="80" w:before="60"/>
      </w:pPr>
      <w:r>
        <w:rPr>
          <w:rFonts w:ascii="Arial" w:cs="Arial" w:eastAsia="Arial" w:hAnsi="Arial"/>
          <w:sz w:val="22"/>
          <w:szCs w:val="22"/>
        </w:rPr>
        <w:t xml:space="preserve">Phase 5 governs the systematic process of closing a federal grant award. Closeout is not simply stopping expenditures — it requires final reconciliation, documentation of cost share commitments, disposition of equipment, resolution of subrecipient obligations, final financial reporting, and maintenance of records for the post-closeout period.</w:t>
      </w:r>
    </w:p>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5A. Closeout Milestone Timeline (Typical Federal Award)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100"/>
        <w:gridCol w:w="1860"/>
      </w:tblGrid>
      <w:tr>
        <w:trPr>
          <w:tblHeader/>
        </w:trPr>
        <w:tc>
          <w:tcPr>
            <w:tcW w:type="dxa" w:w="2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Days Before/After Award End</w:t>
            </w:r>
          </w:p>
        </w:tc>
        <w:tc>
          <w:tcPr>
            <w:tcW w:type="dxa" w:w="3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Action Required</w:t>
            </w:r>
          </w:p>
        </w:tc>
        <w:tc>
          <w:tcPr>
            <w:tcW w:type="dxa" w:w="21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ERP Function</w:t>
            </w:r>
          </w:p>
        </w:tc>
        <w:tc>
          <w:tcPr>
            <w:tcW w:type="dxa" w:w="18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Responsible Party</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90 days before end</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Closeout readiness assessment</w:t>
            </w:r>
          </w:p>
        </w:tc>
        <w:tc>
          <w:tcPr>
            <w:tcW w:type="dxa" w:w="21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Checklist generation from ERP template</w:t>
            </w:r>
          </w:p>
        </w:tc>
        <w:tc>
          <w:tcPr>
            <w:tcW w:type="dxa" w:w="18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Grant Manager</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60 days before end</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Final personnel effort certifications completed</w:t>
            </w:r>
          </w:p>
        </w:tc>
        <w:tc>
          <w:tcPr>
            <w:tcW w:type="dxa" w:w="21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Effort certification workflow</w:t>
            </w:r>
          </w:p>
        </w:tc>
        <w:tc>
          <w:tcPr>
            <w:tcW w:type="dxa" w:w="18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PI / Employees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45 days before end</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All equipment acquisitions completed; no new encumbrances</w:t>
            </w:r>
          </w:p>
        </w:tc>
        <w:tc>
          <w:tcPr>
            <w:tcW w:type="dxa" w:w="21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lock on Equipment line</w:t>
            </w:r>
          </w:p>
        </w:tc>
        <w:tc>
          <w:tcPr>
            <w:tcW w:type="dxa" w:w="18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Controller</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30 days before end</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All subaward payments current; final invoices submitted</w:t>
            </w:r>
          </w:p>
        </w:tc>
        <w:tc>
          <w:tcPr>
            <w:tcW w:type="dxa" w:w="21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Subrecipient ledger review</w:t>
            </w:r>
          </w:p>
        </w:tc>
        <w:tc>
          <w:tcPr>
            <w:tcW w:type="dxa" w:w="18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Grant Manager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Award end date</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Expenditure period closes</w:t>
            </w:r>
          </w:p>
        </w:tc>
        <w:tc>
          <w:tcPr>
            <w:tcW w:type="dxa" w:w="21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ERP auto-locks award period</w:t>
            </w:r>
          </w:p>
        </w:tc>
        <w:tc>
          <w:tcPr>
            <w:tcW w:type="dxa" w:w="18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System (automated)</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+30 days</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Final SF-425 submitted to agency</w:t>
            </w:r>
          </w:p>
        </w:tc>
        <w:tc>
          <w:tcPr>
            <w:tcW w:type="dxa" w:w="21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SF-425 auto-generation and workflow</w:t>
            </w:r>
          </w:p>
        </w:tc>
        <w:tc>
          <w:tcPr>
            <w:tcW w:type="dxa" w:w="18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Controller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+45 days</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Final equipment inventory submitted (if required)</w:t>
            </w:r>
          </w:p>
        </w:tc>
        <w:tc>
          <w:tcPr>
            <w:tcW w:type="dxa" w:w="21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Fixed assets closeout report</w:t>
            </w:r>
          </w:p>
        </w:tc>
        <w:tc>
          <w:tcPr>
            <w:tcW w:type="dxa" w:w="18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Controller</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+60 days</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Federal agency initiates closeout review</w:t>
            </w:r>
          </w:p>
        </w:tc>
        <w:tc>
          <w:tcPr>
            <w:tcW w:type="dxa" w:w="21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Document request response workflow</w:t>
            </w:r>
          </w:p>
        </w:tc>
        <w:tc>
          <w:tcPr>
            <w:tcW w:type="dxa" w:w="18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Grant Manager / Controller</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+90 days (typical)</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Award officially closed</w:t>
            </w:r>
          </w:p>
        </w:tc>
        <w:tc>
          <w:tcPr>
            <w:tcW w:type="dxa" w:w="21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Fund status changed to Closed in ERP</w:t>
            </w:r>
          </w:p>
        </w:tc>
        <w:tc>
          <w:tcPr>
            <w:tcW w:type="dxa" w:w="18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Controller with CFO approval</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 years</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Records retention minimum expires</w:t>
            </w:r>
          </w:p>
        </w:tc>
        <w:tc>
          <w:tcPr>
            <w:tcW w:type="dxa" w:w="21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Records retention calendar trigger</w:t>
            </w:r>
          </w:p>
        </w:tc>
        <w:tc>
          <w:tcPr>
            <w:tcW w:type="dxa" w:w="18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Records Manager</w:t>
            </w:r>
          </w:p>
        </w:tc>
      </w:tr>
    </w:tbl>
    <w:p>
      <w:pPr>
        <w:spacing w:after="80" w:before="60"/>
      </w:pPr>
      <w:r>
        <w:rPr>
          <w:rFonts w:ascii="Arial" w:cs="Arial" w:eastAsia="Arial" w:hAnsi="Arial"/>
          <w:sz w:val="22"/>
          <w:szCs w:val="22"/>
        </w:rPr>
        <w:t xml:space="preserve"/>
      </w:r>
    </w:p>
    <w:p>
      <w:pPr>
        <w:spacing w:after="60" w:before="200"/>
      </w:pPr>
      <w:r>
        <w:rPr>
          <w:rFonts w:ascii="Arial" w:cs="Arial" w:eastAsia="Arial" w:hAnsi="Arial"/>
          <w:b/>
          <w:bCs/>
          <w:color w:val="0D6E6E"/>
          <w:sz w:val="23"/>
          <w:szCs w:val="23"/>
        </w:rPr>
        <w:t xml:space="preserve">5B. Phase 5 Transaction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P5-T01 — </w:t>
            </w:r>
            <w:r>
              <w:rPr>
                <w:rFonts w:ascii="Arial" w:cs="Arial" w:eastAsia="Arial" w:hAnsi="Arial"/>
                <w:b/>
                <w:bCs/>
                <w:color w:val="1A6DD4"/>
                <w:sz w:val="20"/>
                <w:szCs w:val="20"/>
              </w:rPr>
              <w:t xml:space="preserve">Final Grant Reconciliation and Closeout Entry</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HUD Community Development Block Grant award ends. Final reconciliation and closeout journal entries required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Final Expenditure Query: </w:t>
            </w:r>
            <w:r>
              <w:rPr>
                <w:rFonts w:ascii="Arial" w:cs="Arial" w:eastAsia="Arial" w:hAnsi="Arial"/>
                <w:sz w:val="19"/>
                <w:szCs w:val="19"/>
              </w:rPr>
              <w:t xml:space="preserve">Controller pulls final trial balance for Fund-HUD-2024-003. Query: all posted transactions from award start date to end date</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Unobligated Balance Calculation: </w:t>
            </w:r>
            <w:r>
              <w:rPr>
                <w:rFonts w:ascii="Arial" w:cs="Arial" w:eastAsia="Arial" w:hAnsi="Arial"/>
                <w:sz w:val="19"/>
                <w:szCs w:val="19"/>
              </w:rPr>
              <w:t xml:space="preserve">Unobligated balance = Total Federal Award ($500,000) minus Total Federal Expenditures per ERP ($472,400). Unobligated balance = $27,600</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Encumbrance Verification: </w:t>
            </w:r>
            <w:r>
              <w:rPr>
                <w:rFonts w:ascii="Arial" w:cs="Arial" w:eastAsia="Arial" w:hAnsi="Arial"/>
                <w:sz w:val="19"/>
                <w:szCs w:val="19"/>
              </w:rPr>
              <w:t xml:space="preserve">Query open encumbrances against fund. Any encumbrances for goods/services not yet received after grant end date: if goods will not be received, encumbrances must be canceled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Unobligated Balance Return: </w:t>
            </w:r>
            <w:r>
              <w:rPr>
                <w:rFonts w:ascii="Arial" w:cs="Arial" w:eastAsia="Arial" w:hAnsi="Arial"/>
                <w:sz w:val="19"/>
                <w:szCs w:val="19"/>
              </w:rPr>
              <w:t xml:space="preserve">Dr. Unobligated Balance — Federal Award $27,600 / Cr. Due to Federal Agency — HUD $27,600. Payment: Dr. Due to Federal Agency $27,600 / Cr. Cash $27,600</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Cost Share Final Accounting: </w:t>
            </w:r>
            <w:r>
              <w:rPr>
                <w:rFonts w:ascii="Arial" w:cs="Arial" w:eastAsia="Arial" w:hAnsi="Arial"/>
                <w:sz w:val="19"/>
                <w:szCs w:val="19"/>
              </w:rPr>
              <w:t xml:space="preserve">Verify all committed cost share was actually expended and documented. If cost share shortfall exists, document and notify agency</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6 — Final Fund Closure: </w:t>
            </w:r>
            <w:r>
              <w:rPr>
                <w:rFonts w:ascii="Arial" w:cs="Arial" w:eastAsia="Arial" w:hAnsi="Arial"/>
                <w:sz w:val="19"/>
                <w:szCs w:val="19"/>
              </w:rPr>
              <w:t xml:space="preserve">Controller changes fund status to 'Closed' in ERP. No further postings permitted. All open workflow items escalated for resolution before closure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7 — Post-Closeout Adjustment: </w:t>
            </w:r>
            <w:r>
              <w:rPr>
                <w:rFonts w:ascii="Arial" w:cs="Arial" w:eastAsia="Arial" w:hAnsi="Arial"/>
                <w:sz w:val="19"/>
                <w:szCs w:val="19"/>
              </w:rPr>
              <w:t xml:space="preserve">If subsequent adjustments are required (e.g., indirect cost rate finalization): Controller initiates post-closeout adjustment workflow with agency concurrence required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Audit Evidence: </w:t>
            </w:r>
            <w:r>
              <w:rPr>
                <w:rFonts w:ascii="Arial" w:cs="Arial" w:eastAsia="Arial" w:hAnsi="Arial"/>
                <w:sz w:val="19"/>
                <w:szCs w:val="19"/>
              </w:rPr>
              <w:t xml:space="preserve">Final trial balance by grant; unobligated balance calculation; encumbrance cancellation records; return of funds documentation; cost share certification; final SF-425</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A6DD4" w:sz="1"/>
              <w:left w:val="single" w:color="1A6DD4" w:sz="1"/>
              <w:bottom w:val="single" w:color="1A6DD4" w:sz="1"/>
              <w:right w:val="single" w:color="1A6DD4" w:sz="1"/>
            </w:tcBorders>
            <w:shd w:fill="EBF3FF" w:val="clear"/>
            <w:tcMar>
              <w:top w:type="dxa" w:w="80"/>
              <w:left w:type="dxa" w:w="140"/>
              <w:bottom w:type="dxa" w:w="80"/>
              <w:right w:type="dxa" w:w="140"/>
            </w:tcMar>
          </w:tcPr>
          <w:p>
            <w:pPr>
              <w:spacing w:after="80" w:before="60"/>
            </w:pPr>
            <w:r>
              <w:rPr>
                <w:rFonts w:ascii="Arial" w:cs="Arial" w:eastAsia="Arial" w:hAnsi="Arial"/>
                <w:b/>
                <w:bCs/>
                <w:color w:val="0F4C8A"/>
                <w:sz w:val="20"/>
                <w:szCs w:val="20"/>
              </w:rPr>
              <w:t xml:space="preserve">P5-T02 — </w:t>
            </w:r>
            <w:r>
              <w:rPr>
                <w:rFonts w:ascii="Arial" w:cs="Arial" w:eastAsia="Arial" w:hAnsi="Arial"/>
                <w:b/>
                <w:bCs/>
                <w:color w:val="1A6DD4"/>
                <w:sz w:val="20"/>
                <w:szCs w:val="20"/>
              </w:rPr>
              <w:t xml:space="preserve">Equipment Disposition at Closeout</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Business Scenario: </w:t>
            </w:r>
            <w:r>
              <w:rPr>
                <w:rFonts w:ascii="Arial" w:cs="Arial" w:eastAsia="Arial" w:hAnsi="Arial"/>
                <w:sz w:val="19"/>
                <w:szCs w:val="19"/>
              </w:rPr>
              <w:t xml:space="preserve">$28,000 of equipment acquired under NSF grant with current fair market value of $18,000 at time of closeout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1 — Inventory Assessment: </w:t>
            </w:r>
            <w:r>
              <w:rPr>
                <w:rFonts w:ascii="Arial" w:cs="Arial" w:eastAsia="Arial" w:hAnsi="Arial"/>
                <w:sz w:val="19"/>
                <w:szCs w:val="19"/>
              </w:rPr>
              <w:t xml:space="preserve">Physical inventory count performed. All items tagged and located. ERP Fixed Assets module queried for complete equipment list under fund</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2 — Notification to Agency: </w:t>
            </w:r>
            <w:r>
              <w:rPr>
                <w:rFonts w:ascii="Arial" w:cs="Arial" w:eastAsia="Arial" w:hAnsi="Arial"/>
                <w:sz w:val="19"/>
                <w:szCs w:val="19"/>
              </w:rPr>
              <w:t xml:space="preserve">Equipment with current fair market value &gt;$5,000 per item requires agency disposition instructions per 2 CFR §200.313(e)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3 — Option A — Retain Equipment: </w:t>
            </w:r>
            <w:r>
              <w:rPr>
                <w:rFonts w:ascii="Arial" w:cs="Arial" w:eastAsia="Arial" w:hAnsi="Arial"/>
                <w:sz w:val="19"/>
                <w:szCs w:val="19"/>
              </w:rPr>
              <w:t xml:space="preserve">Agency permits retention. If organization retains, pays agency 50% of current fair market value if equipment will be used on other federal programs. Payment: Dr. Due to Federal Agency $9,000 / Cr. Cash $9,000</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4 — Option B — Transfer to Agency: </w:t>
            </w:r>
            <w:r>
              <w:rPr>
                <w:rFonts w:ascii="Arial" w:cs="Arial" w:eastAsia="Arial" w:hAnsi="Arial"/>
                <w:sz w:val="19"/>
                <w:szCs w:val="19"/>
              </w:rPr>
              <w:t xml:space="preserve">Equipment physically transferred. ERP: Dr. Federal Agency — Equipment Transfer $18,000 / Cr. Equipment — Fund-NSF-2024-002 $18,000 (at book value)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Step 5 — Option C — Sale: </w:t>
            </w:r>
            <w:r>
              <w:rPr>
                <w:rFonts w:ascii="Arial" w:cs="Arial" w:eastAsia="Arial" w:hAnsi="Arial"/>
                <w:sz w:val="19"/>
                <w:szCs w:val="19"/>
              </w:rPr>
              <w:t xml:space="preserve">Equipment sold. Net proceeds remitted to federal agency at 50% of sale price. ERP: Dr. Cash from Sale $18,000 / Cr. Equipment $18,000. Dr. Due to Federal Agency $9,000 / Cr. Cash $9,000</w:t>
            </w:r>
          </w:p>
        </w:tc>
      </w:tr>
      <w:tr>
        <w:tc>
          <w:tcPr>
            <w:tcW w:type="dxa" w:w="9360"/>
            <w:tcBorders>
              <w:top w:val="single" w:color="DDDDDD" w:sz="1"/>
              <w:left w:val="single" w:color="DDDDDD" w:sz="1"/>
              <w:bottom w:val="single" w:color="DDDDDD" w:sz="1"/>
              <w:right w:val="single" w:color="DDDDDD" w:sz="1"/>
            </w:tcBorders>
            <w:shd w:fill="FAFAFA"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ERP Documentation: </w:t>
            </w:r>
            <w:r>
              <w:rPr>
                <w:rFonts w:ascii="Arial" w:cs="Arial" w:eastAsia="Arial" w:hAnsi="Arial"/>
                <w:sz w:val="19"/>
                <w:szCs w:val="19"/>
              </w:rPr>
              <w:t xml:space="preserve">Final equipment inventory; condition assessment; agency notification; disposition approval; transaction records for any proceeds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pPr>
              <w:spacing w:after="80" w:before="60"/>
            </w:pPr>
            <w:r>
              <w:rPr>
                <w:rFonts w:ascii="Arial" w:cs="Arial" w:eastAsia="Arial" w:hAnsi="Arial"/>
                <w:b/>
                <w:bCs/>
                <w:color w:val="2D3748"/>
                <w:sz w:val="19"/>
                <w:szCs w:val="19"/>
              </w:rPr>
              <w:t xml:space="preserve">OMB Reference: </w:t>
            </w:r>
            <w:r>
              <w:rPr>
                <w:rFonts w:ascii="Arial" w:cs="Arial" w:eastAsia="Arial" w:hAnsi="Arial"/>
                <w:sz w:val="19"/>
                <w:szCs w:val="19"/>
              </w:rPr>
              <w:t xml:space="preserve">2 CFR §200.313 — Equipment; post-award disposition requirements</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Phase 5 Transaction Scenarios (P5-T03 through P5-T20) cover: Subrecipient closeout — final invoice reconciliation and monitoring disposition; no-cost extension request and ERP period extension; post-closeout audit findings and adjustment workflow; final indirect cost rate settlement with cognizant agency; cost share final certification and documentation archive; final payroll run and effort certification within closeout window; program income final accounting and disposition; property transfer or sale proceedings; intellectual property rights documentation; publications and patent filing documentation for agency submission; records retention calendar initialization for 3-year post-closeout period; tax reporting requirements at closeout (1099s for subrecipients, foreign payments); grant closeout lessons learned documentation and performance metrics; final performance report ERP data extraction; and award database archiving for institutional knowledge management.</w:t>
      </w:r>
    </w:p>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3 — ERP Cutover and Deployment Readiness Checklist</w:t>
      </w:r>
    </w:p>
    <w:p>
      <w:pPr>
        <w:spacing w:after="80" w:before="60"/>
      </w:pPr>
      <w:r>
        <w:rPr>
          <w:rFonts w:ascii="Arial" w:cs="Arial" w:eastAsia="Arial" w:hAnsi="Arial"/>
          <w:sz w:val="22"/>
          <w:szCs w:val="22"/>
        </w:rPr>
        <w:t xml:space="preserve">The following 87-item checklist governs the transition from legacy financial systems to the new ERP environment. Each item specifies the responsible role, ERP validation method, evidence required, risk if the item fails, and applicable OMB 2 CFR Part 200 reference. The checklist is organized into eight domains. A Go-Live Readiness Score is computed based on critical-path item completion.</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3.1  Go-Live Readiness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22"/>
              <w:bottom w:val="single" w:color="856404" w:sz="1"/>
              <w:right w:val="single" w:color="856404" w:sz="1"/>
            </w:tcBorders>
            <w:shd w:fill="FFF3CD" w:val="clear"/>
            <w:tcMar>
              <w:top w:type="dxa" w:w="130"/>
              <w:left w:type="dxa" w:w="180"/>
              <w:bottom w:type="dxa" w:w="130"/>
              <w:right w:type="dxa" w:w="160"/>
            </w:tcMar>
          </w:tcPr>
          <w:p>
            <w:pPr>
              <w:spacing w:after="80" w:before="0"/>
            </w:pPr>
            <w:r>
              <w:rPr>
                <w:rFonts w:ascii="Arial" w:cs="Arial" w:eastAsia="Arial" w:hAnsi="Arial"/>
                <w:b/>
                <w:bCs/>
                <w:color w:val="856404"/>
                <w:sz w:val="21"/>
                <w:szCs w:val="21"/>
              </w:rPr>
              <w:t xml:space="preserve">Readiness Scoring Framework</w:t>
            </w:r>
          </w:p>
          <w:p>
            <w:pPr>
              <w:spacing w:after="36" w:before="0"/>
            </w:pPr>
            <w:r>
              <w:rPr>
                <w:rFonts w:ascii="Arial" w:cs="Arial" w:eastAsia="Arial" w:hAnsi="Arial"/>
                <w:sz w:val="22"/>
                <w:szCs w:val="22"/>
              </w:rPr>
              <w:t xml:space="preserve">Go-Live Readiness Score = Weighted average of domain completion rates, with critical-path items (marked Critical) weighted 3×.</w:t>
            </w:r>
          </w:p>
          <w:p>
            <w:pPr>
              <w:spacing w:after="36" w:before="0"/>
            </w:pPr>
            <w:r>
              <w:rPr>
                <w:rFonts w:ascii="Arial" w:cs="Arial" w:eastAsia="Arial" w:hAnsi="Arial"/>
                <w:sz w:val="22"/>
                <w:szCs w:val="22"/>
              </w:rPr>
              <w:t xml:space="preserve">Score ≥ 95%: Approved for go-live with minor open items tracked to closure within 5 business days.</w:t>
            </w:r>
          </w:p>
          <w:p>
            <w:pPr>
              <w:spacing w:after="36" w:before="0"/>
            </w:pPr>
            <w:r>
              <w:rPr>
                <w:rFonts w:ascii="Arial" w:cs="Arial" w:eastAsia="Arial" w:hAnsi="Arial"/>
                <w:sz w:val="22"/>
                <w:szCs w:val="22"/>
              </w:rPr>
              <w:t xml:space="preserve">Score 85–94%: Conditional approval. All Critical items must be closed. Non-critical open items require risk acceptance signed by CFO.</w:t>
            </w:r>
          </w:p>
          <w:p>
            <w:pPr>
              <w:spacing w:after="36" w:before="0"/>
            </w:pPr>
            <w:r>
              <w:rPr>
                <w:rFonts w:ascii="Arial" w:cs="Arial" w:eastAsia="Arial" w:hAnsi="Arial"/>
                <w:sz w:val="22"/>
                <w:szCs w:val="22"/>
              </w:rPr>
              <w:t xml:space="preserve">Score &lt;85%: Go-live deferred. New target date set. Root cause analysis for gaps required within 48 hours.</w:t>
            </w:r>
          </w:p>
          <w:p>
            <w:pPr>
              <w:spacing w:after="36" w:before="0"/>
            </w:pPr>
            <w:r>
              <w:rPr>
                <w:rFonts w:ascii="Arial" w:cs="Arial" w:eastAsia="Arial" w:hAnsi="Arial"/>
                <w:sz w:val="22"/>
                <w:szCs w:val="22"/>
              </w:rPr>
              <w:t xml:space="preserve">Critical-path domains: Data Migration (35% weight), Integration (25%), Security (20%), Reporting (20%).</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3.2  Domain A — Data Migration (Items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A-01 — Chart of Accounts Mapping Validation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Verify that all legacy account codes have been mapped to new ERP account segment structure. No legacy code should be unmapped or mapped to the wrong segment.</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Data Migration Lead, Controller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CoA mapping exception report in ERP. Zero unmapped accounts required.</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CoA mapping crosswalk document; exception report showing 0 unmapped codes; Controller sign-off</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Unmapped accounts cause posting errors and invalid financial reports. High risk of misclassified grant expenditures.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§200.302(b)(1) — Financial management system must support grant tracking</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A-02 — Open Purchase Orders Migration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All open POs from legacy system migrated to ERP with correct encumbrance amounts, vendor IDs, and grant fund codes. Three-way match history migrated 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Procurement Manager, ERP Migration Lead</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open PO comparison report: legacy system total vs ERP total by vendor and fund. Variance must be zero.</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Legacy PO extract; ERP PO migration report; reconciliation worksheet; Procurement Manager certification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Unmigrated POs cause duplicate ordering, budget overruns, and payment disputes.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§200.305(b)(5) — Proper authorization and documentation of disbursements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A-03 — Vendor Master Data Accuracy</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All active vendors migrated with correct legal name, EIN/TIN, banking details, and SAM.gov verification status. Excluded vendors flagged.</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Accounts Payable Manager, Compliance Officer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vendor master validation report. Cross-check 100% of federal award vendors against SAM.gov exclusion database.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Vendor master printout; SAM.gov verification log with dates; excluded vendor flag confirmation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Payments to excluded vendors violate 2 CFR §200.213 and expose organization to debarment.</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§200.213 — Suspension and debarment</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A-04 — Open Grant Budgets Migration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All active grant budgets migrated by fund, cost category, and budget period. Cumulative expenditures and encumbrances correctly reflected. Available balances match legacy system.</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Controller, Grant Accountants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budget-to-actual comparison for all active grants in both legacy and ERP. Variance by fund ≤ $1 (rounding).</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Budget migration reconciliation worksheet per grant; signed Controller certification; variance report</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Incorrect budget balances cause false budget availability alerts, blocking legitimate transactions or allowing overruns.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§200.302(b)(6) — Budget controls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A-05 — Subrecipient Master Data Migration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All active subrecipients migrated with subaward amounts, cumulative payments, open balances, risk ratings, monitoring schedules, and prior audit finding status.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Grants Management Specialist</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subrecipient balance report comparing legacy system balances to ERP. Verify risk ratings and monitoring due dates.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Subrecipient migration report; balance reconciliation; monitoring schedule printout</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Missing subrecipient data causes monitoring gaps and potential noncompliance with 2 CFR §200.332.</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§200.331–200.332 — Subrecipient management</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A-06 — Fixed Asset Register Migration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All equipment acquired under federal grants migrated to ERP Fixed Assets module with acquisition date, cost, fund source, location, tag number, and useful life.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Controller, Property Manager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Compare legacy asset register to ERP Fixed Assets module. Tag number match rate must be 100%.</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Fixed asset migration report; physical inventory verification; fund source attribution documentation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Untracked federal equipment violates 2 CFR §200.313 and creates liability for unreported disposition.</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§200.313 — Equipment; 2 CFR §200.439 — Equipment and other capital expenditures</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Domain A items (A-07 through A-12) cover: Open accounts payable invoice migration; outstanding accounts receivable (drawdown receivables) migration; project hierarchy and WBS element migration; employee effort distribution table migration; indirect cost rate table migration with historical rates; and historical expenditure data migration for SEFA preparation.</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3.3  Domain B — Integration Testing (Items 13–23)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B-01 — SAM.gov API Integration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Real-time vendor debarment check API connected to ERP. System blocks vendor creation or payment processing for excluded entities. API response time &lt;3 seconds.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IT Lead, Compliance Officer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Create test vendor using a known excluded entity DUNS/UEI. System must block creation with appropriate error message.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API integration test log; test case results; error message screenshots; integration certificate</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Failed SAM.gov integration allows payments to excluded entities — federal enforcement action risk.</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§200.213</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B-02 — Payroll System Integration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HR/Payroll system to ERP General Ledger interface tested. Payroll journal entries post correctly by employee, fund, program, and cost category. Fringe benefit rates applied correctly.</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HR Director, Controller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Process test payroll run. Verify journal entries in ERP match payroll register by employee and fund. Check fringe benefit calculation accuracy.</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Test payroll register; ERP journal entry printout; reconciliation worksheet; fringe benefit rate test results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Integration failure causes salary charges to wrong grants, time and effort compliance failures, and SF-425 inaccuracies.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§200.430 — Compensation—personal services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B-03 — Banking System Integration (ACH/Wire)</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ACH payment file generation from ERP tested. Files formatted correctly for bank. Positive pay setup for check disbursements. Bank reconciliation automated feed active.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Controller, Treasury Manager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Process test ACH payment batch. Confirm file format accepted by bank. Verify payment posts correctly in ERP and bank statement.</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Test ACH file; bank acceptance confirmation; ERP payment posting screenshot; bank reconciliation test</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Banking integration failure delays vendor payments, subrecipient payments, and impacts cash drawdown timing.</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§200.305(b)(5) — Timely disbursement</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Domain B items (B-04 through B-11) cover: Grants.gov data import for award data synchronization; purchasing card (P-card) transaction import and grant coding interface; document management system integration for invoice and award document storage; indirect cost calculation engine integration and allocation accuracy test; reporting portal integration for SF-425 electronic submission; time tracking system integration with payroll allocation; travel management system integration with per diem compliance check; and bank reconciliation automated data feed.</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3.4  Domain C — Security and Access Controls (Items 24–35)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C-01 — User Account Provisioning — All Active Users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All ERP user accounts provisioned with correct role assignments. No user has conflicting roles that violate segregation of duties policy. Terminated employees have no active accounts.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IT Security Lead, HR Director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user-role matrix report. Cross-reference against HR active employee file. Verify zero accounts for terminated employees.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User provisioning report; SOD conflict report showing zero violations; HR active employee list cross-reference</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Excessive access rights or terminated employee accounts create fraud risk and audit findings.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§200.303(b) — Segregation of duties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C-02 — Segregation of Duties — Critical Process Pairs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Verify that no single user can perform both functions in the following critical pairs: (1) Vendor creation AND payment approval; (2) Purchase order creation AND invoice approval; (3) Journal entry AND journal approval; (4) Payroll processing AND payroll approval; (5) Cash receipt AND cash posting.</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IT Security Lead, Internal Auditor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SOD conflict analysis report for all five critical pairs. Zero conflicts required before go-live.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SOD conflict analysis report dated cutover week; user role matrix; sign-off by Internal Audit</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SOD violations are a material weakness finding in Single Audit and create fraud enabling conditions.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§200.303 — Internal controls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C-03 — Grant Fund Confidentiality Controls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Users can only access grant funds within their authorized portfolio. Grant Manager for Grant A cannot view or post to Grant B unless explicitly authorized.</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IT Security Lead, Controller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Test cross-fund access attempt. Create test transaction for Grant B using Grant A manager credentials. System must deny.</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Access control test results; user authorization matrix by fund; test denial screenshots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Cross-fund access allows unauthorized expenditure reclassification and data integrity violations.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§200.303 — Effective internal controls</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Domain C items (C-04 through C-12) cover: Password policy enforcement; multi-factor authentication for finance module access; audit log configuration and immutability testing; role-based report access controls; mobile device access policy configuration; VPN requirement for remote access to production system; privileged access management for system administrators; emergency access protocol documentation and testing; and annual access review schedule initialization.</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3.5  Domain D — Financial Reporting Validation (Items 36–48)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D-01 — SF-425 Federal Financial Report Generation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SF-425 auto-generation from ERP produces correctly formatted report matching all required field definitions. All line items reconcile to general ledger.</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Controller</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Generate SF-425 for test grant using known data. Verify every field against expected values. Reconcile to GL trial balance.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Test SF-425 with expected vs actual comparison; GL reconciliation; Controller sign-off</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Inaccurate SF-425 is a federal reporting violation. Incorrect data may trigger audit or recoupment.</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§200.328; SF-425 reporting requirements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960"/>
            <w:tcBorders>
              <w:top w:val="single" w:color="334155" w:sz="1"/>
              <w:left w:val="single" w:color="334155" w:sz="1"/>
              <w:bottom w:val="single" w:color="334155" w:sz="1"/>
              <w:right w:val="single" w:color="334155" w:sz="1"/>
            </w:tcBorders>
            <w:shd w:fill="2D3748"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Item #</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D-02 — Schedule of Expenditures of Federal Awards (SEFA) Report</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Description</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SEFA report generates complete listing of all federal expenditures by ALN number, program name, and pass-through entity. Total reconciles to federal fund expenditures in GL.</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Responsible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Controller, External Auditor Liaison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ERP Validation Method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Run SEFA report for test fiscal year. Reconcile total to GL federal fund expenditures. Verify ALN numbers against award database.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Evidence Required</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SEFA test report; GL reconciliation; ALN verification log; auditor review confirmation</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9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Inaccurate SEFA is a noncompliance finding in Single Audit with potential material impact.</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2 CFR §200.510(b) — SEFA requirements</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 Domain D items (D-03 through D-13) cover: Budget-to-actual report by grant with cost category detail; indirect cost allocation summary report; subrecipient payment and monitoring status report; equipment inventory report by federal award; cost share tracking report; program income ledger report; grant portfolio dashboard for executive reporting; period-end close checklist report; drawdown reconciliation report; and annual financial statement grant disclosure generation.</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3.6  Domain E — User Acceptance Testing Completion (Items 49–56)</w:t>
      </w:r>
    </w:p>
    <w:p>
      <w:pPr>
        <w:pStyle w:val="Heading2"/>
        <w:spacing w:after="80" w:before="260"/>
      </w:pPr>
      <w:r>
        <w:rPr>
          <w:rFonts w:ascii="Arial" w:cs="Arial" w:eastAsia="Arial" w:hAnsi="Arial"/>
          <w:b/>
          <w:bCs/>
          <w:color w:val="1A6DD4"/>
          <w:sz w:val="25"/>
          <w:szCs w:val="25"/>
        </w:rPr>
        <w:t xml:space="preserve">3.7  Domain F — Training Completion (Items 57–65)</w:t>
      </w:r>
    </w:p>
    <w:p>
      <w:pPr>
        <w:pStyle w:val="Heading2"/>
        <w:spacing w:after="80" w:before="260"/>
      </w:pPr>
      <w:r>
        <w:rPr>
          <w:rFonts w:ascii="Arial" w:cs="Arial" w:eastAsia="Arial" w:hAnsi="Arial"/>
          <w:b/>
          <w:bCs/>
          <w:color w:val="1A6DD4"/>
          <w:sz w:val="25"/>
          <w:szCs w:val="25"/>
        </w:rPr>
        <w:t xml:space="preserve">3.8  Domain G — Governance and Approval (Items 66–78)</w:t>
      </w:r>
    </w:p>
    <w:p>
      <w:pPr>
        <w:pStyle w:val="Heading2"/>
        <w:spacing w:after="80" w:before="260"/>
      </w:pPr>
      <w:r>
        <w:rPr>
          <w:rFonts w:ascii="Arial" w:cs="Arial" w:eastAsia="Arial" w:hAnsi="Arial"/>
          <w:b/>
          <w:bCs/>
          <w:color w:val="1A6DD4"/>
          <w:sz w:val="25"/>
          <w:szCs w:val="25"/>
        </w:rPr>
        <w:t xml:space="preserve">3.9  Domain H — Go-Live Operations (Items 79–87)</w:t>
      </w:r>
    </w:p>
    <w:p>
      <w:pPr>
        <w:spacing w:after="80" w:before="60"/>
      </w:pPr>
      <w:r>
        <w:rPr>
          <w:rFonts w:ascii="Arial" w:cs="Arial" w:eastAsia="Arial" w:hAnsi="Arial"/>
          <w:sz w:val="22"/>
          <w:szCs w:val="22"/>
        </w:rPr>
        <w:t xml:space="preserve">Domains E through H complete the 87-item checklist covering: UAT sign-off by functional area; defect resolution log clearance; regression testing after defect fixes; training completion records by role; knowledge assessment scores ≥80%; help desk readiness confirmation; governance approvals (CFO, Controller, Compliance Officer, IT Director, Grant Portfolio Manager); cutover communication plan execution; parallel processing plan for dual-run period; rollback procedure documentation and testing; first-day support staffing plan; batch job scheduling for overnight processes; monitoring and alerting configuration; federal agency notification of system transition; and post-go-live support schedule through Day 30.</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1800"/>
        <w:gridCol w:w="3560"/>
      </w:tblGrid>
      <w:tr>
        <w:trPr>
          <w:tblHeader/>
        </w:trPr>
        <w:tc>
          <w:tcPr>
            <w:tcW w:type="dxa" w:w="20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Domain</w:t>
            </w:r>
          </w:p>
        </w:tc>
        <w:tc>
          <w:tcPr>
            <w:tcW w:type="dxa" w:w="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Items</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Weight</w:t>
            </w:r>
          </w:p>
        </w:tc>
        <w:tc>
          <w:tcPr>
            <w:tcW w:type="dxa" w:w="1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Critical Items</w:t>
            </w:r>
          </w:p>
        </w:tc>
        <w:tc>
          <w:tcPr>
            <w:tcW w:type="dxa" w:w="35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Risk Level</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 — Data Migration</w:t>
            </w:r>
          </w:p>
        </w:tc>
        <w:tc>
          <w:tcPr>
            <w:tcW w:type="dxa" w:w="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1–12</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A-01, A-04, A-05</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Critical — data errors persist permanently</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B — Integration Testing</w:t>
            </w:r>
          </w:p>
        </w:tc>
        <w:tc>
          <w:tcPr>
            <w:tcW w:type="dxa" w:w="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13–23</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25%</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B-01, B-02, B-03</w:t>
            </w:r>
          </w:p>
        </w:tc>
        <w:tc>
          <w:tcPr>
            <w:tcW w:type="dxa" w:w="3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Critical — payments and reporting affected</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 — Security and Access</w:t>
            </w:r>
          </w:p>
        </w:tc>
        <w:tc>
          <w:tcPr>
            <w:tcW w:type="dxa" w:w="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24–35</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C-01, C-02</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Critical — audit finding and fraud risk</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 — Financial Reporting</w:t>
            </w:r>
          </w:p>
        </w:tc>
        <w:tc>
          <w:tcPr>
            <w:tcW w:type="dxa" w:w="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36–48</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D-01, D-02</w:t>
            </w:r>
          </w:p>
        </w:tc>
        <w:tc>
          <w:tcPr>
            <w:tcW w:type="dxa" w:w="3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High — federal reporting noncompliance</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 — UAT Completion</w:t>
            </w:r>
          </w:p>
        </w:tc>
        <w:tc>
          <w:tcPr>
            <w:tcW w:type="dxa" w:w="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49–56</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All UAT sign-offs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High — unverified functionality</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 — Training Completion</w:t>
            </w:r>
          </w:p>
        </w:tc>
        <w:tc>
          <w:tcPr>
            <w:tcW w:type="dxa" w:w="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57–65</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Finance and Grant Manager roles</w:t>
            </w:r>
          </w:p>
        </w:tc>
        <w:tc>
          <w:tcPr>
            <w:tcW w:type="dxa" w:w="3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Medium — operational errors</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G — Governance Approvals</w:t>
            </w:r>
          </w:p>
        </w:tc>
        <w:tc>
          <w:tcPr>
            <w:tcW w:type="dxa" w:w="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66–78</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CFO and Controller sign-off</w:t>
            </w:r>
          </w:p>
        </w:tc>
        <w:tc>
          <w:tcPr>
            <w:tcW w:type="dxa" w:w="3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High — unauthorized go-live</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H — Go-Live Operations</w:t>
            </w:r>
          </w:p>
        </w:tc>
        <w:tc>
          <w:tcPr>
            <w:tcW w:type="dxa" w:w="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79–87</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Rollback procedure</w:t>
            </w:r>
          </w:p>
        </w:tc>
        <w:tc>
          <w:tcPr>
            <w:tcW w:type="dxa" w:w="35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Medium — transition risk management</w:t>
            </w:r>
          </w:p>
        </w:tc>
      </w:tr>
    </w:tbl>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4 — User Acceptance Testing Framework</w:t>
      </w:r>
    </w:p>
    <w:p>
      <w:pPr>
        <w:spacing w:after="80" w:before="60"/>
      </w:pPr>
      <w:r>
        <w:rPr>
          <w:rFonts w:ascii="Arial" w:cs="Arial" w:eastAsia="Arial" w:hAnsi="Arial"/>
          <w:sz w:val="22"/>
          <w:szCs w:val="22"/>
        </w:rPr>
        <w:t xml:space="preserve">The complete UAT framework comprises 210 test scripts organized across eight functional domains. Each script defines the business scenario, execution steps, expected ERP behavior, control being validated, OMB regulatory mapping, pass/fail criteria, audit evidence generated, and risk implication if failed. A representative selection from each domain is presented below, with the full enumeration available as a separate annex.</w:t>
      </w:r>
    </w:p>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4.1  UAT Domain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000"/>
        <w:gridCol w:w="4660"/>
      </w:tblGrid>
      <w:tr>
        <w:trPr>
          <w:tblHeader/>
        </w:trPr>
        <w:tc>
          <w:tcPr>
            <w:tcW w:type="dxa" w:w="2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Domain</w:t>
            </w:r>
          </w:p>
        </w:tc>
        <w:tc>
          <w:tcPr>
            <w:tcW w:type="dxa" w:w="15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Script Range</w:t>
            </w:r>
          </w:p>
        </w:tc>
        <w:tc>
          <w:tcPr>
            <w:tcW w:type="dxa" w:w="10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Script Count</w:t>
            </w:r>
          </w:p>
        </w:tc>
        <w:tc>
          <w:tcPr>
            <w:tcW w:type="dxa" w:w="46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Focus Area</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Management</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UAT-BUD-001 to 030</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30</w:t>
            </w:r>
          </w:p>
        </w:tc>
        <w:tc>
          <w:tcPr>
            <w:tcW w:type="dxa" w:w="46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setup, control, modification, variance reporting, closeout</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Procurement</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UAT-PRO-001 to 035</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35</w:t>
            </w:r>
          </w:p>
        </w:tc>
        <w:tc>
          <w:tcPr>
            <w:tcW w:type="dxa" w:w="46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PR-to-PO-to-GRN-to-Invoice-to-Payment full cycle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Payroll &amp; Time Allocation</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UAT-PAY-001 to 025</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25</w:t>
            </w:r>
          </w:p>
        </w:tc>
        <w:tc>
          <w:tcPr>
            <w:tcW w:type="dxa" w:w="46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Effort distribution, certification, allocation, correction</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Cost Allocation</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UAT-CST-001 to 020</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w:t>
            </w:r>
          </w:p>
        </w:tc>
        <w:tc>
          <w:tcPr>
            <w:tcW w:type="dxa" w:w="46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Indirect cost, NICRA application, cross-allocation, conflicts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Financial Reporting</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UAT-RPT-001 to 030</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30</w:t>
            </w:r>
          </w:p>
        </w:tc>
        <w:tc>
          <w:tcPr>
            <w:tcW w:type="dxa" w:w="46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SF-425, SEFA, budget-to-actual, dashboards</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Audit Readiness</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UAT-AUD-001 to 025</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25</w:t>
            </w:r>
          </w:p>
        </w:tc>
        <w:tc>
          <w:tcPr>
            <w:tcW w:type="dxa" w:w="46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Evidence packaging, audit trail, sampling support, CAP tracking</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Subrecipient Management</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UAT-SUB-001 to 025</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25</w:t>
            </w:r>
          </w:p>
        </w:tc>
        <w:tc>
          <w:tcPr>
            <w:tcW w:type="dxa" w:w="46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Setup, invoice review, monitoring, closeout</w:t>
            </w:r>
          </w:p>
        </w:tc>
      </w:tr>
      <w:tr>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Cash Management</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UAT-CSH-001 to 020</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w:t>
            </w:r>
          </w:p>
        </w:tc>
        <w:tc>
          <w:tcPr>
            <w:tcW w:type="dxa" w:w="46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Drawdown, reconciliation, interest calculation, return of funds</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4.2  Budget Management — Sample UAT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UAT-BUD-001</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Budget Entry and Approval — New Federal Award. A new NIH research grant with total direct costs of $485,000 and 28.5% MTDC indirect rate has been awarded. Finance staff must enter the approved budget by line item and route for Controller approval.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Log in as Grant Accountant. 2. Navigate to Budget Entry module. 3. Select Fund-NIH-2024-TEST. 4. Enter budget period: 07/01/2024 – 06/30/2025. 5. Enter: Personnel $280,000; Fringe Benefits $79,480 (28.4%); Travel $18,000; Supplies $22,000; Indirect $24,520 (28.5% MTDC); Other $61,000; Total $485,000. 6. Attach scanned NoA. 7. Submit for approval. 8. Log in as Controller. 9. Review and approve budget.</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Budget entry accepted with no validation errors. Total matches NoA amount. System calculates indirect at 28.5% of MTDC automatically. Approval notification sent. Budget status changes to Active. Budget available for expenditure posting.</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Budget authorization control — no expenditure permitted before approved budget is established</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§200.302(b)(2) — Budget controls; 2 CFR §200.303 — Internal controls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Budget entered, approved, and active with correct amounts and indirect calculation. FAIL: Any amount discrepancy, approval bypass, or system error.</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Budget entry record with approval timestamp; NoA attachment confirmation; budget activation log</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Grant expenditures may be posted without budget authorization, creating overrun risk and audit exposure.</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UAT-BUD-007</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Budget Overrun Prevention — Personnel Line. A department submits a purchase order for consulting services of $15,000 to be charged to Personnel. The Personnel budget line has only $8,200 remaining.</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Log in as Procurement Officer. 2. Create Purchase Requisition: Fund-NIH-2024-TEST; Personnel budget line; Amount $15,000. 3. Submit PR. 4. Observe system response.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System rejects PR submission with error: 'Insufficient budget — Personnel line. Available: $8,200. Requested: $15,000. Budget deficit: $6,800.' Error message displays available balance. PR status set to Rejected. No encumbrance created. Notification sent to Grant Manager.</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Budget availability control — preventive control blocking expenditures that exceed approved budget</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§200.302(b)(6) — Budget control systems must prevent charges exceeding federal award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System blocks PR and displays correct available balance and deficit amount. FAIL: PR proceeds past validation, creating unauthorized overrun.</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PR rejection log with timestamp; budget availability screenshot; notification record to Grant Manager</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Grant expenditures exceed approved budget, creating disallowed costs and audit finding.</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UAT-BUD-015</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Budget Modification with Prior Approval Requirement. Principal Investigator requests reallocation of $55,000 from Equipment to Personnel due to staff addition. This exceeds 10% of total award ($485,000 × 10% = $48,500), triggering prior approval requirement.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Grant Manager initiates budget modification request. 2. Enter reallocation: Equipment -$55,000; Personnel +$55,000. 3. System calculates modification as 11.3% of total award. 4. System displays: 'This modification requires prior federal agency approval per 2 CFR §200.308. A soft lock has been placed on the Personnel increase pending agency approval.' 5. Grant Manager uploads agency approval letter. 6. Controller approves. 7. Soft lock released.</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System calculates modification percentage correctly (11.3%). Soft lock placed on Personnel increase. System generates prior approval notification. Budget not updated until agency approval uploaded and Controller approves.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Prior approval compliance control — prevents unauthorized budget modifications</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§200.308 — Revision of budget and program plans; prior approval requirements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Correct percentage calculation, soft lock applied, modification not effective until agency approval recorded. FAIL: Budget updated without approval flag or prior approval step bypassed.</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Modification request record; percentage calculation display; soft lock log; agency approval attachment; Controller approval record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Budget modification occurs without federal agency approval — noncompliance finding and potential disallowance of expenditures against unauthorized budget.</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4.3  Procurement — Sample UAT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UAT-PRO-001</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Full Procurement Cycle — PR to PO to GRN to Invoice to Payment. Office supply purchase of $2,400 charged to NSF grant supplies budget.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Department staff creates PR: Fund-NSF-2024-TEST; Supplies; $2,400. 2. Department Head approves (&lt;$5,000 threshold). 3. PR converted to PO; vendor selected (Active SAM.gov status confirmed). 4. Goods received; Receiving Clerk creates GRN. 5. Vendor invoice received and entered. 6. Three-way match runs: PO $2,400 = Invoice $2,400 = GRN $2,400. 7. AP Manager approves invoice. 8. ACH payment processed.</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Each step generates appropriate ERP record. Three-way match passes. Invoice approved and paid. Journal entry: Dr. Supplies Expense-NSF $2,400 / Cr. Cash $2,400. Encumbrance liquidated. Budget updated. Payment remittance sent to vendor.</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Three-way match control; authorization workflow; encumbrance management; timely payment</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§200.317-200.326 — Procurement standards; 2 CFR §200.305(b)(5) — Payment authorization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All cycle steps complete with correct journal entries and budget update. FAIL: Any step bypassed, incorrect amount, or missing documentation.</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PR, PO, GRN, Invoice, Payment records; three-way match confirmation; journal entry; payment remittance</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Procurement control failure may result in payment without receipt, duplicate payment, or unauthorized purchase.</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UAT-PRO-018</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Debarred Vendor Blocking. Procurement staff attempts to create a purchase order for a vendor that is on the SAM.gov exclusion list.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Procurement staff searches for vendor in ERP vendor master. 2. Vendor shows SAM.gov status: EXCLUDED. 3. Staff attempts to create PO for this vendor. 4. Observe system response.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System blocks PO creation. Error message: 'Vendor [name] is excluded from federal awards per SAM.gov exclusion list. Reason: [exclusion reason]. Reference: [exclusion date]. You cannot create a purchase order for this vendor for federal award transactions.' PO creation blocked. Alert sent to Compliance Officer.</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Vendor debarment control — prevents payments to federally excluded entities</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§200.213 — Suspension and debarment; contract and subrecipient requirements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System blocks PO creation and generates compliance alert. FAIL: PO created for excluded vendor — critical compliance failure.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Blocked PO attempt log; error message screenshot; Compliance Officer alert record; SAM.gov status confirmation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Payment to excluded vendor — federal enforcement action, potential debarment of the organization, requirement to return all funds paid to excluded entity.</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4.4  Payroll and Time Allocation — Sample UAT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UAT-PAY-003</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Bi-Monthly Effort Certification — Employee with Multi-Grant Allocation. Employee has certified 60% effort on NIH grant, 25% on NSF grant, 15% unrestricted. Bi-monthly certification is due.</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Employee logs in. 2. Opens Effort Certification task for period [dates]. 3. Reviews displayed effort distribution percentages and corresponding salary amounts. 4. Confirms effort is accurate. 5. Submits electronic certification. 6. System timestamps and archives. 7. Supervisor receives notification for secondary certification.</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Effort certification form populated with correct percentages and salary amounts. Employee electronic certification accepted and timestamped. Supervisor notification generated. Certification archived in payroll records. Status updated to Certified.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Time and effort certification control — ensures payroll allocations reflect actual effort</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§200.430(i) — Payroll records; semi-monthly certification requirement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Certification accepted, timestamped, archived, supervisor notified. FAIL: Certification bypassed or not linked to payroll allocation records.</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Certification record with electronic signature and timestamp; supervisor notification log; payroll allocation confirmation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Uncertified effort allocations are audit findings. Federal disallowance of entire salary charged to grant if certifications are missing.</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UAT-PAY-012</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Retroactive Effort Correction — Prior Period Payroll Redistribution. Effort correction discovered: Employee worked 70% on NIH grant in prior month but certified and paid 60%. Correction must be processed.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Grant Manager identifies effort discrepancy in prior period. 2. Initiates payroll redistribution request: From 60% NIH / 40% other to 70% NIH / 30% other for [period]. 3. System calculates redistribution amount: (70%-60%) × monthly salary = additional $600 NIH charge. 4. Controller reviews and approves redistribution. 5. Journal entry processed: Dr. Salaries-NIH $600 / Cr. Salaries-Other $600. 6. Redistribution logged in effort correction register.</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Redistribution calculated correctly. Controller approval required before posting. Journal entry posts to correct period. Effort correction logged. Revised certification generated for employee acknowledgment.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Payroll redistribution control — corrections require authorization and documentation</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§200.430(i) — Adjustments to payroll allocations must be supported by documentation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Redistribution amount correct, Controller approval required, prior period journal entry posts correctly. FAIL: Redistribution occurs without authorization or calculation error.</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Redistribution request form; Controller approval; journal entry record; effort correction register entry; revised certification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Incorrect payroll allocation continues uncorrected — cumulative error affects grant cost charging and SF-425 accuracy.</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4.5  Negative Testing — Fraud and Override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UAT-NEG-001</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Unauthorized Journal Entry Override Attempt. User with AP Specialist role attempts to post a manual journal entry debiting a federal grant and crediting an unrestricted fund, effectively transferring costs to the grant without procurement documentation.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Log in as AP Specialist. 2. Navigate to Journal Entry module. 3. Attempt to create journal entry: Dr. Supplies Expense-NIH $5,000 / Cr. Unrestricted Fund $5,000. 4. Observe system response.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System blocks journal entry creation. Error: 'Manual journal entries to federal award funds require Controller authorization. This entry type is restricted for your role.' Entry not created. Attempt logged in security audit trail.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Segregation of duties and authorization control — prevents unauthorized cost transfers to federal awards</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§200.303 — Internal controls; 2 CFR §200.405 — Allocable costs must be authorized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System blocks unauthorized JE and logs attempt. FAIL: JE is processed without Controller approval — SOD violation and potential fraud enablement.</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Blocked JE attempt log with user ID, timestamp, and attempted entry details; security alert record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SOD violation — material weakness finding. Fraud risk: unauthorized cost transfers to federal grants could mask personal purchases or unallowable costs.</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UAT-NEG-008</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Duplicate Invoice Payment Attempt. Accounts Payable staff attempts to pay the same invoice a second time after the first payment has already been processed.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AP Staff enters invoice: Vendor X; Invoice #INV-2024-1847; Amount $12,500; Grant Fund-NIH-2024-TEST. 2. Submit for approval. 3. Log in as AP Manager. 4. Attempt to approve invoice.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System detects duplicate: same vendor + same invoice number already exists with Paid status. Error: 'Duplicate invoice detected. Invoice #INV-2024-1847 from Vendor X was paid on [date], Amount $12,500, Transaction ID [TXN-ID]. This payment has been blocked pending review.' Invoice blocked. Alert sent to Controller.</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Duplicate payment prevention control — prevents double payment to vendors</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§200.305(b)(5) — Payments must be properly authorized; duplicate payments are improper expenditures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System blocks duplicate invoice and generates controller alert. FAIL: Second payment processes — improper expenditure and disallowed cost.</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Duplicate detection log; blocked invoice record; Controller alert; original payment confirmation for comparison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Duplicate payment results in overpayment to vendor, disallowed cost finding, and potential fraud liability.</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UAT-NEG-015</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Attempt to Exceed Authorization Threshold. Department Director (authorized up to $25,000) attempts to approve a purchase order of $42,000 for equipment.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Log in as Department Director. 2. Navigate to PO approval queue. 3. Attempt to approve PO-2024-TEST for $42,000. 4. Observe system response.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System blocks approval. Error: 'Transaction amount $42,000 exceeds your approval authority of $25,000. This purchase order has been forwarded to the Controller approval queue.' PO not approved. Re-routed to Controller. CFO receives oversight notification for transactions requiring escalation.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Approval authority threshold control — ensures appropriate authorization level for expenditure amount</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§200.303(a) — Management accountability and authorization of transactions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System blocks approval and escalates to Controller. FAIL: Department Director approves transaction exceeding their threshold — authorization control failure.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Blocked approval log; escalation notification; Controller queue confirmation; CFO oversight alert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Unauthorized approval of large expenditure — control failure enables potential unauthorized procurement and disallowed costs.</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4.6  Financial Reporting — Sample UAT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Field</w:t>
            </w:r>
          </w:p>
        </w:tc>
        <w:tc>
          <w:tcPr>
            <w:tcW w:type="dxa" w:w="67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F4C8A"/>
                <w:sz w:val="22"/>
                <w:szCs w:val="22"/>
              </w:rPr>
              <w:t xml:space="preserve">Test ID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UAT-RPT-003</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Scenario</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SF-425 Generation and Reconciliation — Quarterly Report. Quarter ends June 30. SF-425 must be generated, reconciled to GL, and submitted by July 30.</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Execution Steps</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1. Controller runs SF-425 report for Fund-NIH-2024-TEST for period April 1 – June 30. 2. System populates all SF-425 fields automatically. 3. Controller reviews Line 10b (Federal Share of Expenditures): must match GL federal fund expenditures for period. 4. Controller reviews Line 10c (Unliquidated Obligations): must match open encumbrances. 5. Reconciliation worksheet generated. 6. Route through approval workflow. 7. Mark as submitted with submission date.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Expected ERP Behavior</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SF-425 generated with all fields populated. Line 10b matches GL to within $1 (rounding). Line 10c matches encumbrance balance. Reconciliation worksheet auto-generated. Approval workflow routes correctly. Submission confirmed and archived.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Control Validated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Financial reporting accuracy control — ensures SF-425 reflects accurate grant financial data</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OMB Reference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2 CFR §200.328 — Financial reporting; SF-425 Federal Financial Report</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Pass / Fail Criteria</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PASS: All SF-425 fields populated, reconciliation to GL within $1, submission archived. FAIL: Any material discrepancy between SF-425 and GL — reporting noncompliance.</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Audit Evidence</w:t>
            </w:r>
          </w:p>
        </w:tc>
        <w:tc>
          <w:tcPr>
            <w:tcW w:type="dxa" w:w="67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22"/>
                <w:szCs w:val="22"/>
              </w:rPr>
              <w:t xml:space="preserve">SF-425 report; GL reconciliation worksheet; approval workflow record; submission confirmation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b/>
                <w:bCs/>
                <w:color w:val="000000"/>
                <w:sz w:val="22"/>
                <w:szCs w:val="22"/>
              </w:rPr>
              <w:t xml:space="preserve">Risk if Failed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22"/>
                <w:szCs w:val="22"/>
              </w:rPr>
              <w:t xml:space="preserve">If failed: Inaccurate SF-425 submitted to federal agency — reporting noncompliance, potential audit inquiry, risk of improper payment determination.</w:t>
            </w:r>
          </w:p>
        </w:tc>
      </w:tr>
    </w:tbl>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5 — ERP Control Architecture for Federal Grant Compliance</w:t>
      </w:r>
    </w:p>
    <w:p>
      <w:pPr>
        <w:pStyle w:val="Heading2"/>
        <w:spacing w:after="80" w:before="260"/>
      </w:pPr>
      <w:r>
        <w:rPr>
          <w:rFonts w:ascii="Arial" w:cs="Arial" w:eastAsia="Arial" w:hAnsi="Arial"/>
          <w:b/>
          <w:bCs/>
          <w:color w:val="1A6DD4"/>
          <w:sz w:val="25"/>
          <w:szCs w:val="25"/>
        </w:rPr>
        <w:t xml:space="preserve">5.1  Logical System Architecture Overview</w:t>
      </w:r>
    </w:p>
    <w:p>
      <w:pPr>
        <w:spacing w:after="80" w:before="60"/>
      </w:pPr>
      <w:r>
        <w:rPr>
          <w:rFonts w:ascii="Arial" w:cs="Arial" w:eastAsia="Arial" w:hAnsi="Arial"/>
          <w:sz w:val="22"/>
          <w:szCs w:val="22"/>
        </w:rPr>
        <w:t xml:space="preserve">The ERP control architecture for federal grant compliance operates as an integrated, multi-layered system. The following describes the logical architecture in text form suitable for implementation guidance and system documentation.</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A" w:sz="1"/>
              <w:left w:val="single" w:color="0F4C8A" w:sz="22"/>
              <w:bottom w:val="single" w:color="0F4C8A" w:sz="1"/>
              <w:right w:val="single" w:color="0F4C8A" w:sz="1"/>
            </w:tcBorders>
            <w:shd w:fill="EBF3FF" w:val="clear"/>
            <w:tcMar>
              <w:top w:type="dxa" w:w="130"/>
              <w:left w:type="dxa" w:w="180"/>
              <w:bottom w:type="dxa" w:w="130"/>
              <w:right w:type="dxa" w:w="160"/>
            </w:tcMar>
          </w:tcPr>
          <w:p>
            <w:pPr>
              <w:spacing w:after="80" w:before="0"/>
            </w:pPr>
            <w:r>
              <w:rPr>
                <w:rFonts w:ascii="Arial" w:cs="Arial" w:eastAsia="Arial" w:hAnsi="Arial"/>
                <w:b/>
                <w:bCs/>
                <w:color w:val="0F4C8A"/>
                <w:sz w:val="21"/>
                <w:szCs w:val="21"/>
              </w:rPr>
              <w:t xml:space="preserve">Architecture Layer Model</w:t>
            </w:r>
          </w:p>
          <w:p>
            <w:pPr>
              <w:spacing w:after="36" w:before="0"/>
            </w:pPr>
            <w:r>
              <w:rPr>
                <w:rFonts w:ascii="Arial" w:cs="Arial" w:eastAsia="Arial" w:hAnsi="Arial"/>
                <w:sz w:val="22"/>
                <w:szCs w:val="22"/>
              </w:rPr>
              <w:t xml:space="preserve">Layer 1 — External Integration Layer: Connects ERP to external federal systems. Systems: SAM.gov (vendor debarment API), Grants.gov (award data import), Research.gov/PMS (payment management), Treasury ACH network (disbursements), State reporting portals. Data flows: inbound award data; real-time debarment checks; outbound SF-425 submissions; payment files.</w:t>
            </w:r>
          </w:p>
          <w:p>
            <w:pPr>
              <w:spacing w:after="36" w:before="0"/>
            </w:pPr>
            <w:r>
              <w:rPr>
                <w:rFonts w:ascii="Arial" w:cs="Arial" w:eastAsia="Arial" w:hAnsi="Arial"/>
                <w:sz w:val="22"/>
                <w:szCs w:val="22"/>
              </w:rPr>
              <w:t xml:space="preserve">Layer 2 — Core ERP Modules: General Ledger (fund accounting), Accounts Payable, Accounts Receivable, Procurement (PR/PO/GRN), Fixed Assets, Grants Management, Payroll/HR, Cost Accounting, Budget Management. All modules share a common database and write to a unified audit trail.</w:t>
            </w:r>
          </w:p>
          <w:p>
            <w:pPr>
              <w:spacing w:after="36" w:before="0"/>
            </w:pPr>
            <w:r>
              <w:rPr>
                <w:rFonts w:ascii="Arial" w:cs="Arial" w:eastAsia="Arial" w:hAnsi="Arial"/>
                <w:sz w:val="22"/>
                <w:szCs w:val="22"/>
              </w:rPr>
              <w:t xml:space="preserve">Layer 3 — Grant Compliance Engine: The compliance engine sits above the core modules as a rule-based processing layer. It enforces: budget availability before commitment; allowability restrictions by cost category and fund; approval authority routing; SAM.gov real-time checks; effort certification requirements; indirect cost calculation; period-of-performance enforcement.</w:t>
            </w:r>
          </w:p>
          <w:p>
            <w:pPr>
              <w:spacing w:after="36" w:before="0"/>
            </w:pPr>
            <w:r>
              <w:rPr>
                <w:rFonts w:ascii="Arial" w:cs="Arial" w:eastAsia="Arial" w:hAnsi="Arial"/>
                <w:sz w:val="22"/>
                <w:szCs w:val="22"/>
              </w:rPr>
              <w:t xml:space="preserve">Layer 4 — Reporting and Analytics Layer: Budget-to-actual reporting, SF-425 auto-generation, SEFA report, subrecipient monitoring dashboard, executive grant portfolio dashboard, audit sampling tool. Connected to document management system for evidence package generation.</w:t>
            </w:r>
          </w:p>
          <w:p>
            <w:pPr>
              <w:spacing w:after="36" w:before="0"/>
            </w:pPr>
            <w:r>
              <w:rPr>
                <w:rFonts w:ascii="Arial" w:cs="Arial" w:eastAsia="Arial" w:hAnsi="Arial"/>
                <w:sz w:val="22"/>
                <w:szCs w:val="22"/>
              </w:rPr>
              <w:t xml:space="preserve">Layer 5 — Audit Trail and Forensics Layer: Immutable system log capturing every transaction creation, modification, approval, rejection, and deletion attempt with user ID, timestamp, IP address, and before/after values. Cannot be modified by any user including system administrator. Exportable in standard audit formats.</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5.2  Segregation of Duties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200"/>
        <w:gridCol w:w="1160"/>
      </w:tblGrid>
      <w:tr>
        <w:trPr>
          <w:tblHeader/>
        </w:trPr>
        <w:tc>
          <w:tcPr>
            <w:tcW w:type="dxa" w:w="20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Function</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Grant Manager</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Grant Accountant</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AP Specialist</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AP Manager</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Controller</w:t>
            </w:r>
          </w:p>
        </w:tc>
        <w:tc>
          <w:tcPr>
            <w:tcW w:type="dxa" w:w="1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CFO</w:t>
            </w:r>
          </w:p>
        </w:tc>
        <w:tc>
          <w:tcPr>
            <w:tcW w:type="dxa" w:w="11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IT Administrator</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 Vendor Master</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Admin</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Create Purchase Requisition</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Create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Create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Override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1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Approve PO &gt;$25K</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Enter AP Invoice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Enter</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Override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1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Approve AP Invoice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Override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Process ACH Payment</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Initiate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1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 Journal Entry</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Approve Journal Entry</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1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 Budget Entry</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Create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Read</w:t>
            </w:r>
          </w:p>
        </w:tc>
        <w:tc>
          <w:tcPr>
            <w:tcW w:type="dxa" w:w="1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Process Payroll</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Approve</w:t>
            </w:r>
          </w:p>
        </w:tc>
        <w:tc>
          <w:tcPr>
            <w:tcW w:type="dxa" w:w="11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Modify User Access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Admin</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Run Security Reports</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No</w:t>
            </w:r>
          </w:p>
        </w:tc>
        <w:tc>
          <w:tcPr>
            <w:tcW w:type="dxa" w:w="11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Admin</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5.3  Preventive vs Detective Controls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500"/>
        <w:gridCol w:w="3260"/>
      </w:tblGrid>
      <w:tr>
        <w:trPr>
          <w:tblHeader/>
        </w:trPr>
        <w:tc>
          <w:tcPr>
            <w:tcW w:type="dxa" w:w="26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Control</w:t>
            </w:r>
          </w:p>
        </w:tc>
        <w:tc>
          <w:tcPr>
            <w:tcW w:type="dxa" w:w="10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W w:type="dxa" w:w="10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Timing</w:t>
            </w:r>
          </w:p>
        </w:tc>
        <w:tc>
          <w:tcPr>
            <w:tcW w:type="dxa" w:w="15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Automation Level</w:t>
            </w:r>
          </w:p>
        </w:tc>
        <w:tc>
          <w:tcPr>
            <w:tcW w:type="dxa" w:w="32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OMB Basis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availability check before PR/PO</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Real-time</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§200.302(b)(6)</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Allowability restriction by cost category</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Real-time</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§200.403–405</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SAM.gov debarment check on vendor creation</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Real-time</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API automated</w:t>
            </w:r>
          </w:p>
        </w:tc>
        <w:tc>
          <w:tcPr>
            <w:tcW w:type="dxa" w:w="32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§200.213</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Approval workflow routing by threshold</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Real-time</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§200.303(a)</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Three-way match on invoice approval</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At invoice approval</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§200.305(b)</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Period-of-performance date enforcement</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At transaction posting</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§200.309</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Duplicate invoice detection</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At invoice entry</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§200.305(b)(5)</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SOD violation blocking</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Preventive</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At approval attempt</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§200.303(b)</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Budget-to-actual variance reporting</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Detective</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Monthly</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Semi-automated</w:t>
            </w:r>
          </w:p>
        </w:tc>
        <w:tc>
          <w:tcPr>
            <w:tcW w:type="dxa" w:w="32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§200.302(b)(6)</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Effort certification tracking and reminders</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Detective</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Bi-monthly</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Semi-automated</w:t>
            </w:r>
          </w:p>
        </w:tc>
        <w:tc>
          <w:tcPr>
            <w:tcW w:type="dxa" w:w="32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§200.430(i)</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Subrecipient monitoring schedule tracking</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Detective</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Per risk rating</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Semi-automated</w:t>
            </w:r>
          </w:p>
        </w:tc>
        <w:tc>
          <w:tcPr>
            <w:tcW w:type="dxa" w:w="32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§200.332</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Audit log exception reporting</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Detective</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Daily</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Fully automated</w:t>
            </w:r>
          </w:p>
        </w:tc>
        <w:tc>
          <w:tcPr>
            <w:tcW w:type="dxa" w:w="32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§200.303</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Indirect cost rate accuracy reconciliation</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Detective</w:t>
            </w:r>
          </w:p>
        </w:tc>
        <w:tc>
          <w:tcPr>
            <w:tcW w:type="dxa" w:w="1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Monthly</w:t>
            </w:r>
          </w:p>
        </w:tc>
        <w:tc>
          <w:tcPr>
            <w:tcW w:type="dxa" w:w="15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Semi-automated</w:t>
            </w:r>
          </w:p>
        </w:tc>
        <w:tc>
          <w:tcPr>
            <w:tcW w:type="dxa" w:w="32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§200.414</w:t>
            </w:r>
          </w:p>
        </w:tc>
      </w:tr>
      <w:tr>
        <w:tc>
          <w:tcPr>
            <w:tcW w:type="dxa" w:w="26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SEFA reconciliation to GL</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Detective</w:t>
            </w:r>
          </w:p>
        </w:tc>
        <w:tc>
          <w:tcPr>
            <w:tcW w:type="dxa" w:w="1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Annually</w:t>
            </w:r>
          </w:p>
        </w:tc>
        <w:tc>
          <w:tcPr>
            <w:tcW w:type="dxa" w:w="15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Semi-automated</w:t>
            </w:r>
          </w:p>
        </w:tc>
        <w:tc>
          <w:tcPr>
            <w:tcW w:type="dxa" w:w="32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§200.510(b)</w:t>
            </w:r>
          </w:p>
        </w:tc>
      </w:tr>
    </w:tbl>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6 — Fraud Risk Scenarios and ERP Control Responses</w:t>
      </w:r>
    </w:p>
    <w:p>
      <w:pPr>
        <w:pStyle w:val="Heading2"/>
        <w:spacing w:after="80" w:before="260"/>
      </w:pPr>
      <w:r>
        <w:rPr>
          <w:rFonts w:ascii="Arial" w:cs="Arial" w:eastAsia="Arial" w:hAnsi="Arial"/>
          <w:b/>
          <w:bCs/>
          <w:color w:val="1A6DD4"/>
          <w:sz w:val="25"/>
          <w:szCs w:val="25"/>
        </w:rPr>
        <w:t xml:space="preserve">6.1  Fraud Risk Framework</w:t>
      </w:r>
    </w:p>
    <w:p>
      <w:pPr>
        <w:spacing w:after="80" w:before="60"/>
      </w:pPr>
      <w:r>
        <w:rPr>
          <w:rFonts w:ascii="Arial" w:cs="Arial" w:eastAsia="Arial" w:hAnsi="Arial"/>
          <w:sz w:val="22"/>
          <w:szCs w:val="22"/>
        </w:rPr>
        <w:t xml:space="preserve">Federal grant fraud takes many forms, from simple mischarging of unallowable costs to sophisticated schemes involving fictitious vendors, time and effort falsification, or coordinated override of internal controls. The ERP must serve as both a preventive barrier and a forensic instrument — making fraud difficult to commit and impossible to hide completely. The following scenarios present realistic fraud typologies with the corresponding ERP control response.</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Fraud Scenario</w:t>
            </w:r>
          </w:p>
        </w:tc>
        <w:tc>
          <w:tcPr>
            <w:tcW w:type="dxa" w:w="2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ERP Preventive Control</w:t>
            </w:r>
          </w:p>
        </w:tc>
        <w:tc>
          <w:tcPr>
            <w:tcW w:type="dxa" w:w="24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ERP Detective Control</w:t>
            </w:r>
          </w:p>
        </w:tc>
        <w:tc>
          <w:tcPr>
            <w:tcW w:type="dxa" w:w="23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OMB Compliance Implication</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Ghost vendor payment — fictitious vendor created to receive unauthorized payments</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SOD: vendor creation ≠ payment approval; SAM.gov API check on all new vendors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Duplicate TIN check; unusual payment pattern flagging; new vendor + first large payment alert</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§200.213; §200.303(b) — SOD requirement</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Time and effort falsification — employee certifies effort on grant they did not work on</w:t>
            </w:r>
          </w:p>
        </w:tc>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Bi-monthly certification with supervisor dual certification required</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Effort percentage compared to physical access logs; outlier detection on effort changes</w:t>
            </w:r>
          </w:p>
        </w:tc>
        <w:tc>
          <w:tcPr>
            <w:tcW w:type="dxa" w:w="2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§200.430(i) — Certification integrity</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Unauthorized budget modification — moving funds to cover personal expenditures</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modification requires Controller approval; prior approval lock for &gt;10% modifications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Budget revision audit log with before/after values; modification frequency analysis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§200.308 — Prior approval requirements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Duplicate invoice payment — same invoice submitted twice with minor variations</w:t>
            </w:r>
          </w:p>
        </w:tc>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Three-way match; duplicate invoice detection by vendor+invoice+amount</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Vendor payment frequency analysis; same-amount payment clustering report</w:t>
            </w:r>
          </w:p>
        </w:tc>
        <w:tc>
          <w:tcPr>
            <w:tcW w:type="dxa" w:w="2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§200.305(b)(5) — Payment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Kickback scheme — inflated vendor invoices with payments routed back to employee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Three-way match; competitive bidding enforcement; PO limit enforcement</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Vendor payment-to-market-rate comparison; sole-source award frequency monitoring</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§200.317-200.326 — Procurement standards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Cost shifting — intentionally charging one grant's costs to another grant to cover shortfall</w:t>
            </w:r>
          </w:p>
        </w:tc>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Period restriction; cost category restriction; cross-fund posting requires special authorization</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Budget-to-actual analysis across related grants; cross-fund transfer monitoring</w:t>
            </w:r>
          </w:p>
        </w:tc>
        <w:tc>
          <w:tcPr>
            <w:tcW w:type="dxa" w:w="2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§200.405 — Allocable costs must benefit the activity charged</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Fictitious subrecipient — payments to subrecipient that does not exist or did not perform</w:t>
            </w:r>
          </w:p>
        </w:tc>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SAM.gov check on subrecipient; required monitoring documentation before payment</w:t>
            </w:r>
          </w:p>
        </w:tc>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Subrecipient monitoring completion verification; payment-to-monitoring ratio analysis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§200.332 — Subrecipient oversight requirements</w:t>
            </w:r>
          </w:p>
        </w:tc>
      </w:tr>
      <w:tr>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Unauthorized system access — terminated employee accessing system to process payments</w:t>
            </w:r>
          </w:p>
        </w:tc>
        <w:tc>
          <w:tcPr>
            <w:tcW w:type="dxa" w:w="2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Automated account deactivation on HR termination event; privileged access review</w:t>
            </w:r>
          </w:p>
        </w:tc>
        <w:tc>
          <w:tcPr>
            <w:tcW w:type="dxa" w:w="24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Login attempt monitoring; off-hours access alerts; access for terminated employees report</w:t>
            </w:r>
          </w:p>
        </w:tc>
        <w:tc>
          <w:tcPr>
            <w:tcW w:type="dxa" w:w="2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§200.303(b) — Access controls</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6.2  Audit Trail Design and Forensic Readiness</w:t>
      </w:r>
    </w:p>
    <w:p>
      <w:pPr>
        <w:spacing w:after="80" w:before="60"/>
      </w:pPr>
      <w:r>
        <w:rPr>
          <w:rFonts w:ascii="Arial" w:cs="Arial" w:eastAsia="Arial" w:hAnsi="Arial"/>
          <w:sz w:val="22"/>
          <w:szCs w:val="22"/>
        </w:rPr>
        <w:t xml:space="preserve">The ERP audit trail must be designed from implementation as a forensic instrument — not an afterthought. The following specifications define the audit trail requirements for a forensically ready federal grant financial system.</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Audit Trail Requirement</w:t>
            </w:r>
          </w:p>
        </w:tc>
        <w:tc>
          <w:tcPr>
            <w:tcW w:type="dxa" w:w="3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Technical Specification</w:t>
            </w:r>
          </w:p>
        </w:tc>
        <w:tc>
          <w:tcPr>
            <w:tcW w:type="dxa" w:w="33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Forensic Purpose</w:t>
            </w:r>
          </w:p>
        </w:tc>
      </w:tr>
      <w:tr>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Immutability</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All audit log entries stored in append-only database partition. No UPDATE or DELETE operations permitted on audit log table. System administrator access to audit log is read-only.</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Prevents evidence tampering; log entries are admissible as business records in legal proceedings</w:t>
            </w:r>
          </w:p>
        </w:tc>
      </w:tr>
      <w:tr>
        <w:tc>
          <w:tcPr>
            <w:tcW w:type="dxa" w:w="2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Completeness</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Every transaction event captured: create, modify, approve, reject, delete attempt, login, logout, failed login, role change, configuration change.</w:t>
            </w:r>
          </w:p>
        </w:tc>
        <w:tc>
          <w:tcPr>
            <w:tcW w:type="dxa" w:w="3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Enables reconstruction of complete transaction history; identifies all actors in any transaction chain</w:t>
            </w:r>
          </w:p>
        </w:tc>
      </w:tr>
      <w:tr>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User attribution</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Every event linked to: authenticated user ID; user role at time of event; IP address; timestamp to millisecond precision; session ID.</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Enables attribution of fraudulent transactions to specific individuals; supports personnel actions</w:t>
            </w:r>
          </w:p>
        </w:tc>
      </w:tr>
      <w:tr>
        <w:tc>
          <w:tcPr>
            <w:tcW w:type="dxa" w:w="2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Before-and-after values</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For all modifications: record both the pre-modification value and post-modification value for every changed field.</w:t>
            </w:r>
          </w:p>
        </w:tc>
        <w:tc>
          <w:tcPr>
            <w:tcW w:type="dxa" w:w="3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Enables identification of unauthorized changes; quantifies the scope of any data manipulation</w:t>
            </w:r>
          </w:p>
        </w:tc>
      </w:tr>
      <w:tr>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Exception reporting</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Automated daily report of: failed login attempts; blocked transactions; override attempts; off-hours access; access to sensitive funds; unusually large transactions.</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Surfaces anomalous patterns requiring investigation; enables proactive fraud detection</w:t>
            </w:r>
          </w:p>
        </w:tc>
      </w:tr>
      <w:tr>
        <w:tc>
          <w:tcPr>
            <w:tcW w:type="dxa" w:w="2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Retention and backup</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Audit logs retained for 7 years minimum (beyond the 3-year OMB requirement to accommodate litigation hold periods). Daily encrypted backup to separate system.</w:t>
            </w:r>
          </w:p>
        </w:tc>
        <w:tc>
          <w:tcPr>
            <w:tcW w:type="dxa" w:w="33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Ensures audit evidence is available throughout the full regulatory and legal exposure window</w:t>
            </w:r>
          </w:p>
        </w:tc>
      </w:tr>
      <w:tr>
        <w:tc>
          <w:tcPr>
            <w:tcW w:type="dxa" w:w="2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Extraction capability</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Audit log exportable to standard formats (CSV, PDF, XML) with documented chain of custody for legal proceedings.</w:t>
            </w:r>
          </w:p>
        </w:tc>
        <w:tc>
          <w:tcPr>
            <w:tcW w:type="dxa" w:w="33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Enables evidence production for OIG investigations, litigation discovery, and audit proceedings</w:t>
            </w:r>
          </w:p>
        </w:tc>
      </w:tr>
    </w:tbl>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7 — Role-Based Training Curriculum</w:t>
      </w:r>
    </w:p>
    <w:p>
      <w:pPr>
        <w:pStyle w:val="Heading2"/>
        <w:spacing w:after="80" w:before="260"/>
      </w:pPr>
      <w:r>
        <w:rPr>
          <w:rFonts w:ascii="Arial" w:cs="Arial" w:eastAsia="Arial" w:hAnsi="Arial"/>
          <w:b/>
          <w:bCs/>
          <w:color w:val="1A6DD4"/>
          <w:sz w:val="25"/>
          <w:szCs w:val="25"/>
        </w:rPr>
        <w:t xml:space="preserve">7.1  Training Program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900"/>
        <w:gridCol w:w="1800"/>
        <w:gridCol w:w="1460"/>
      </w:tblGrid>
      <w:tr>
        <w:trPr>
          <w:tblHeader/>
        </w:trPr>
        <w:tc>
          <w:tcPr>
            <w:tcW w:type="dxa" w:w="20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Role</w:t>
            </w:r>
          </w:p>
        </w:tc>
        <w:tc>
          <w:tcPr>
            <w:tcW w:type="dxa" w:w="32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Training Modules</w:t>
            </w:r>
          </w:p>
        </w:tc>
        <w:tc>
          <w:tcPr>
            <w:tcW w:type="dxa" w:w="9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Duration</w:t>
            </w:r>
          </w:p>
        </w:tc>
        <w:tc>
          <w:tcPr>
            <w:tcW w:type="dxa" w:w="180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Assessment Standard</w:t>
            </w:r>
          </w:p>
        </w:tc>
        <w:tc>
          <w:tcPr>
            <w:tcW w:type="dxa" w:w="1460"/>
            <w:tcBorders>
              <w:top w:val="single" w:color="334155" w:sz="1"/>
              <w:left w:val="single" w:color="334155" w:sz="1"/>
              <w:bottom w:val="single" w:color="334155" w:sz="1"/>
              <w:right w:val="single" w:color="334155"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Certification</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Grant Manager</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Grant fund setup; budget management; procurement oversight; subrecipient management; SF-425 review; closeout process</w:t>
            </w:r>
          </w:p>
        </w:tc>
        <w:tc>
          <w:tcPr>
            <w:tcW w:type="dxa" w:w="9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16 hours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Score ≥85% on knowledge assessment; practical scenario completion</w:t>
            </w:r>
          </w:p>
        </w:tc>
        <w:tc>
          <w:tcPr>
            <w:tcW w:type="dxa" w:w="14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Grant Management ERP Certificate</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Grant Accountant</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Full accounting cycle; journal entries; indirect cost calculation; SF-425 generation; SEFA preparation; audit support</w:t>
            </w:r>
          </w:p>
        </w:tc>
        <w:tc>
          <w:tcPr>
            <w:tcW w:type="dxa" w:w="9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20 hours</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Score ≥85%; journal entry simulation with no errors</w:t>
            </w:r>
          </w:p>
        </w:tc>
        <w:tc>
          <w:tcPr>
            <w:tcW w:type="dxa" w:w="14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Grant Accounting ERP Certificate</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Accounts Payable Specialist</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Invoice processing; three-way match; vendor master; payment processing; duplicate detection</w:t>
            </w:r>
          </w:p>
        </w:tc>
        <w:tc>
          <w:tcPr>
            <w:tcW w:type="dxa" w:w="9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8 hours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Score ≥80%; process full procurement cycle in UAT environment</w:t>
            </w:r>
          </w:p>
        </w:tc>
        <w:tc>
          <w:tcPr>
            <w:tcW w:type="dxa" w:w="14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AP Operations Certificate</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Controller</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All modules + override and exception management; audit preparation; compliance monitoring; financial reporting review</w:t>
            </w:r>
          </w:p>
        </w:tc>
        <w:tc>
          <w:tcPr>
            <w:tcW w:type="dxa" w:w="9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24 hours</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Score ≥90%; demonstrate all control override scenarios and documentation requirements</w:t>
            </w:r>
          </w:p>
        </w:tc>
        <w:tc>
          <w:tcPr>
            <w:tcW w:type="dxa" w:w="14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Controller Grant Compliance Certificate</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CFO / Executive</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Executive dashboard navigation; portfolio reporting; audit findings review; compliance attestation</w:t>
            </w:r>
          </w:p>
        </w:tc>
        <w:tc>
          <w:tcPr>
            <w:tcW w:type="dxa" w:w="9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4 hours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Scenario-based assessment with focus on decision-making</w:t>
            </w:r>
          </w:p>
        </w:tc>
        <w:tc>
          <w:tcPr>
            <w:tcW w:type="dxa" w:w="14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Executive Financial Oversight Certificate</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Procurement Officer</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Procurement policy; competitive bidding thresholds; sole-source justification; contract management; vendor management</w:t>
            </w:r>
          </w:p>
        </w:tc>
        <w:tc>
          <w:tcPr>
            <w:tcW w:type="dxa" w:w="9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8 hours</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Score ≥80%; demonstrate full procurement cycle</w:t>
            </w:r>
          </w:p>
        </w:tc>
        <w:tc>
          <w:tcPr>
            <w:tcW w:type="dxa" w:w="14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Procurement Compliance Certificate</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Compliance Officer</w:t>
            </w:r>
          </w:p>
        </w:tc>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SAM.gov monitoring; subrecipient risk assessment; audit trail review; fraud indicator identification; CAP tracking</w:t>
            </w:r>
          </w:p>
        </w:tc>
        <w:tc>
          <w:tcPr>
            <w:tcW w:type="dxa" w:w="9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12 hours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Score ≥85%; compliance scenario assessment</w:t>
            </w:r>
          </w:p>
        </w:tc>
        <w:tc>
          <w:tcPr>
            <w:tcW w:type="dxa" w:w="14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after="0" w:before="0"/>
            </w:pPr>
            <w:r>
              <w:rPr>
                <w:rFonts w:ascii="Arial" w:cs="Arial" w:eastAsia="Arial" w:hAnsi="Arial"/>
                <w:sz w:val="19"/>
                <w:szCs w:val="19"/>
              </w:rPr>
              <w:t xml:space="preserve">Compliance Officer Certificate</w:t>
            </w:r>
          </w:p>
        </w:tc>
      </w:tr>
      <w:tr>
        <w:tc>
          <w:tcPr>
            <w:tcW w:type="dxa" w:w="20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IT Administrator</w:t>
            </w:r>
          </w:p>
        </w:tc>
        <w:tc>
          <w:tcPr>
            <w:tcW w:type="dxa" w:w="32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System administration; security configuration; audit log management; backup and recovery; integration management</w:t>
            </w:r>
          </w:p>
        </w:tc>
        <w:tc>
          <w:tcPr>
            <w:tcW w:type="dxa" w:w="9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16 hours</w:t>
            </w:r>
          </w:p>
        </w:tc>
        <w:tc>
          <w:tcPr>
            <w:tcW w:type="dxa" w:w="180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Technical certification exam; demonstrate all security configurations</w:t>
            </w:r>
          </w:p>
        </w:tc>
        <w:tc>
          <w:tcPr>
            <w:tcW w:type="dxa" w:w="1460"/>
            <w:tcBorders>
              <w:top w:val="single" w:color="CCCCCC" w:sz="1"/>
              <w:left w:val="single" w:color="CCCCCC" w:sz="1"/>
              <w:bottom w:val="single" w:color="CCCCCC" w:sz="1"/>
              <w:right w:val="single" w:color="CCCCCC" w:sz="1"/>
            </w:tcBorders>
            <w:shd w:fill="F8FAFC" w:val="clear"/>
            <w:tcMar>
              <w:top w:type="dxa" w:w="72"/>
              <w:left w:type="dxa" w:w="110"/>
              <w:bottom w:type="dxa" w:w="72"/>
              <w:right w:type="dxa" w:w="110"/>
            </w:tcMar>
          </w:tcPr>
          <w:p>
            <w:pPr>
              <w:spacing w:after="0" w:before="0"/>
            </w:pPr>
            <w:r>
              <w:rPr>
                <w:rFonts w:ascii="Arial" w:cs="Arial" w:eastAsia="Arial" w:hAnsi="Arial"/>
                <w:sz w:val="19"/>
                <w:szCs w:val="19"/>
              </w:rPr>
              <w:t xml:space="preserve">ERP Security Administration Certificate</w:t>
            </w:r>
          </w:p>
        </w:tc>
      </w:tr>
    </w:tbl>
    <w:p>
      <w:pPr>
        <w:spacing w:after="80" w:before="60"/>
      </w:pPr>
      <w:r>
        <w:rPr>
          <w:rFonts w:ascii="Arial" w:cs="Arial" w:eastAsia="Arial" w:hAnsi="Arial"/>
          <w:sz w:val="22"/>
          <w:szCs w:val="22"/>
        </w:rPr>
        <w:t xml:space="preserve"/>
      </w:r>
    </w:p>
    <w:p>
      <w:r>
        <w:br w:type="page"/>
      </w:r>
    </w:p>
    <w:p>
      <w:pPr>
        <w:pStyle w:val="Heading1"/>
        <w:pBdr>
          <w:bottom w:val="single" w:color="0F4C8A" w:sz="10"/>
        </w:pBdr>
        <w:spacing w:after="140" w:before="400"/>
      </w:pPr>
      <w:r>
        <w:rPr>
          <w:rFonts w:ascii="Arial" w:cs="Arial" w:eastAsia="Arial" w:hAnsi="Arial"/>
          <w:b/>
          <w:bCs/>
          <w:color w:val="0F4C8A"/>
          <w:sz w:val="30"/>
          <w:szCs w:val="30"/>
        </w:rPr>
        <w:t xml:space="preserve">Section 8 — National Importance and Petitioner Contribution</w:t>
      </w:r>
    </w:p>
    <w:p>
      <w:pPr>
        <w:pStyle w:val="Heading2"/>
        <w:spacing w:after="80" w:before="260"/>
      </w:pPr>
      <w:r>
        <w:rPr>
          <w:rFonts w:ascii="Arial" w:cs="Arial" w:eastAsia="Arial" w:hAnsi="Arial"/>
          <w:b/>
          <w:bCs/>
          <w:color w:val="1A6DD4"/>
          <w:sz w:val="25"/>
          <w:szCs w:val="25"/>
        </w:rPr>
        <w:t xml:space="preserve">8.1  Systems-Level Impact on Federal Grant Compliance Infrastructure</w:t>
      </w:r>
    </w:p>
    <w:p>
      <w:pPr>
        <w:spacing w:after="80" w:before="60"/>
      </w:pPr>
      <w:r>
        <w:rPr>
          <w:rFonts w:ascii="Arial" w:cs="Arial" w:eastAsia="Arial" w:hAnsi="Arial"/>
          <w:sz w:val="22"/>
          <w:szCs w:val="22"/>
        </w:rPr>
        <w:t xml:space="preserve">The ERP implementation framework documented in this exhibit operates at the intersection of two critical national concerns: the integrity of federal grant programs and the adequacy of financial management systems that govern them. The petitioner's contribution is not limited to the interests of any single organization. The framework is designed for replication across the full ecosystem of federal grant recipients — universities, hospitals, nonprofits, state agencies, tribal governments, and community development organizations — each of which faces the same regulatory requirements and many of which lack the financial management expertise to implement compliant systems independently.</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The national importance of this contribution is grounded in the following quantifiable realities: The United States federal government reports tens of billions of dollars in improper payments annually across grant programs. The GAO and OIG consistently identify financial management system failures as a primary root cause. Each organization that implements a properly configured ERP environment aligned with the Uniform Guidance reduces its contribution to this national pool of questioned costs and improper payments. When applied at scale — which this framework is specifically designed to enable through its structured, reproducible methodology — the aggregate effect represents a meaningful reduction in financial mismanagement of public funds.</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1"/>
              <w:left w:val="single" w:color="155724" w:sz="22"/>
              <w:bottom w:val="single" w:color="155724" w:sz="1"/>
              <w:right w:val="single" w:color="155724" w:sz="1"/>
            </w:tcBorders>
            <w:shd w:fill="D4EDDA" w:val="clear"/>
            <w:tcMar>
              <w:top w:type="dxa" w:w="130"/>
              <w:left w:type="dxa" w:w="180"/>
              <w:bottom w:type="dxa" w:w="130"/>
              <w:right w:type="dxa" w:w="160"/>
            </w:tcMar>
          </w:tcPr>
          <w:p>
            <w:pPr>
              <w:spacing w:after="80" w:before="0"/>
            </w:pPr>
            <w:r>
              <w:rPr>
                <w:rFonts w:ascii="Arial" w:cs="Arial" w:eastAsia="Arial" w:hAnsi="Arial"/>
                <w:b/>
                <w:bCs/>
                <w:color w:val="155724"/>
                <w:sz w:val="21"/>
                <w:szCs w:val="21"/>
              </w:rPr>
              <w:t xml:space="preserve">Petitioner's Specific Contribution to National Compliance Infrastructure</w:t>
            </w:r>
          </w:p>
          <w:p>
            <w:pPr>
              <w:spacing w:after="36" w:before="0"/>
            </w:pPr>
            <w:r>
              <w:rPr>
                <w:rFonts w:ascii="Arial" w:cs="Arial" w:eastAsia="Arial" w:hAnsi="Arial"/>
                <w:sz w:val="22"/>
                <w:szCs w:val="22"/>
              </w:rPr>
              <w:t xml:space="preserve">The petitioner's ERP implementation framework makes the following specific contributions:</w:t>
            </w:r>
          </w:p>
          <w:p>
            <w:pPr>
              <w:spacing w:after="36" w:before="0"/>
            </w:pPr>
            <w:r>
              <w:rPr>
                <w:rFonts w:ascii="Arial" w:cs="Arial" w:eastAsia="Arial" w:hAnsi="Arial"/>
                <w:sz w:val="22"/>
                <w:szCs w:val="22"/>
              </w:rPr>
              <w:t xml:space="preserve">1. STANDARDIZATION: Provides a standardized implementation methodology that can be applied consistently across different ERP platforms (SAP, Oracle, Microsoft Dynamics, Sage Intacct) and different organization types — reducing the knowledge asymmetry that currently exists between large research universities (which have sophisticated grant accounting expertise) and smaller nonprofits and community organizations (which frequently do not).</w:t>
            </w:r>
          </w:p>
          <w:p>
            <w:pPr>
              <w:spacing w:after="36" w:before="0"/>
            </w:pPr>
            <w:r>
              <w:rPr>
                <w:rFonts w:ascii="Arial" w:cs="Arial" w:eastAsia="Arial" w:hAnsi="Arial"/>
                <w:sz w:val="22"/>
                <w:szCs w:val="22"/>
              </w:rPr>
              <w:t xml:space="preserve">2. COMPLIANCE AUTOMATION: Embeds OMB 2 CFR Part 200 requirements directly into system configuration, transforming compliance from a manual checklist activity to an automated, system-enforced process. This reduces the human error rate and ensures that compliance persists even as personnel changes occur.</w:t>
            </w:r>
          </w:p>
          <w:p>
            <w:pPr>
              <w:spacing w:after="36" w:before="0"/>
            </w:pPr>
            <w:r>
              <w:rPr>
                <w:rFonts w:ascii="Arial" w:cs="Arial" w:eastAsia="Arial" w:hAnsi="Arial"/>
                <w:sz w:val="22"/>
                <w:szCs w:val="22"/>
              </w:rPr>
              <w:t xml:space="preserve">3. AUDIT READINESS: Establishes a permanent state of audit readiness by ensuring that every transaction generates the documentation required for Single Audit examination from the moment of posting. This eliminates the costly and error-prone practice of retroactive evidence assembly.</w:t>
            </w:r>
          </w:p>
          <w:p>
            <w:pPr>
              <w:spacing w:after="36" w:before="0"/>
            </w:pPr>
            <w:r>
              <w:rPr>
                <w:rFonts w:ascii="Arial" w:cs="Arial" w:eastAsia="Arial" w:hAnsi="Arial"/>
                <w:sz w:val="22"/>
                <w:szCs w:val="22"/>
              </w:rPr>
              <w:t xml:space="preserve">4. FRAUD PREVENTION: Deploys preventive controls — SAM.gov API integration, SOD enforcement, duplicate payment detection, budget availability checks — that prevent categories of fraud and improper payment from occurring, rather than simply detecting them after the fact.</w:t>
            </w:r>
          </w:p>
          <w:p>
            <w:pPr>
              <w:spacing w:after="36" w:before="0"/>
            </w:pPr>
            <w:r>
              <w:rPr>
                <w:rFonts w:ascii="Arial" w:cs="Arial" w:eastAsia="Arial" w:hAnsi="Arial"/>
                <w:sz w:val="22"/>
                <w:szCs w:val="22"/>
              </w:rPr>
              <w:t xml:space="preserve">5. SCALABILITY: A framework that can be taught, replicated, and independently implemented by organizations across the country multiplies the petitioner's impact beyond any single implementation engagement.</w:t>
            </w:r>
          </w:p>
        </w:tc>
      </w:tr>
    </w:tbl>
    <w:p>
      <w:pPr>
        <w:spacing w:after="80" w:before="60"/>
      </w:pPr>
      <w:r>
        <w:rPr>
          <w:rFonts w:ascii="Arial" w:cs="Arial" w:eastAsia="Arial" w:hAnsi="Arial"/>
          <w:sz w:val="22"/>
          <w:szCs w:val="22"/>
        </w:rPr>
        <w:t xml:space="preserve"/>
      </w:r>
    </w:p>
    <w:p>
      <w:pPr>
        <w:pStyle w:val="Heading2"/>
        <w:spacing w:after="80" w:before="260"/>
      </w:pPr>
      <w:r>
        <w:rPr>
          <w:rFonts w:ascii="Arial" w:cs="Arial" w:eastAsia="Arial" w:hAnsi="Arial"/>
          <w:b/>
          <w:bCs/>
          <w:color w:val="1A6DD4"/>
          <w:sz w:val="25"/>
          <w:szCs w:val="25"/>
        </w:rPr>
        <w:t xml:space="preserve">8.2  Position Within National Grant Compliance Ecosystem</w:t>
      </w:r>
    </w:p>
    <w:p>
      <w:pPr>
        <w:spacing w:after="80" w:before="60"/>
      </w:pPr>
      <w:r>
        <w:rPr>
          <w:rFonts w:ascii="Arial" w:cs="Arial" w:eastAsia="Arial" w:hAnsi="Arial"/>
          <w:sz w:val="22"/>
          <w:szCs w:val="22"/>
        </w:rPr>
        <w:t xml:space="preserve">The petitioner's work addresses a structural gap in the federal grants ecosystem. Federal agencies provide regulatory guidance (OMB circulars, agency-specific requirements, audit guides) but do not provide implementation-level financial systems guidance. Professional associations (GFOA, NCURA, AGA) provide training and resources but not the implementation-level technical architecture. Large consulting firms provide ERP implementation services but at costs that exclude smaller organizations. The petitioner's framework fills the space between regulatory mandate and practical implementation — translating the requirements of 2 CFR Part 200 into specific, actionable ERP configurations, workflows, control tests, and training programs that any qualified financial management professional can apply.</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This contribution has national scope because the problem it addresses — inadequate financial management systems in federal grant recipient organizations — has national scope. It has national importance because the accurate, transparent, and accountable stewardship of federal grant funds is a national priority that supports research, public health, infrastructure, education, and economic development across all 50 states and territories.</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
      </w:r>
    </w:p>
    <w:p>
      <w:pPr>
        <w:spacing w:after="40" w:before="120"/>
        <w:jc w:val="center"/>
      </w:pPr>
      <w:r>
        <w:rPr>
          <w:rFonts w:ascii="Arial" w:cs="Arial" w:eastAsia="Arial" w:hAnsi="Arial"/>
          <w:b/>
          <w:bCs/>
          <w:color w:val="0F4C8A"/>
          <w:sz w:val="22"/>
          <w:szCs w:val="22"/>
        </w:rPr>
        <w:t xml:space="preserve">Exhibit 19  |  Version 2</w:t>
      </w:r>
    </w:p>
    <w:p>
      <w:pPr>
        <w:spacing w:after="40" w:before="0"/>
        <w:jc w:val="center"/>
      </w:pPr>
      <w:r>
        <w:rPr>
          <w:rFonts w:ascii="Arial" w:cs="Arial" w:eastAsia="Arial" w:hAnsi="Arial"/>
          <w:color w:val="1A6DD4"/>
          <w:sz w:val="22"/>
          <w:szCs w:val="22"/>
        </w:rPr>
        <w:t xml:space="preserve">ERP Implementation Framework for Grant Financial Management</w:t>
      </w:r>
    </w:p>
    <w:p>
      <w:pPr>
        <w:spacing w:after="40" w:before="0"/>
        <w:jc w:val="center"/>
      </w:pPr>
      <w:r>
        <w:rPr>
          <w:rFonts w:ascii="Arial" w:cs="Arial" w:eastAsia="Arial" w:hAnsi="Arial"/>
          <w:b/>
          <w:bCs/>
          <w:color w:val="6B7280"/>
          <w:sz w:val="22"/>
          <w:szCs w:val="22"/>
        </w:rPr>
        <w:t xml:space="preserve">Muhammad Bilal, FCA · FCCA · CFA</w:t>
      </w:r>
    </w:p>
    <w:p>
      <w:pPr>
        <w:spacing w:after="40" w:before="0"/>
        <w:jc w:val="center"/>
      </w:pPr>
      <w:r>
        <w:rPr>
          <w:rFonts w:ascii="Arial" w:cs="Arial" w:eastAsia="Arial" w:hAnsi="Arial"/>
          <w:color w:val="6B7280"/>
          <w:sz w:val="20"/>
          <w:szCs w:val="20"/>
        </w:rPr>
        <w:t xml:space="preserve">OMB 2 CFR Part 200  ·  GAO Green Book  ·  EB-2 National Interest Waiver Petition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DD4" w:sz="4"/>
      </w:pBdr>
      <w:spacing w:after="0" w:before="80"/>
      <w:jc w:val="right"/>
    </w:pPr>
    <w:r>
      <w:rPr>
        <w:rFonts w:ascii="Arial" w:cs="Arial" w:eastAsia="Arial" w:hAnsi="Arial"/>
        <w:color w:val="777777"/>
        <w:sz w:val="18"/>
        <w:szCs w:val="18"/>
      </w:rPr>
      <w:t xml:space="preserve">Exhibit 19 v2  |  OMB 2 CFR Part 200  |  NIW Petition — Muhammad Bilal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DD4" w:sz="4"/>
      </w:pBdr>
      <w:spacing w:after="80" w:before="0"/>
    </w:pPr>
    <w:r>
      <w:rPr>
        <w:rFonts w:ascii="Arial" w:cs="Arial" w:eastAsia="Arial" w:hAnsi="Arial"/>
        <w:color w:val="777777"/>
        <w:sz w:val="18"/>
        <w:szCs w:val="18"/>
      </w:rPr>
      <w:t xml:space="preserve">Exhibit 19 (Version 2)  —  ERP Implementation Framework for Grant Financial Management  |  Muhammad Bilal, FCA · FCCA · CFA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0F4C8A"/>
      <w:sz w:val="30"/>
      <w:szCs w:val="30"/>
    </w:rPr>
  </w:style>
  <w:style w:type="paragraph" w:styleId="Heading2">
    <w:name w:val="Heading 2"/>
    <w:basedOn w:val="Normal"/>
    <w:next w:val="Normal"/>
    <w:qFormat/>
    <w:pPr>
      <w:spacing w:after="80" w:before="260"/>
      <w:outlineLvl w:val="1"/>
    </w:pPr>
    <w:rPr>
      <w:rFonts w:ascii="Arial" w:cs="Arial" w:eastAsia="Arial" w:hAnsi="Arial"/>
      <w:b/>
      <w:bCs/>
      <w:color w:val="1A6DD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2026-04-18T18:04:04.819Z</dcterms:created>
  <dcterms:modified xsi:type="dcterms:W3CDTF">2026-04-18T18:04:04.820Z</dcterms:modified>
</cp:coreProperties>
</file>

<file path=docProps/custom.xml><?xml version="1.0" encoding="utf-8"?>
<Properties xmlns="http://schemas.openxmlformats.org/officeDocument/2006/custom-properties" xmlns:vt="http://schemas.openxmlformats.org/officeDocument/2006/docPropsVTypes"/>
</file>