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25E0" w14:textId="7D3F612B" w:rsidR="00C349CC" w:rsidRDefault="00874733">
      <w:r>
        <w:rPr>
          <w:b/>
          <w:sz w:val="32"/>
        </w:rPr>
        <w:t xml:space="preserve"> </w:t>
      </w:r>
      <w:r w:rsidR="00000000">
        <w:rPr>
          <w:b/>
          <w:sz w:val="32"/>
        </w:rPr>
        <w:t>EXHIBIT 28.G11</w:t>
      </w:r>
    </w:p>
    <w:p w14:paraId="246FDE17" w14:textId="77777777" w:rsidR="00C349CC" w:rsidRDefault="00000000">
      <w:r>
        <w:rPr>
          <w:b/>
          <w:sz w:val="28"/>
        </w:rPr>
        <w:t>GovGuard™ Enterprise Production Readiness Roadmap</w:t>
      </w:r>
    </w:p>
    <w:p w14:paraId="72A7D86B" w14:textId="77777777" w:rsidR="00C349CC" w:rsidRDefault="00000000">
      <w:r>
        <w:rPr>
          <w:b/>
        </w:rPr>
        <w:t>Current-State Assessment and Phased Path to AWS GovCloud Deployment and FedRAMP Moderate Authorization</w:t>
      </w:r>
    </w:p>
    <w:p w14:paraId="2C266653" w14:textId="77777777" w:rsidR="00C349CC" w:rsidRDefault="00000000">
      <w:r>
        <w:t>──────────────────────────────────────────────────────────────────────────────────────────────</w:t>
      </w:r>
    </w:p>
    <w:p w14:paraId="583055BE" w14:textId="77777777" w:rsidR="00C349CC" w:rsidRDefault="00000000">
      <w:r>
        <w:t>This exhibit provides a transparent, engineering-grounded assessment of GovGuard™'s current deployment state relative to its designed target architecture, and a phased roadmap for closing that gap. Petitioner's ability to precisely identify the delta between current build and federal-grade production requirements — and to sequence a credible, resourced path to close it — is itself evidence of the senior architectural and governance judgment described under Dhanasar Prong 2. This roadmap directly responds to the need for a documented FedRAMP authorization plan in support of the platform's security posture claims made elsewhere in this petition.</w:t>
      </w:r>
    </w:p>
    <w:p w14:paraId="515640D3" w14:textId="77777777" w:rsidR="00C349CC" w:rsidRDefault="00C349CC"/>
    <w:p w14:paraId="7501C095" w14:textId="77777777" w:rsidR="00C349CC" w:rsidRDefault="00000000">
      <w:r>
        <w:rPr>
          <w:b/>
          <w:sz w:val="24"/>
        </w:rPr>
        <w:t>1. Current State Assessment (as of this exhibit's date)</w:t>
      </w:r>
    </w:p>
    <w:p w14:paraId="5F45FD7A" w14:textId="77777777" w:rsidR="00C349CC" w:rsidRDefault="00000000">
      <w:r>
        <w:t>The following reflects the platform's actual current build and deployment configuration, as confirmed by direct review of the source repository, deployment configuration files, and environment configuration:</w:t>
      </w:r>
    </w:p>
    <w:tbl>
      <w:tblPr>
        <w:tblStyle w:val="TableGrid"/>
        <w:tblW w:w="0" w:type="auto"/>
        <w:tblLook w:val="04A0" w:firstRow="1" w:lastRow="0" w:firstColumn="1" w:lastColumn="0" w:noHBand="0" w:noVBand="1"/>
      </w:tblPr>
      <w:tblGrid>
        <w:gridCol w:w="2880"/>
        <w:gridCol w:w="2880"/>
        <w:gridCol w:w="2880"/>
      </w:tblGrid>
      <w:tr w:rsidR="00C349CC" w14:paraId="6238838C" w14:textId="77777777">
        <w:tc>
          <w:tcPr>
            <w:tcW w:w="2880" w:type="dxa"/>
          </w:tcPr>
          <w:p w14:paraId="1B1A19FF" w14:textId="77777777" w:rsidR="00C349CC" w:rsidRDefault="00000000">
            <w:r>
              <w:rPr>
                <w:b/>
              </w:rPr>
              <w:t>Dimension</w:t>
            </w:r>
          </w:p>
        </w:tc>
        <w:tc>
          <w:tcPr>
            <w:tcW w:w="2880" w:type="dxa"/>
          </w:tcPr>
          <w:p w14:paraId="53641BF6" w14:textId="77777777" w:rsidR="00C349CC" w:rsidRDefault="00000000">
            <w:r>
              <w:rPr>
                <w:b/>
              </w:rPr>
              <w:t>Current State</w:t>
            </w:r>
          </w:p>
        </w:tc>
        <w:tc>
          <w:tcPr>
            <w:tcW w:w="2880" w:type="dxa"/>
          </w:tcPr>
          <w:p w14:paraId="42917B6B" w14:textId="77777777" w:rsidR="00C349CC" w:rsidRDefault="00000000">
            <w:r>
              <w:rPr>
                <w:b/>
              </w:rPr>
              <w:t>Gap to Target</w:t>
            </w:r>
          </w:p>
        </w:tc>
      </w:tr>
      <w:tr w:rsidR="00C349CC" w14:paraId="50247D8B" w14:textId="77777777">
        <w:tc>
          <w:tcPr>
            <w:tcW w:w="2880" w:type="dxa"/>
          </w:tcPr>
          <w:p w14:paraId="2D1B7D3C" w14:textId="77777777" w:rsidR="00C349CC" w:rsidRDefault="00000000">
            <w:r>
              <w:t>Compute hosting</w:t>
            </w:r>
          </w:p>
        </w:tc>
        <w:tc>
          <w:tcPr>
            <w:tcW w:w="2880" w:type="dxa"/>
          </w:tcPr>
          <w:p w14:paraId="12A02571" w14:textId="77777777" w:rsidR="00C349CC" w:rsidRDefault="00000000">
            <w:r>
              <w:t>Backend on Railway (containerized FastAPI, Docker); frontend on Vercel</w:t>
            </w:r>
          </w:p>
        </w:tc>
        <w:tc>
          <w:tcPr>
            <w:tcW w:w="2880" w:type="dxa"/>
          </w:tcPr>
          <w:p w14:paraId="24C90DD5" w14:textId="77777777" w:rsidR="00C349CC" w:rsidRDefault="00000000">
            <w:r>
              <w:t>Not yet on AWS GovCloud</w:t>
            </w:r>
          </w:p>
        </w:tc>
      </w:tr>
      <w:tr w:rsidR="00C349CC" w14:paraId="24405019" w14:textId="77777777">
        <w:tc>
          <w:tcPr>
            <w:tcW w:w="2880" w:type="dxa"/>
          </w:tcPr>
          <w:p w14:paraId="22F11D2E" w14:textId="77777777" w:rsidR="00C349CC" w:rsidRDefault="00000000">
            <w:r>
              <w:t>Database</w:t>
            </w:r>
          </w:p>
        </w:tc>
        <w:tc>
          <w:tcPr>
            <w:tcW w:w="2880" w:type="dxa"/>
          </w:tcPr>
          <w:p w14:paraId="16F945D4" w14:textId="77777777" w:rsidR="00C349CC" w:rsidRDefault="00000000">
            <w:r>
              <w:t>PostgreSQL 17 with Row-Level Security (RLS) — application logic is GovCloud-ready, but hosted on standard commercial infrastructure</w:t>
            </w:r>
          </w:p>
        </w:tc>
        <w:tc>
          <w:tcPr>
            <w:tcW w:w="2880" w:type="dxa"/>
          </w:tcPr>
          <w:p w14:paraId="73F8A0DE" w14:textId="77777777" w:rsidR="00C349CC" w:rsidRDefault="00000000">
            <w:r>
              <w:t>Requires migration to AWS RDS (GovCloud) preserving RLS policies</w:t>
            </w:r>
          </w:p>
        </w:tc>
      </w:tr>
      <w:tr w:rsidR="00C349CC" w14:paraId="6DB15176" w14:textId="77777777">
        <w:tc>
          <w:tcPr>
            <w:tcW w:w="2880" w:type="dxa"/>
          </w:tcPr>
          <w:p w14:paraId="524D94B1" w14:textId="77777777" w:rsidR="00C349CC" w:rsidRDefault="00000000">
            <w:r>
              <w:t>Cache / queue</w:t>
            </w:r>
          </w:p>
        </w:tc>
        <w:tc>
          <w:tcPr>
            <w:tcW w:w="2880" w:type="dxa"/>
          </w:tcPr>
          <w:p w14:paraId="054E1A54" w14:textId="77777777" w:rsidR="00C349CC" w:rsidRDefault="00000000">
            <w:r>
              <w:t>Redis 7 (caching + Celery broker), commercial hosting</w:t>
            </w:r>
          </w:p>
        </w:tc>
        <w:tc>
          <w:tcPr>
            <w:tcW w:w="2880" w:type="dxa"/>
          </w:tcPr>
          <w:p w14:paraId="2054BBB2" w14:textId="77777777" w:rsidR="00C349CC" w:rsidRDefault="00000000">
            <w:r>
              <w:t>Requires migration to AWS ElastiCache (GovCloud)</w:t>
            </w:r>
          </w:p>
        </w:tc>
      </w:tr>
      <w:tr w:rsidR="00C349CC" w14:paraId="172DE56C" w14:textId="77777777">
        <w:tc>
          <w:tcPr>
            <w:tcW w:w="2880" w:type="dxa"/>
          </w:tcPr>
          <w:p w14:paraId="468F05BE" w14:textId="77777777" w:rsidR="00C349CC" w:rsidRDefault="00000000">
            <w:r>
              <w:t>PII protection</w:t>
            </w:r>
          </w:p>
        </w:tc>
        <w:tc>
          <w:tcPr>
            <w:tcW w:w="2880" w:type="dxa"/>
          </w:tcPr>
          <w:p w14:paraId="77DC16D2" w14:textId="77777777" w:rsidR="00C349CC" w:rsidRDefault="00000000">
            <w:r>
              <w:t>One-way SHA-256 hashing (unkeyed) for vendor EIN, address, and user email</w:t>
            </w:r>
          </w:p>
        </w:tc>
        <w:tc>
          <w:tcPr>
            <w:tcW w:w="2880" w:type="dxa"/>
          </w:tcPr>
          <w:p w14:paraId="51647D75" w14:textId="77777777" w:rsidR="00C349CC" w:rsidRDefault="00000000">
            <w:r>
              <w:t>Requires migration to keyed HMAC-SHA256 with a securely managed secret</w:t>
            </w:r>
          </w:p>
        </w:tc>
      </w:tr>
      <w:tr w:rsidR="00C349CC" w14:paraId="532C7DF4" w14:textId="77777777">
        <w:tc>
          <w:tcPr>
            <w:tcW w:w="2880" w:type="dxa"/>
          </w:tcPr>
          <w:p w14:paraId="56C713A2" w14:textId="77777777" w:rsidR="00C349CC" w:rsidRDefault="00000000">
            <w:r>
              <w:t>Security control posture</w:t>
            </w:r>
          </w:p>
        </w:tc>
        <w:tc>
          <w:tcPr>
            <w:tcW w:w="2880" w:type="dxa"/>
          </w:tcPr>
          <w:p w14:paraId="2E491EEB" w14:textId="77777777" w:rsidR="00C349CC" w:rsidRDefault="00000000">
            <w:r>
              <w:t xml:space="preserve">Designed and self-assessed against FedRAMP Moderate control families (AC-2, AC-3, AC-17, AU-2, AU-9, SC-28, </w:t>
            </w:r>
            <w:r>
              <w:lastRenderedPageBreak/>
              <w:t>SC-8, SI-10 — see Exhibit 28.G9)</w:t>
            </w:r>
          </w:p>
        </w:tc>
        <w:tc>
          <w:tcPr>
            <w:tcW w:w="2880" w:type="dxa"/>
          </w:tcPr>
          <w:p w14:paraId="4633FAE2" w14:textId="77777777" w:rsidR="00C349CC" w:rsidRDefault="00000000">
            <w:r>
              <w:lastRenderedPageBreak/>
              <w:t xml:space="preserve">No independent 3PAO assessment or Authority to Operate (ATO) obtained; posture is "FedRAMP </w:t>
            </w:r>
            <w:r>
              <w:lastRenderedPageBreak/>
              <w:t>Moderate-aligned by design," not certified</w:t>
            </w:r>
          </w:p>
        </w:tc>
      </w:tr>
      <w:tr w:rsidR="00C349CC" w14:paraId="1D4D2849" w14:textId="77777777">
        <w:tc>
          <w:tcPr>
            <w:tcW w:w="2880" w:type="dxa"/>
          </w:tcPr>
          <w:p w14:paraId="6CE8C8EA" w14:textId="77777777" w:rsidR="00C349CC" w:rsidRDefault="00000000">
            <w:r>
              <w:lastRenderedPageBreak/>
              <w:t>Compliance rule engine</w:t>
            </w:r>
          </w:p>
        </w:tc>
        <w:tc>
          <w:tcPr>
            <w:tcW w:w="2880" w:type="dxa"/>
          </w:tcPr>
          <w:p w14:paraId="39709997" w14:textId="77777777" w:rsidR="00C349CC" w:rsidRDefault="00000000">
            <w:r>
              <w:t>10 rules defined (CM-001–CM-010); 7 have active evaluation logic (CM-001–CM-005, CM-007, CM-008)</w:t>
            </w:r>
          </w:p>
        </w:tc>
        <w:tc>
          <w:tcPr>
            <w:tcW w:w="2880" w:type="dxa"/>
          </w:tcPr>
          <w:p w14:paraId="2FC114F1" w14:textId="77777777" w:rsidR="00C349CC" w:rsidRDefault="00000000">
            <w:r>
              <w:t>CM-006, CM-009, CM-010 require evaluation logic implementation (see Exhibit 28.G7)</w:t>
            </w:r>
          </w:p>
        </w:tc>
      </w:tr>
      <w:tr w:rsidR="00C349CC" w14:paraId="03908040" w14:textId="77777777">
        <w:tc>
          <w:tcPr>
            <w:tcW w:w="2880" w:type="dxa"/>
          </w:tcPr>
          <w:p w14:paraId="340F3DFB" w14:textId="77777777" w:rsidR="00C349CC" w:rsidRDefault="00000000">
            <w:r>
              <w:t>Validation dataset</w:t>
            </w:r>
          </w:p>
        </w:tc>
        <w:tc>
          <w:tcPr>
            <w:tcW w:w="2880" w:type="dxa"/>
          </w:tcPr>
          <w:p w14:paraId="47C98845" w14:textId="77777777" w:rsidR="00C349CC" w:rsidRDefault="00000000">
            <w:r>
              <w:t>70-scenario GAO High-Risk test dataset (Exhibit 28.G4)</w:t>
            </w:r>
          </w:p>
        </w:tc>
        <w:tc>
          <w:tcPr>
            <w:tcW w:w="2880" w:type="dxa"/>
          </w:tcPr>
          <w:p w14:paraId="197DA0DA" w14:textId="77777777" w:rsidR="00C349CC" w:rsidRDefault="00000000">
            <w:r>
              <w:t>Recommend expansion toward parity with FraudGuard™ v4.1's 150-transaction corpus</w:t>
            </w:r>
          </w:p>
        </w:tc>
      </w:tr>
    </w:tbl>
    <w:p w14:paraId="5994BB70" w14:textId="77777777" w:rsidR="00C349CC" w:rsidRDefault="00C349CC"/>
    <w:p w14:paraId="39E7ADA0" w14:textId="77777777" w:rsidR="00C349CC" w:rsidRDefault="00000000">
      <w:r>
        <w:rPr>
          <w:b/>
          <w:sz w:val="24"/>
        </w:rPr>
        <w:t>2. Target Enterprise / Federal-Grade State</w:t>
      </w:r>
    </w:p>
    <w:p w14:paraId="07FCA939" w14:textId="77777777" w:rsidR="00C349CC" w:rsidRDefault="00000000">
      <w:r>
        <w:t>The target state is a platform authorized for direct use by federal agencies and their grantees under a Federal Risk and Authorization Management Program (FedRAMP) Moderate Authority to Operate, hosted entirely within AWS GovCloud, with all PII fields protected by keyed cryptographic hashing, all 10 compliance rules under active evaluation, and an expanded, independently reproducible validation corpus.</w:t>
      </w:r>
    </w:p>
    <w:p w14:paraId="02F497DF" w14:textId="77777777" w:rsidR="00C349CC" w:rsidRDefault="00C349CC"/>
    <w:p w14:paraId="7C730745" w14:textId="77777777" w:rsidR="00C349CC" w:rsidRDefault="00000000">
      <w:r>
        <w:rPr>
          <w:b/>
          <w:sz w:val="24"/>
        </w:rPr>
        <w:t>3. Phased Roadmap</w:t>
      </w:r>
    </w:p>
    <w:tbl>
      <w:tblPr>
        <w:tblStyle w:val="TableGrid"/>
        <w:tblW w:w="0" w:type="auto"/>
        <w:tblLook w:val="04A0" w:firstRow="1" w:lastRow="0" w:firstColumn="1" w:lastColumn="0" w:noHBand="0" w:noVBand="1"/>
      </w:tblPr>
      <w:tblGrid>
        <w:gridCol w:w="2880"/>
        <w:gridCol w:w="2880"/>
        <w:gridCol w:w="2880"/>
      </w:tblGrid>
      <w:tr w:rsidR="00C349CC" w14:paraId="3678A730" w14:textId="77777777">
        <w:tc>
          <w:tcPr>
            <w:tcW w:w="2880" w:type="dxa"/>
          </w:tcPr>
          <w:p w14:paraId="63EAEA49" w14:textId="77777777" w:rsidR="00C349CC" w:rsidRDefault="00000000">
            <w:r>
              <w:rPr>
                <w:b/>
              </w:rPr>
              <w:t>Phase</w:t>
            </w:r>
          </w:p>
        </w:tc>
        <w:tc>
          <w:tcPr>
            <w:tcW w:w="2880" w:type="dxa"/>
          </w:tcPr>
          <w:p w14:paraId="462AEBD4" w14:textId="77777777" w:rsidR="00C349CC" w:rsidRDefault="00000000">
            <w:r>
              <w:rPr>
                <w:b/>
              </w:rPr>
              <w:t>Timeframe</w:t>
            </w:r>
          </w:p>
        </w:tc>
        <w:tc>
          <w:tcPr>
            <w:tcW w:w="2880" w:type="dxa"/>
          </w:tcPr>
          <w:p w14:paraId="77A600C6" w14:textId="77777777" w:rsidR="00C349CC" w:rsidRDefault="00000000">
            <w:r>
              <w:rPr>
                <w:b/>
              </w:rPr>
              <w:t>Key Actions</w:t>
            </w:r>
          </w:p>
        </w:tc>
      </w:tr>
      <w:tr w:rsidR="00C349CC" w14:paraId="392F4E4E" w14:textId="77777777">
        <w:tc>
          <w:tcPr>
            <w:tcW w:w="2880" w:type="dxa"/>
          </w:tcPr>
          <w:p w14:paraId="4DB2AEA2" w14:textId="77777777" w:rsidR="00C349CC" w:rsidRDefault="00000000">
            <w:r>
              <w:t>Phase 1 — Security &amp; Compliance Logic Hardening</w:t>
            </w:r>
          </w:p>
        </w:tc>
        <w:tc>
          <w:tcPr>
            <w:tcW w:w="2880" w:type="dxa"/>
          </w:tcPr>
          <w:p w14:paraId="5AE260A8" w14:textId="77777777" w:rsidR="00C349CC" w:rsidRDefault="00000000">
            <w:r>
              <w:t>0–3 months</w:t>
            </w:r>
          </w:p>
        </w:tc>
        <w:tc>
          <w:tcPr>
            <w:tcW w:w="2880" w:type="dxa"/>
          </w:tcPr>
          <w:p w14:paraId="39A2E4C6" w14:textId="77777777" w:rsidR="00C349CC" w:rsidRDefault="00000000">
            <w:r>
              <w:t>(a) Replace unkeyed SHA-256 PII hashing with keyed HMAC-SHA256 using a secret held in a managed secrets store (e.g., AWS Secrets Manager or equivalent). (b) Implement evaluation logic for CM-006, CM-009, and CM-010 so all 10 compliance rules are actively enforced. (c) Expand the GAO validation dataset from 70 to 150+ scenarios.</w:t>
            </w:r>
          </w:p>
        </w:tc>
      </w:tr>
      <w:tr w:rsidR="00C349CC" w14:paraId="7A1A2412" w14:textId="77777777">
        <w:tc>
          <w:tcPr>
            <w:tcW w:w="2880" w:type="dxa"/>
          </w:tcPr>
          <w:p w14:paraId="66DBE006" w14:textId="77777777" w:rsidR="00C349CC" w:rsidRDefault="00000000">
            <w:r>
              <w:t>Phase 2 — Infrastructure Migration to AWS GovCloud</w:t>
            </w:r>
          </w:p>
        </w:tc>
        <w:tc>
          <w:tcPr>
            <w:tcW w:w="2880" w:type="dxa"/>
          </w:tcPr>
          <w:p w14:paraId="1C2E3048" w14:textId="77777777" w:rsidR="00C349CC" w:rsidRDefault="00000000">
            <w:r>
              <w:t>3–9 months</w:t>
            </w:r>
          </w:p>
        </w:tc>
        <w:tc>
          <w:tcPr>
            <w:tcW w:w="2880" w:type="dxa"/>
          </w:tcPr>
          <w:p w14:paraId="32FEF56D" w14:textId="77777777" w:rsidR="00C349CC" w:rsidRDefault="00000000">
            <w:r>
              <w:t xml:space="preserve">(a) Provision an AWS GovCloud (us-gov-west-1 / us-gov-east-1) environment via Infrastructure-as-Code (Terraform or CloudFormation) so the environment is reproducible and auditable. (b) Migrate PostgreSQL to AWS RDS within GovCloud, </w:t>
            </w:r>
            <w:r>
              <w:lastRenderedPageBreak/>
              <w:t>preserving existing Row-Level Security policies without functional change. (c) Migrate the containerized FastAPI backend from Railway to AWS ECS/Fargate (or EKS) within GovCloud. (d) Migrate Redis to AWS ElastiCache (GovCloud). (e) Implement AWS KMS encryption at rest for all data stores and S3-equivalent object storage. (f) Harden network architecture: VPC isolation, security group least-privilege rules, and a web application firewall (WAF) in front of all public endpoints.</w:t>
            </w:r>
          </w:p>
        </w:tc>
      </w:tr>
      <w:tr w:rsidR="00C349CC" w14:paraId="47CE8424" w14:textId="77777777">
        <w:tc>
          <w:tcPr>
            <w:tcW w:w="2880" w:type="dxa"/>
          </w:tcPr>
          <w:p w14:paraId="57E6BFB2" w14:textId="77777777" w:rsidR="00C349CC" w:rsidRDefault="00000000">
            <w:r>
              <w:lastRenderedPageBreak/>
              <w:t>Phase 3 — FedRAMP Moderate Authorization</w:t>
            </w:r>
          </w:p>
        </w:tc>
        <w:tc>
          <w:tcPr>
            <w:tcW w:w="2880" w:type="dxa"/>
          </w:tcPr>
          <w:p w14:paraId="4A5504ED" w14:textId="77777777" w:rsidR="00C349CC" w:rsidRDefault="00000000">
            <w:r>
              <w:t>9–18 months</w:t>
            </w:r>
          </w:p>
        </w:tc>
        <w:tc>
          <w:tcPr>
            <w:tcW w:w="2880" w:type="dxa"/>
          </w:tcPr>
          <w:p w14:paraId="3AAADC34" w14:textId="77777777" w:rsidR="00C349CC" w:rsidRDefault="00000000">
            <w:r>
              <w:t>(a) Engage a FedRAMP-accredited Third-Party Assessment Organization (3PAO). (b) Complete a System Security Plan (SSP) documenting the implementation of every applicable FedRAMP Moderate control. (c) Undergo the 3PAO's Security Assessment (SAR). (d) Remediate findings via a formal Plan of Action &amp; Milestones (POA&amp;M). (e) Secure a sponsoring federal agency or pursue listing via the FedRAMP Marketplace. (f) Obtain the Authority to Operate (ATO) — only at this point is "FedRAMP Moderate Compliant/Certified" an accurate claim; prior to ATO, "FedRAMP Moderate-aligned by design" is the only defensible characterization.</w:t>
            </w:r>
          </w:p>
        </w:tc>
      </w:tr>
      <w:tr w:rsidR="00C349CC" w14:paraId="7F865E5F" w14:textId="77777777">
        <w:tc>
          <w:tcPr>
            <w:tcW w:w="2880" w:type="dxa"/>
          </w:tcPr>
          <w:p w14:paraId="58B03D55" w14:textId="77777777" w:rsidR="00C349CC" w:rsidRDefault="00000000">
            <w:r>
              <w:t xml:space="preserve">Phase 4 — Continuous Monitoring &amp; Enterprise </w:t>
            </w:r>
            <w:r>
              <w:lastRenderedPageBreak/>
              <w:t>Operations</w:t>
            </w:r>
          </w:p>
        </w:tc>
        <w:tc>
          <w:tcPr>
            <w:tcW w:w="2880" w:type="dxa"/>
          </w:tcPr>
          <w:p w14:paraId="7C2DC110" w14:textId="77777777" w:rsidR="00C349CC" w:rsidRDefault="00000000">
            <w:r>
              <w:lastRenderedPageBreak/>
              <w:t>Ongoing, post-ATO</w:t>
            </w:r>
          </w:p>
        </w:tc>
        <w:tc>
          <w:tcPr>
            <w:tcW w:w="2880" w:type="dxa"/>
          </w:tcPr>
          <w:p w14:paraId="02548531" w14:textId="77777777" w:rsidR="00C349CC" w:rsidRDefault="00000000">
            <w:r>
              <w:t xml:space="preserve">(a) Implement FedRAMP-mandated continuous </w:t>
            </w:r>
            <w:r>
              <w:lastRenderedPageBreak/>
              <w:t>monitoring (monthly vulnerability scans, annual control reassessment). (b) Pursue a SOC 2 Type II audit to support commercial enterprise credibility alongside the federal ATO. (c) Implement multi-region disaster recovery / high availability. (d) Conduct load testing and validate horizontal autoscaling under realistic multi-tenant volume. (e) Commission formal third-party penetration testing on a recurring basis. (f) Add enterprise SSO/SAML identity federation alongside existing Cognito-based authentication, for agencies requiring their own identity provider integration.</w:t>
            </w:r>
          </w:p>
        </w:tc>
      </w:tr>
    </w:tbl>
    <w:p w14:paraId="60DF5DD8" w14:textId="77777777" w:rsidR="00C349CC" w:rsidRDefault="00C349CC"/>
    <w:p w14:paraId="7420177C" w14:textId="77777777" w:rsidR="00C349CC" w:rsidRDefault="00000000">
      <w:r>
        <w:rPr>
          <w:b/>
          <w:sz w:val="24"/>
        </w:rPr>
        <w:t>4. Relevance to Dhanasar Prong 2</w:t>
      </w:r>
    </w:p>
    <w:p w14:paraId="0E31DF18" w14:textId="77777777" w:rsidR="00C349CC" w:rsidRDefault="00000000">
      <w:r>
        <w:t>The ability to distinguish precisely between a security posture that is "designed to align with" a federal control framework and one that has been independently "certified" against it — and to sequence the specific, resourced, multi-phase engineering work required to move from the former to the latter — reflects the same caliber of judgment expected of a senior technical architect responsible for federal-grade systems. This roadmap is offered as evidence of that judgment, not as a claim that the target state has already been reached.</w:t>
      </w:r>
    </w:p>
    <w:sectPr w:rsidR="00C349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641695">
    <w:abstractNumId w:val="8"/>
  </w:num>
  <w:num w:numId="2" w16cid:durableId="305476810">
    <w:abstractNumId w:val="6"/>
  </w:num>
  <w:num w:numId="3" w16cid:durableId="1878397119">
    <w:abstractNumId w:val="5"/>
  </w:num>
  <w:num w:numId="4" w16cid:durableId="1016466589">
    <w:abstractNumId w:val="4"/>
  </w:num>
  <w:num w:numId="5" w16cid:durableId="375472947">
    <w:abstractNumId w:val="7"/>
  </w:num>
  <w:num w:numId="6" w16cid:durableId="880441453">
    <w:abstractNumId w:val="3"/>
  </w:num>
  <w:num w:numId="7" w16cid:durableId="594704989">
    <w:abstractNumId w:val="2"/>
  </w:num>
  <w:num w:numId="8" w16cid:durableId="302277610">
    <w:abstractNumId w:val="1"/>
  </w:num>
  <w:num w:numId="9" w16cid:durableId="1460108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4733"/>
    <w:rsid w:val="009C2B2A"/>
    <w:rsid w:val="009C7AEF"/>
    <w:rsid w:val="00AA1D8D"/>
    <w:rsid w:val="00B47730"/>
    <w:rsid w:val="00C349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28B74"/>
  <w14:defaultImageDpi w14:val="300"/>
  <w15:docId w15:val="{8B8C6EC3-2400-904A-BF4E-B0A4E813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Adeena Bilal</cp:lastModifiedBy>
  <cp:revision>2</cp:revision>
  <dcterms:created xsi:type="dcterms:W3CDTF">2013-12-23T23:15:00Z</dcterms:created>
  <dcterms:modified xsi:type="dcterms:W3CDTF">2026-07-07T03:29:00Z</dcterms:modified>
  <cp:category/>
</cp:coreProperties>
</file>