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236B"/>
          <w:sz w:val="32"/>
        </w:rPr>
        <w:t>EXHIBIT 28.G3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GovGuard™ Machine Learning Model Documentation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XGBoost Fraud Classifier | IsolationForest Anomaly Detector | XGBoost Risk Forecaster</w:t>
      </w:r>
    </w:p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This exhibit documents the three machine-learning models currently deployed within the GovGuard™ platform. Each model has been trained, serialized to a .pkl artifact, and integrated into the live API pipeline with graceful rule-based fallback. All three model files reside at govguard/backend/ml/models/ in the public GitHub repository.</w:t>
      </w:r>
    </w:p>
    <w:p>
      <w:pPr>
        <w:spacing w:before="280" w:after="80"/>
      </w:pPr>
      <w:r>
        <w:rPr>
          <w:rFonts w:ascii="Times New Roman" w:hAnsi="Times New Roman"/>
          <w:b/>
          <w:color w:val="00236B"/>
          <w:sz w:val="26"/>
        </w:rPr>
        <w:t>MODEL 1: XGBoost Fraud Classifier (fraud_classifier_v1.pkl)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Model file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govguard/backend/ml/models/fraud_classifier_v1.pkl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XGBoost — supervised binary classifier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Feature dimensions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47 (binary signal vector: 1 if rule FDE-00N triggered, 0 otherwise)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Fraud probability [0.0, 1.0] → composite_score = probability × 100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Training script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govguard/backend/ml/training/train_fraud_classifier.py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Retraining endpoint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POST /api/v2/fraud/retrain (≥ 20 labeled transactions required)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Label endpoint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POST /api/v2/fraud/label/{tx_id} — records confirmed_fraud boolean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Scoring method flag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scoring_method = 'ml_xgboost' (or 'rules_weighted_sum' if fallback)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Shadow mode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Rules score computed in parallel — agreement, delta, bias all logged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Drift monitoring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GET /api/v2/fraud/drift-report — Population Stability Index (PSI)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PSI thresholds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&lt; 0.10 = stable | 0.10–0.25 = warning | &gt; 0.25 =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Auto-promote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New model promoted if precision AND recall ≥ 0.70 post-retrain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1.1 Feature Vector and Risk Tier Mapping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 xml:space="preserve">  Input:  47-dim binary vector [FDE-001 ... FDE-047], dtype float32, shape (1,47)</w:t>
        <w:br/>
        <w:t xml:space="preserve">  Output: fraud_probability = predict_proba(X)[0, 1]</w:t>
        <w:br/>
        <w:t xml:space="preserve">  Score:  composite_score  = min(100.0, round(prob * 100, 2))</w:t>
        <w:br/>
        <w:br/>
        <w:t xml:space="preserve">  Score Range   Risk Tier   Action     Override</w:t>
        <w:br/>
        <w:t xml:space="preserve">  ──────────────────────────────────────────────────────────────────</w:t>
        <w:br/>
        <w:t xml:space="preserve">  0  – 24       LOW         APPROVE    —</w:t>
        <w:br/>
        <w:t xml:space="preserve">  25 – 49       MEDIUM      REVIEW     —</w:t>
        <w:br/>
        <w:t xml:space="preserve">  50 – 69       HIGH        HOLD       —</w:t>
        <w:br/>
        <w:t xml:space="preserve">  70 – 100      CRITICAL    BLOCK      —</w:t>
        <w:br/>
        <w:t xml:space="preserve">  Any           CRITICAL    BLOCK      FDE-005 SAM excluded (hard block)</w:t>
        <w:br/>
        <w:t xml:space="preserve">  Any           CRITICAL    BLOCK      FDE-022 OFAC sanctions (hard block)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1.2 Shadow Comparison Statistics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When the XGBoost model is active, GovGuard™ simultaneously computes the rule-based weighted sum as a shadow score. GET /api/v2/fraud/shadow-stats aggregates across up to 500 recent ML assessments and reports: agreement_rate, avg_score_delta, ml_more_aggressive_rate, ml_more_lenient_rate, and a human-readable summary string.</w:t>
      </w:r>
    </w:p>
    <w:p>
      <w:pPr>
        <w:spacing w:before="280" w:after="80"/>
      </w:pPr>
      <w:r>
        <w:rPr>
          <w:rFonts w:ascii="Times New Roman" w:hAnsi="Times New Roman"/>
          <w:b/>
          <w:color w:val="00236B"/>
          <w:sz w:val="26"/>
        </w:rPr>
        <w:t>MODEL 2: IsolationForest Anomaly Detector (anomaly_detector_v1.pkl)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Model file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govguard/backend/ml/models/anomaly_detector_v1.pkl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scikit-learn IsolationForest — unsupervised anomaly detection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Feature dimensions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20 (transaction behavioral features from current tx + 90-day history)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Contamination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0.09 — 9% of training transactions treated as anomalous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Binary output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predict() → -1 = anomaly, +1 = normal (self-calibrated at 9% boundary)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Display score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decision_function() normalized to [0.0, 1.0] for UI 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Called after 6 statistical detectors in AnomalyDetectionProcessor.detect()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CRITICAL if any statistical rule fired CRITICAL; else WARNING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Alert type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ANOMALY_ML_OUTLIER — returned in POST /api/v2/anomaly/detect/{grant_id}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Training script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govguard/backend/ml/training/train_anomaly_detector.py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2.1 20-Dimension Feature Schema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 xml:space="preserve">  Dim  Feature                  Description</w:t>
        <w:br/>
        <w:t xml:space="preserve">  ───  ───────────────────────  ─────────────────────────────────────────────────</w:t>
        <w:br/>
        <w:t xml:space="preserve">   0   log_amount               log(1 + amount) — normalizes skew</w:t>
        <w:br/>
        <w:t xml:space="preserve">   1   day_of_week              0=Mon … 6=Sun</w:t>
        <w:br/>
        <w:t xml:space="preserve">   2   day_of_month             1–31</w:t>
        <w:br/>
        <w:t xml:space="preserve">   3   month                    1–12</w:t>
        <w:br/>
        <w:t xml:space="preserve">   4   is_end_of_month          1.0 if within last 5 calendar days of month</w:t>
        <w:br/>
        <w:t xml:space="preserve">   5   is_weekend               1.0 if Saturday or Sunday</w:t>
        <w:br/>
        <w:t xml:space="preserve">   6   vendor_tx_count_30d      Vendor transactions in last 30 days</w:t>
        <w:br/>
        <w:t xml:space="preserve">   7   vendor_spend_30d_log     log(1 + vendor 30-day spend)</w:t>
        <w:br/>
        <w:t xml:space="preserve">   8   vendor_grant_share       Vendor total spend / total grant spend</w:t>
        <w:br/>
        <w:t xml:space="preserve">   9   grant_tx_count_30d       Total grant transactions in last 30 days</w:t>
        <w:br/>
        <w:t xml:space="preserve">  10   grant_weekly_spend_log   log(1 + weekly grant spend)</w:t>
        <w:br/>
        <w:t xml:space="preserve">  11   budget_utilization       Total spend / total budget (capped at 10.0)</w:t>
        <w:br/>
        <w:t xml:space="preserve">  12   category_share           Category spend / total grant spend</w:t>
        <w:br/>
        <w:t xml:space="preserve">  13   category_budget_ratio    Category spend / approved category budget</w:t>
        <w:br/>
        <w:t xml:space="preserve">  14   amount_vs_vendor_median  Current amount / median vendor invoice</w:t>
        <w:br/>
        <w:t xml:space="preserve">  15   amount_vs_grant_median   Current amount / median grant transaction</w:t>
        <w:br/>
        <w:t xml:space="preserve">  16   days_since_last_vendor   Days vendor was dormant (capped at 180)</w:t>
        <w:br/>
        <w:t xml:space="preserve">  17   is_round_amount          1.0 if amount ≥ $1,000 and divisible by $1,000</w:t>
        <w:br/>
        <w:t xml:space="preserve">  18   vendor_unique_count_30d  Distinct vendors on grant in last 30 days</w:t>
        <w:br/>
        <w:t xml:space="preserve">  19   amount_percentile        Fraction of grant history amounts ≤ current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2.2 Statistical Anomaly Detectors (Rule Layer)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IsolationForest model augments — but does not replace — six statistical anomaly detectors that run before it: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 xml:space="preserve">  Detector               Trigger Condition                         GAO Reference</w:t>
        <w:br/>
        <w:t xml:space="preserve">  ─────────────────────  ──────────────────────────────────────    ────────────────────────</w:t>
        <w:br/>
        <w:t xml:space="preserve">  SPEND_VELOCITY         Weekly spend z-score ≥ 2.0 (warn) / 3.0  Cat1-Ex3 (UI fraud)</w:t>
        <w:br/>
        <w:t xml:space="preserve">  CATEGORY_DRIFT         Category % deviates &gt; 30pp from budget    2 CFR 200.405</w:t>
        <w:br/>
        <w:t xml:space="preserve">  VENDOR_DOMINANCE       Single vendor &gt; 60% grant spend           Cat1-Ex26 (collusion)</w:t>
        <w:br/>
        <w:t xml:space="preserve">  BURNRATE_SPIKE         &gt; 40% budget consumed in 30 days          Cat4-Ex15 (HHS grants)</w:t>
        <w:br/>
        <w:t xml:space="preserve">  DORMANT_REACTIVATION   Vendor dormant 60d+ then large invoice     Cat1-Ex11 (ghost vendor)</w:t>
        <w:br/>
        <w:t xml:space="preserve">  END_OF_PERIOD          &gt; $75k in last 5 days of month            Cat1-Ex10 (DoD dups)</w:t>
        <w:br/>
        <w:t xml:space="preserve">  ML_OUTLIER             IsolationForest predict() = -1             Cat3-Ex29 (cts. monitor)</w:t>
      </w:r>
    </w:p>
    <w:p>
      <w:pPr>
        <w:spacing w:before="280" w:after="80"/>
      </w:pPr>
      <w:r>
        <w:rPr>
          <w:rFonts w:ascii="Times New Roman" w:hAnsi="Times New Roman"/>
          <w:b/>
          <w:color w:val="00236B"/>
          <w:sz w:val="26"/>
        </w:rPr>
        <w:t>MODEL 3: XGBoost Risk Forecaster (risk_forecaster_v1.pkl)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Model file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govguard/backend/ml/models/risk_forecaster_v1.pkl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XGBoost regression — predicts 30-day forward risk score [0, 100]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Feature dimensions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15 (grant-level compliance, spend, findings, and time features)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Explainability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SHAP pred_contribs — returns top 6 risk drivers with direction and magnitude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Fallback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Linear weighted sum (5 components) if model unavailable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Training script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govguard/backend/ml/training/train_risk_forecaster.py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Live endpoint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GET /api/v2/risk/predict/{grant_id}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Trend classification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IMPROVING / STABLE / DETERIORATING from compliance + burnrate slope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GAO overlap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Keyword-maps agency/CFDA to 10 documented GAO High-Risk programs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Confidence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min(1.0, history_months / 6) × 0.7 + 0.3 (increases with data maturity)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3.1 15-Dimension Feature Schema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 xml:space="preserve">  Dim  Feature                 Description</w:t>
        <w:br/>
        <w:t xml:space="preserve">  ───  ──────────────────────  ──────────────────────────────────────────────────────</w:t>
        <w:br/>
        <w:t xml:space="preserve">   0   compliance_last         Most recent compliance score (0–100)</w:t>
        <w:br/>
        <w:t xml:space="preserve">   1   compliance_slope        Linear regression slope of compliance history (per month)</w:t>
        <w:br/>
        <w:t xml:space="preserve">   2   compliance_volatility   Standard deviation of compliance history</w:t>
        <w:br/>
        <w:t xml:space="preserve">   3   spend_last              Most recent monthly spend / total budget (0–1)</w:t>
        <w:br/>
        <w:t xml:space="preserve">   4   spend_slope             Linear regression slope of monthly spend fraction</w:t>
        <w:br/>
        <w:t xml:space="preserve">   5   spend_acceleration      Slope of last 3 months minus slope of first 3 months</w:t>
        <w:br/>
        <w:t xml:space="preserve">   6   open_findings           Count of open audit findings</w:t>
        <w:br/>
        <w:t xml:space="preserve">   7   open_caps               Count of open Corrective Action Plans</w:t>
        <w:br/>
        <w:t xml:space="preserve">   8   overdue_caps            Count of CAPs past due date</w:t>
        <w:br/>
        <w:t xml:space="preserve">   9   days_to_end_norm        Days to period end / 365 (normalized 0–1)</w:t>
        <w:br/>
        <w:t xml:space="preserve">  10   vendor_network_risk     Entity graph network risk score (0–100)</w:t>
        <w:br/>
        <w:t xml:space="preserve">  11   gao_overlap_count       Number of matching GAO High-Risk program keywords</w:t>
        <w:br/>
        <w:t xml:space="preserve">  12   burnrate_pct            Budget consumed in last 30 days as fraction (capped 3.0)</w:t>
        <w:br/>
        <w:t xml:space="preserve">  13   period_end_pressure     Binary: 1.0 if within 30 days of period end</w:t>
        <w:br/>
        <w:t xml:space="preserve">  14   findings_density        open_findings / months_active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3.2 SHAP Driver Output (Example API Response)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{</w:t>
        <w:br/>
        <w:t xml:space="preserve">  "grant_id":             "3f8a1c2e-...",</w:t>
        <w:br/>
        <w:t xml:space="preserve">  "predicted_risk_score": 68.4,</w:t>
        <w:br/>
        <w:t xml:space="preserve">  "current_risk_score":   52.1,</w:t>
        <w:br/>
        <w:t xml:space="preserve">  "trend":                "DETERIORATING",</w:t>
        <w:br/>
        <w:t xml:space="preserve">  "confidence":           0.82,</w:t>
        <w:br/>
        <w:t xml:space="preserve">  "prediction_method":    "ml_xgboost",</w:t>
        <w:br/>
        <w:t xml:space="preserve">  "risk_drivers": [</w:t>
        <w:br/>
        <w:t xml:space="preserve">    {"factor":"overdue_caps",        "contribution":+18.2, "direction":"increasing_risk"},</w:t>
        <w:br/>
        <w:t xml:space="preserve">    {"factor":"compliance_slope",    "contribution":-12.4, "direction":"reducing_risk"},</w:t>
        <w:br/>
        <w:t xml:space="preserve">    {"factor":"vendor_network_risk", "contribution":+9.7,  "direction":"increasing_risk"},</w:t>
        <w:br/>
        <w:t xml:space="preserve">    {"factor":"burnrate_pct",        "contribution":+7.3,  "direction":"increasing_risk"},</w:t>
        <w:br/>
        <w:t xml:space="preserve">    {"factor":"open_findings",       "contribution":+5.8,  "direction":"increasing_risk"},</w:t>
        <w:br/>
        <w:t xml:space="preserve">    {"factor":"period_end_pressure", "contribution":+3.2,  "direction":"increasing_risk"}</w:t>
        <w:br/>
        <w:t xml:space="preserve">  ],</w:t>
        <w:br/>
        <w:t xml:space="preserve">  "recommended_actions": [</w:t>
        <w:br/>
        <w:t xml:space="preserve">    "Close 2 overdue CAP(s) before period end",</w:t>
        <w:br/>
        <w:t xml:space="preserve">    "Review vendor entity graph for conflict-of-interest links"</w:t>
        <w:br/>
        <w:t xml:space="preserve">  ],</w:t>
        <w:br/>
        <w:t xml:space="preserve">  "gao_high_risk_overlap": ["Medicaid — $50B+/year improper payments"],</w:t>
        <w:br/>
        <w:t xml:space="preserve">  "prediction_horizon_days": 30,</w:t>
        <w:br/>
        <w:t xml:space="preserve">  "version": "v2"</w:t>
        <w:br/>
        <w:t>}</w:t>
      </w:r>
    </w:p>
    <w:p>
      <w:pPr>
        <w:spacing w:before="280" w:after="80"/>
      </w:pPr>
      <w:r>
        <w:rPr>
          <w:rFonts w:ascii="Times New Roman" w:hAnsi="Times New Roman"/>
          <w:b/>
          <w:color w:val="00236B"/>
          <w:sz w:val="26"/>
        </w:rPr>
        <w:t>4. Model Feedback Loop and Continuous Improvement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b/>
          <w:sz w:val="24"/>
        </w:rPr>
        <w:t xml:space="preserve">Classifier: </w:t>
      </w:r>
      <w:r>
        <w:rPr>
          <w:rFonts w:ascii="Times New Roman" w:hAnsi="Times New Roman"/>
          <w:sz w:val="24"/>
        </w:rPr>
        <w:t>Fraud Classifier retraining: Analysts label outcomes via POST /api/v2/fraud/label/{tx_id}. POST /api/v2/fraud/retrain trains on labeled rows; if precision AND recall &gt;= 0.70 the new model auto-promotes to production.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b/>
          <w:sz w:val="24"/>
        </w:rPr>
        <w:t xml:space="preserve">Drift: </w:t>
      </w:r>
      <w:r>
        <w:rPr>
          <w:rFonts w:ascii="Times New Roman" w:hAnsi="Times New Roman"/>
          <w:sz w:val="24"/>
        </w:rPr>
        <w:t>Drift detection: GET /api/v2/fraud/drift-report computes PSI across 10-bucket score histogram. Laplace smoothing (0.5/n per bucket) prevents log(0). PSI &lt; 0.10 stable; 0.10-0.25 warning; &gt; 0.25 critical (retrain immediately).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b/>
          <w:sz w:val="24"/>
        </w:rPr>
        <w:t xml:space="preserve">Shadow: </w:t>
      </w:r>
      <w:r>
        <w:rPr>
          <w:rFonts w:ascii="Times New Roman" w:hAnsi="Times New Roman"/>
          <w:sz w:val="24"/>
        </w:rPr>
        <w:t>Shadow statistics: GET /api/v2/fraud/shadow-stats computes agreement_rate, avg_delta, ml_more_aggressive_rate, and ml_more_lenient_rate across the last N days of assessments with no labeled data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