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236B"/>
          <w:sz w:val="32"/>
        </w:rPr>
        <w:t>EXHIBIT 28.G5</w:t>
      </w:r>
    </w:p>
    <w:p>
      <w:pPr>
        <w:jc w:val="center"/>
      </w:pPr>
      <w:r>
        <w:rPr>
          <w:rFonts w:ascii="Times New Roman" w:hAnsi="Times New Roman"/>
          <w:b/>
          <w:sz w:val="28"/>
        </w:rPr>
        <w:t>GovGuard™ Frontend Interface</w:t>
      </w:r>
    </w:p>
    <w:p>
      <w:pPr>
        <w:jc w:val="center"/>
      </w:pPr>
      <w:r>
        <w:rPr>
          <w:rFonts w:ascii="Times New Roman" w:hAnsi="Times New Roman"/>
          <w:i/>
          <w:sz w:val="22"/>
        </w:rPr>
        <w:t>Dashboard, Grant Compliance, Fraud Screening, and Audit Management Views</w:t>
      </w:r>
    </w:p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This exhibit presents the GovGuard™ frontend user interface, a Next.js 14 application built with React 18, TypeScript, Tailwind CSS, SWR data-fetching, and Zustand state management. The application has been compiled to a production build (.next/ artifact) confirming deployment readiness. The screenshots below document each major interface section.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1. Authentication — Login Screen</w:t>
      </w:r>
    </w:p>
    <w:p>
      <w:pPr>
        <w:spacing w:before="160" w:after="80"/>
        <w:jc w:val="center"/>
      </w:pPr>
      <w:r>
        <w:rPr>
          <w:rFonts w:ascii="Courier New" w:hAnsi="Courier New"/>
          <w:color w:val="222299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║</w:t>
        <w:br/>
        <w:t>║                   [ SCREENSHOT PLACEHOLDER ]                   ║</w:t>
        <w:br/>
        <w:t>║                       SCREENSHOT: /login                       ║</w:t>
        <w:br/>
        <w:t>║ Auth0-integrated login page with GovGuard™ branding, email/pas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240"/>
        <w:jc w:val="center"/>
      </w:pPr>
      <w:r>
        <w:rPr>
          <w:rFonts w:ascii="Times New Roman" w:hAnsi="Times New Roman"/>
          <w:i/>
          <w:color w:val="444444"/>
          <w:sz w:val="20"/>
        </w:rPr>
        <w:t>Figure: Login Screen — Auth0 / AWS Cognito authentication with MFA enforcement (govguard/frontend/app/(auth)/login/page.tsx)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2. Executive Dashboard (/dashboard)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The dashboard is the primary command center for oversight personnel. It displays real-time KPI tiles, a risk leaderboard ranking all active grants by compliance score, and an alert triage panel populated via live SWR polling. Key data sources: GET /api/v1/dashboard/kpis, GET /api/v1/dashboard/alerts.</w:t>
      </w:r>
    </w:p>
    <w:p>
      <w:pPr>
        <w:spacing w:before="160" w:after="80"/>
        <w:jc w:val="center"/>
      </w:pPr>
      <w:r>
        <w:rPr>
          <w:rFonts w:ascii="Courier New" w:hAnsi="Courier New"/>
          <w:color w:val="222299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║</w:t>
        <w:br/>
        <w:t>║                   [ SCREENSHOT PLACEHOLDER ]                   ║</w:t>
        <w:br/>
        <w:t>║          SCREENSHOT: /dashboard — Full Dashboard View          ║</w:t>
        <w:br/>
        <w:t>║ KPI tiles (improper payment rate, compliance score, open findi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240"/>
        <w:jc w:val="center"/>
      </w:pPr>
      <w:r>
        <w:rPr>
          <w:rFonts w:ascii="Times New Roman" w:hAnsi="Times New Roman"/>
          <w:i/>
          <w:color w:val="444444"/>
          <w:sz w:val="20"/>
        </w:rPr>
        <w:t>Figure: Executive Dashboard — KPI tiles, Risk Leaderboard (worst-first), and Alert Triage queue (govguard/frontend/components/dashboard/DashboardContent.tsx)</w:t>
      </w:r>
    </w:p>
    <w:p>
      <w:pPr>
        <w:spacing w:before="160" w:after="80"/>
        <w:jc w:val="center"/>
      </w:pPr>
      <w:r>
        <w:rPr>
          <w:rFonts w:ascii="Courier New" w:hAnsi="Courier New"/>
          <w:color w:val="222299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║</w:t>
        <w:br/>
        <w:t>║                   [ SCREENSHOT PLACEHOLDER ]                   ║</w:t>
        <w:br/>
        <w:t>║            SCREENSHOT: /dashboard — KPI Tile Detail            ║</w:t>
        <w:br/>
        <w:t>║ Close-up of 4 KPI tiles: Improper Payment Rate %, Avg Complian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240"/>
        <w:jc w:val="center"/>
      </w:pPr>
      <w:r>
        <w:rPr>
          <w:rFonts w:ascii="Times New Roman" w:hAnsi="Times New Roman"/>
          <w:i/>
          <w:color w:val="444444"/>
          <w:sz w:val="20"/>
        </w:rPr>
        <w:t>Figure: KPI Tile Detail — Each tile shows current value, period-over-period trend arrow, and severity color coding (govguard/frontend/components/dashboard/KPITile.tsx)</w:t>
      </w:r>
    </w:p>
    <w:p>
      <w:pPr>
        <w:spacing w:before="160" w:after="80"/>
        <w:jc w:val="center"/>
      </w:pPr>
      <w:r>
        <w:rPr>
          <w:rFonts w:ascii="Courier New" w:hAnsi="Courier New"/>
          <w:color w:val="222299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║</w:t>
        <w:br/>
        <w:t>║                   [ SCREENSHOT PLACEHOLDER ]                   ║</w:t>
        <w:br/>
        <w:t>║           SCREENSHOT: /dashboard — Risk Leaderboard            ║</w:t>
        <w:br/>
        <w:t>║ Table: Grant ID | Agency | Award Number | Compliance Score | R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240"/>
        <w:jc w:val="center"/>
      </w:pPr>
      <w:r>
        <w:rPr>
          <w:rFonts w:ascii="Times New Roman" w:hAnsi="Times New Roman"/>
          <w:i/>
          <w:color w:val="444444"/>
          <w:sz w:val="20"/>
        </w:rPr>
        <w:t>Figure: Risk Leaderboard — Active grants ranked by compliance score ascending; red/amber/green risk score badges (govguard/frontend/components/dashboard/RiskLeaderboard.tsx)</w:t>
      </w:r>
    </w:p>
    <w:p>
      <w:pPr>
        <w:spacing w:before="160" w:after="80"/>
        <w:jc w:val="center"/>
      </w:pPr>
      <w:r>
        <w:rPr>
          <w:rFonts w:ascii="Courier New" w:hAnsi="Courier New"/>
          <w:color w:val="222299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║</w:t>
        <w:br/>
        <w:t>║                   [ SCREENSHOT PLACEHOLDER ]                   ║</w:t>
        <w:br/>
        <w:t>║          SCREENSHOT: /dashboard — Alert Triage Panel           ║</w:t>
        <w:br/>
        <w:t>║ List of recent high-risk transaction alerts with type, severit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240"/>
        <w:jc w:val="center"/>
      </w:pPr>
      <w:r>
        <w:rPr>
          <w:rFonts w:ascii="Times New Roman" w:hAnsi="Times New Roman"/>
          <w:i/>
          <w:color w:val="444444"/>
          <w:sz w:val="20"/>
        </w:rPr>
        <w:t>Figure: Alert Triage Panel — Live-polled fraud and anomaly alerts with CRITICAL/HIGH/MEDIUM severity badges (govguard/frontend/components/dashboard/AlertTriage.tsx)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3. Grant Portfolio (/grants)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The grants portfolio page lists all grants for the authenticated tenant, with award number, agency, CFDA code, period dates, total amount, status badge, and compliance score ring.</w:t>
      </w:r>
    </w:p>
    <w:p>
      <w:pPr>
        <w:spacing w:before="160" w:after="80"/>
        <w:jc w:val="center"/>
      </w:pPr>
      <w:r>
        <w:rPr>
          <w:rFonts w:ascii="Courier New" w:hAnsi="Courier New"/>
          <w:color w:val="222299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║</w:t>
        <w:br/>
        <w:t>║                   [ SCREENSHOT PLACEHOLDER ]                   ║</w:t>
        <w:br/>
        <w:t>║              SCREENSHOT: /grants — Portfolio List              ║</w:t>
        <w:br/>
        <w:t>║ Table: Award Number | Agency | CFDA | Period Start/End | Total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240"/>
        <w:jc w:val="center"/>
      </w:pPr>
      <w:r>
        <w:rPr>
          <w:rFonts w:ascii="Times New Roman" w:hAnsi="Times New Roman"/>
          <w:i/>
          <w:color w:val="444444"/>
          <w:sz w:val="20"/>
        </w:rPr>
        <w:t>Figure: Grant Portfolio — All active grants with compliance score rings; clicking any row navigates to grant detail (govguard/backend/modules/grants/router.py → GET /api/v1/grants)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4. Grant Compliance View (/grants/[id]/compliance)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The per-grant compliance interface provides a compliance score ring, a control accordion listing all 10 CFR-mapped controls with pass/fail/not_tested status, evidence attachment buttons, and remediation note fields. Data source: GET /api/v1/compliance/controls.</w:t>
      </w:r>
    </w:p>
    <w:p>
      <w:pPr>
        <w:spacing w:before="160" w:after="80"/>
        <w:jc w:val="center"/>
      </w:pPr>
      <w:r>
        <w:rPr>
          <w:rFonts w:ascii="Courier New" w:hAnsi="Courier New"/>
          <w:color w:val="222299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║</w:t>
        <w:br/>
        <w:t>║                   [ SCREENSHOT PLACEHOLDER ]                   ║</w:t>
        <w:br/>
        <w:t>║   SCREENSHOT: /grants/[id]/compliance — Full Compliance View   ║</w:t>
        <w:br/>
        <w:t>║ Compliance score ring (e.g., 73/100) + Control accordion with 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240"/>
        <w:jc w:val="center"/>
      </w:pPr>
      <w:r>
        <w:rPr>
          <w:rFonts w:ascii="Times New Roman" w:hAnsi="Times New Roman"/>
          <w:i/>
          <w:color w:val="444444"/>
          <w:sz w:val="20"/>
        </w:rPr>
        <w:t>Figure: Compliance Score Ring and Control Accordion — Score ring with color gradient; controls grouped by CFR section; each control expandable to show evidence and remediation notes (govguard/frontend/components/compliance/)</w:t>
      </w:r>
    </w:p>
    <w:p>
      <w:pPr>
        <w:spacing w:before="160" w:after="80"/>
        <w:jc w:val="center"/>
      </w:pPr>
      <w:r>
        <w:rPr>
          <w:rFonts w:ascii="Courier New" w:hAnsi="Courier New"/>
          <w:color w:val="222299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║</w:t>
        <w:br/>
        <w:t>║                   [ SCREENSHOT PLACEHOLDER ]                   ║</w:t>
        <w:br/>
        <w:t>║      SCREENSHOT: Compliance Control Detail — Expanded Row      ║</w:t>
        <w:br/>
        <w:t>║ Single expanded control showing: CFR clause, GAO reference, st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240"/>
        <w:jc w:val="center"/>
      </w:pPr>
      <w:r>
        <w:rPr>
          <w:rFonts w:ascii="Times New Roman" w:hAnsi="Times New Roman"/>
          <w:i/>
          <w:color w:val="444444"/>
          <w:sz w:val="20"/>
        </w:rPr>
        <w:t>Figure: Control Detail — Individual compliance control with full 2 CFR citation, GAO reference, evidence attachment (S3-backed), and structured remediation note field (govguard/frontend/components/compliance/ControlAccordion.tsx)</w:t>
      </w:r>
    </w:p>
    <w:p>
      <w:pPr>
        <w:spacing w:before="160" w:after="80"/>
        <w:jc w:val="center"/>
      </w:pPr>
      <w:r>
        <w:rPr>
          <w:rFonts w:ascii="Courier New" w:hAnsi="Courier New"/>
          <w:color w:val="222299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║</w:t>
        <w:br/>
        <w:t>║                   [ SCREENSHOT PLACEHOLDER ]                   ║</w:t>
        <w:br/>
        <w:t>║           SCREENSHOT: ComplianceScoreRing Component            ║</w:t>
        <w:br/>
        <w:t>║ Circular progress ring: green 75-100, amber 50-74, red 0-49. S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240"/>
        <w:jc w:val="center"/>
      </w:pPr>
      <w:r>
        <w:rPr>
          <w:rFonts w:ascii="Times New Roman" w:hAnsi="Times New Roman"/>
          <w:i/>
          <w:color w:val="444444"/>
          <w:sz w:val="20"/>
        </w:rPr>
        <w:t>Figure: Compliance Score Ring — Color-coded circular gauge showing compliance score; used on both grant cards and the full compliance page (govguard/frontend/components/compliance/ComplianceScoreRing.tsx)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5. Pre-Award Fraud Screening (/fraud/pre-award)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The pre-award screening interface allows grant officers to submit a prospective grantee or vendor for pre-award risk scoring before disbursement. The form accepts entity details and returns a fraud risk score, triggered rules, and recommended action.</w:t>
      </w:r>
    </w:p>
    <w:p>
      <w:pPr>
        <w:spacing w:before="160" w:after="80"/>
        <w:jc w:val="center"/>
      </w:pPr>
      <w:r>
        <w:rPr>
          <w:rFonts w:ascii="Courier New" w:hAnsi="Courier New"/>
          <w:color w:val="222299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║</w:t>
        <w:br/>
        <w:t>║                   [ SCREENSHOT PLACEHOLDER ]                   ║</w:t>
        <w:br/>
        <w:t>║         SCREENSHOT: /fraud/pre-award — Screening Form          ║</w:t>
        <w:br/>
        <w:t>║ Entity name, EIN, SAM status, amount requested, agency fields.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240"/>
        <w:jc w:val="center"/>
      </w:pPr>
      <w:r>
        <w:rPr>
          <w:rFonts w:ascii="Times New Roman" w:hAnsi="Times New Roman"/>
          <w:i/>
          <w:color w:val="444444"/>
          <w:sz w:val="20"/>
        </w:rPr>
        <w:t>Figure: Pre-Award Screening — Prospective grantee risk assessment before award; results include risk score, triggered rule IDs with descriptions, and recommended action (govguard/backend/modules/pre_award/router.py)</w:t>
      </w:r>
    </w:p>
    <w:p>
      <w:pPr>
        <w:spacing w:before="160" w:after="80"/>
        <w:jc w:val="center"/>
      </w:pPr>
      <w:r>
        <w:rPr>
          <w:rFonts w:ascii="Courier New" w:hAnsi="Courier New"/>
          <w:color w:val="222299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║</w:t>
        <w:br/>
        <w:t>║                   [ SCREENSHOT PLACEHOLDER ]                   ║</w:t>
        <w:br/>
        <w:t>║            SCREENSHOT: Pre-Award Result — HIGH Risk            ║</w:t>
        <w:br/>
        <w:t>║ Risk tier badge (HIGH - HOLD), composite score 61/100, list of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240"/>
        <w:jc w:val="center"/>
      </w:pPr>
      <w:r>
        <w:rPr>
          <w:rFonts w:ascii="Times New Roman" w:hAnsi="Times New Roman"/>
          <w:i/>
          <w:color w:val="444444"/>
          <w:sz w:val="20"/>
        </w:rPr>
        <w:t>Figure: Pre-Award HIGH Risk Result — Example showing triggered FDE-005 (SAM exclusion) forcing BLOCK action with full GAO citation and remediation guidance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6. Transaction Risk Score Badges</w:t>
      </w:r>
    </w:p>
    <w:p>
      <w:pPr>
        <w:spacing w:before="160" w:after="80"/>
        <w:jc w:val="center"/>
      </w:pPr>
      <w:r>
        <w:rPr>
          <w:rFonts w:ascii="Courier New" w:hAnsi="Courier New"/>
          <w:color w:val="222299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║</w:t>
        <w:br/>
        <w:t>║                   [ SCREENSHOT PLACEHOLDER ]                   ║</w:t>
        <w:br/>
        <w:t>║      SCREENSHOT: Transaction List with Risk Score Badges       ║</w:t>
        <w:br/>
        <w:t>║ Transaction table showing risk score badges: green APPROVE, ye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240"/>
        <w:jc w:val="center"/>
      </w:pPr>
      <w:r>
        <w:rPr>
          <w:rFonts w:ascii="Times New Roman" w:hAnsi="Times New Roman"/>
          <w:i/>
          <w:color w:val="444444"/>
          <w:sz w:val="20"/>
        </w:rPr>
        <w:t>Figure: Transaction Risk Score Badges — Color-coded risk tier badges on all transaction rows; clicking badge navigates to full fraud assessment detail (govguard/frontend/components/transactions/RiskScoreBadge.tsx)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7. Role Guard — Access Control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The RoleGuard component enforces role-based access control in the frontend, blocking rendering of sensitive UI components for users without the required role.</w:t>
      </w:r>
    </w:p>
    <w:p>
      <w:pPr>
        <w:spacing w:before="160" w:after="80"/>
        <w:jc w:val="center"/>
      </w:pPr>
      <w:r>
        <w:rPr>
          <w:rFonts w:ascii="Courier New" w:hAnsi="Courier New"/>
          <w:color w:val="222299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║</w:t>
        <w:br/>
        <w:t>║                   [ SCREENSHOT PLACEHOLDER ]                   ║</w:t>
        <w:br/>
        <w:t>║          SCREENSHOT: Role Guard — Unauthorized State           ║</w:t>
        <w:br/>
        <w:t>║ Grayed-out component with 'Insufficient permissions' overlay, 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240"/>
        <w:jc w:val="center"/>
      </w:pPr>
      <w:r>
        <w:rPr>
          <w:rFonts w:ascii="Times New Roman" w:hAnsi="Times New Roman"/>
          <w:i/>
          <w:color w:val="444444"/>
          <w:sz w:val="20"/>
        </w:rPr>
        <w:t>Figure: RoleGuard Component — Frontend RBAC enforcement; wraps any component requiring specific roles (govguard/frontend/components/shared/RoleGuard.tsx)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