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928"/>
            <w:shd w:val="clear" w:color="auto" w:fill="00275A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GOVGUARD™  ·  EXHIBIT 28.G6</w:t>
            </w:r>
          </w:p>
          <w:p>
            <w:pPr>
              <w:spacing w:before="40" w:after="160"/>
              <w:jc w:val="center"/>
            </w:pPr>
            <w:r>
              <w:rPr>
                <w:rFonts w:ascii="Calibri" w:hAnsi="Calibri"/>
                <w:color w:val="B0CCFF"/>
                <w:sz w:val="22"/>
              </w:rPr>
              <w:t>Source Code &amp; Algorithmic Architecture — Technical Authorship Evidence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168"/>
            <w:shd w:val="clear" w:color="auto" w:fill="E8F0FE"/>
          </w:tcPr>
          <w:p>
            <w:r>
              <w:rPr>
                <w:rFonts w:ascii="Calibri" w:hAnsi="Calibri"/>
                <w:b/>
                <w:color w:val="00275A"/>
                <w:sz w:val="19"/>
              </w:rPr>
              <w:t>Petitioner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19"/>
              </w:rPr>
              <w:t>Muhammad Bilal, FCA, FCCA, CFA</w:t>
            </w:r>
          </w:p>
        </w:tc>
      </w:tr>
      <w:tr>
        <w:tc>
          <w:tcPr>
            <w:tcW w:type="dxa" w:w="3168"/>
            <w:shd w:val="clear" w:color="auto" w:fill="E8F0FE"/>
          </w:tcPr>
          <w:p>
            <w:r>
              <w:rPr>
                <w:rFonts w:ascii="Calibri" w:hAnsi="Calibri"/>
                <w:b/>
                <w:color w:val="00275A"/>
                <w:sz w:val="19"/>
              </w:rPr>
              <w:t>Attorney of Record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19"/>
              </w:rPr>
              <w:t>[Attorney Name] — [Bar No.]</w:t>
            </w:r>
          </w:p>
        </w:tc>
      </w:tr>
      <w:tr>
        <w:tc>
          <w:tcPr>
            <w:tcW w:type="dxa" w:w="3168"/>
            <w:shd w:val="clear" w:color="auto" w:fill="E8F0FE"/>
          </w:tcPr>
          <w:p>
            <w:r>
              <w:rPr>
                <w:rFonts w:ascii="Calibri" w:hAnsi="Calibri"/>
                <w:b/>
                <w:color w:val="00275A"/>
                <w:sz w:val="19"/>
              </w:rPr>
              <w:t>Platform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19"/>
              </w:rPr>
              <w:t>GovGuard™ — Federal Grant Compliance &amp; Fraud Detection SaaS</w:t>
            </w:r>
          </w:p>
        </w:tc>
      </w:tr>
      <w:tr>
        <w:tc>
          <w:tcPr>
            <w:tcW w:type="dxa" w:w="3168"/>
            <w:shd w:val="clear" w:color="auto" w:fill="E8F0FE"/>
          </w:tcPr>
          <w:p>
            <w:r>
              <w:rPr>
                <w:rFonts w:ascii="Calibri" w:hAnsi="Calibri"/>
                <w:b/>
                <w:color w:val="00275A"/>
                <w:sz w:val="19"/>
              </w:rPr>
              <w:t>Exhibit Reference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19"/>
              </w:rPr>
              <w:t>28.G6 (Sub-Exhibit to Exhibit 28)</w:t>
            </w:r>
          </w:p>
        </w:tc>
      </w:tr>
      <w:tr>
        <w:tc>
          <w:tcPr>
            <w:tcW w:type="dxa" w:w="3168"/>
            <w:shd w:val="clear" w:color="auto" w:fill="E8F0FE"/>
          </w:tcPr>
          <w:p>
            <w:r>
              <w:rPr>
                <w:rFonts w:ascii="Calibri" w:hAnsi="Calibri"/>
                <w:b/>
                <w:color w:val="00275A"/>
                <w:sz w:val="19"/>
              </w:rPr>
              <w:t>Purpose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19"/>
              </w:rPr>
              <w:t>Dhanasar Prong 2 — Demonstrating Technical Authorship &amp; Advanced AI/ML Expertise</w:t>
            </w:r>
          </w:p>
        </w:tc>
      </w:tr>
      <w:tr>
        <w:tc>
          <w:tcPr>
            <w:tcW w:type="dxa" w:w="3168"/>
            <w:shd w:val="clear" w:color="auto" w:fill="E8F0FE"/>
          </w:tcPr>
          <w:p>
            <w:r>
              <w:rPr>
                <w:rFonts w:ascii="Calibri" w:hAnsi="Calibri"/>
                <w:b/>
                <w:color w:val="00275A"/>
                <w:sz w:val="19"/>
              </w:rPr>
              <w:t>Source Repository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19"/>
              </w:rPr>
              <w:t>Private GitHub — govguard/backend/ (available for attorney review)</w:t>
            </w:r>
          </w:p>
        </w:tc>
      </w:tr>
      <w:tr>
        <w:tc>
          <w:tcPr>
            <w:tcW w:type="dxa" w:w="3168"/>
            <w:shd w:val="clear" w:color="auto" w:fill="E8F0FE"/>
          </w:tcPr>
          <w:p>
            <w:r>
              <w:rPr>
                <w:rFonts w:ascii="Calibri" w:hAnsi="Calibri"/>
                <w:b/>
                <w:color w:val="00275A"/>
                <w:sz w:val="19"/>
              </w:rPr>
              <w:t>Document Date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19"/>
              </w:rPr>
              <w:t>June 2026</w:t>
            </w:r>
          </w:p>
        </w:tc>
      </w:tr>
    </w:tbl>
    <w:p>
      <w:pPr>
        <w:spacing w:after="120"/>
      </w:pPr>
    </w:p>
    <w:p>
      <w:pPr>
        <w:spacing w:before="160" w:after="160"/>
        <w:ind w:left="288"/>
        <w:pBdr>
          <w:left w:val="single" w:sz="32" w:space="8" w:color="C9A02A"/>
        </w:pBdr>
      </w:pPr>
      <w:r>
        <w:rPr>
          <w:rFonts w:ascii="Calibri" w:hAnsi="Calibri"/>
          <w:b/>
          <w:i/>
          <w:color w:val="7A5C00"/>
          <w:sz w:val="20"/>
        </w:rPr>
        <w:t>DHANASAR PRONG 2 RELEVANCE: This exhibit proves that petitioner personally designed, authored, and implemented a novel hybrid AI/ML fraud detection engine — establishing the 'well-positioned to advance the endeavor' prong of the Matter of Dhanasar (AAO 2016) three-prong framework through direct technical evidence.</w:t>
      </w:r>
    </w:p>
    <w:p>
      <w:pPr>
        <w:spacing w:before="360" w:after="80"/>
        <w:pBdr>
          <w:bottom w:val="single" w:sz="8" w:space="1" w:color="00275A"/>
        </w:pBdr>
      </w:pPr>
      <w:r>
        <w:rPr>
          <w:rFonts w:ascii="Calibri" w:hAnsi="Calibri"/>
          <w:b/>
          <w:color w:val="00275A"/>
          <w:sz w:val="30"/>
        </w:rPr>
        <w:t>1.  SYSTEM ARCHITECTURE OVERVIEW</w:t>
      </w:r>
    </w:p>
    <w:p>
      <w:pPr>
        <w:spacing w:before="40" w:after="120"/>
      </w:pPr>
      <w:r>
        <w:t>GovGuard™ is a multi-layered federal grant compliance and fraud detection SaaS platform built on FastAPI (Python 3.12), PostgreSQL 17 with Row-Level Security, Next.js 14 / React 18 (TypeScript), Celery + Redis, OpenSearch 2.x, and Auth0 JWT RS256 authentication, currently deployed on Railway (backend) and Vercel (frontend), architected for migration to AWS GovCloud (Exhibit 28.G11). The core fraud-scoring pipeline integrates three independently authored algorithmic subsystems that petitioner designed and implemented from first principles: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sz w:val="20"/>
        </w:rPr>
        <w:t>Rule-Based Fraud Detection Engine (47 GAO-aligned rules, FDE-001 through FDE-047)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sz w:val="20"/>
        </w:rPr>
        <w:t>Statistical Anomaly Detection Processor (Z-score + 6 behavioral detectors)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sz w:val="20"/>
        </w:rPr>
        <w:t>Cross-Entity Intelligence Graph (BFS network traversal, shared-signal linking)</w:t>
      </w:r>
    </w:p>
    <w:p>
      <w:pPr>
        <w:spacing w:before="40" w:after="120"/>
      </w:pPr>
      <w:r>
        <w:rPr>
          <w:rFonts w:ascii="Calibri" w:hAnsi="Calibri"/>
          <w:color w:val="1A1A2E"/>
          <w:sz w:val="21"/>
        </w:rPr>
        <w:t>These three layers feed into three ML models: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sz w:val="20"/>
        </w:rPr>
        <w:t>XGBoost Supervised Fraud Classifier (47-dimensional binary rule-signal feature vector)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sz w:val="20"/>
        </w:rPr>
        <w:t>IsolationForest Unsupervised Anomaly Detector (20-feature transaction representation)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sz w:val="20"/>
        </w:rPr>
        <w:t>XGBoost Risk Forecaster with SHAP Explainability (15-feature grant-state prediction)</w:t>
      </w:r>
    </w:p>
    <w:p>
      <w:pPr>
        <w:spacing w:before="240" w:after="60"/>
      </w:pPr>
      <w:r>
        <w:rPr>
          <w:rFonts w:ascii="Calibri" w:hAnsi="Calibri"/>
          <w:b/>
          <w:color w:val="0070C0"/>
          <w:sz w:val="24"/>
        </w:rPr>
        <w:t>Composite Grant Risk Score (CGRS) Formula</w:t>
      </w:r>
    </w:p>
    <w:p>
      <w:pPr>
        <w:spacing w:before="40" w:after="120"/>
      </w:pPr>
      <w:r>
        <w:rPr>
          <w:rFonts w:ascii="Calibri" w:hAnsi="Calibri"/>
          <w:color w:val="1A1A2E"/>
          <w:sz w:val="21"/>
        </w:rPr>
        <w:t>The petitioner authored the following composite scoring formula, which integrates all three detection layers into a single actionable risk score per transaction: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352"/>
            <w:shd w:val="clear" w:color="auto" w:fill="F0F4F8"/>
          </w:tcPr>
          <w:p>
            <w:pPr>
              <w:spacing w:before="80" w:after="80"/>
              <w:ind w:left="115"/>
            </w:pPr>
            <w:r>
              <w:rPr>
                <w:rFonts w:ascii="Courier New" w:hAnsi="Courier New"/>
                <w:color w:val="1E3A5F"/>
                <w:sz w:val="17"/>
              </w:rPr>
              <w:t># ml/risk_scorer.py — authored by Muhammad Bilal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>CGRS = (Rules_Score × 0.45) + (ML_Score × 0.35) + (Graph_Score × 0.20)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># Component definitions:</w:t>
            </w:r>
            <w:r>
              <w:rPr>
                <w:rFonts w:ascii="Courier New" w:hAnsi="Courier New"/>
                <w:color w:val="1E3A5F"/>
                <w:sz w:val="17"/>
              </w:rPr>
              <w:br/>
              <w:t>#   Rules_Score  — weighted sum of triggered FDE rules (0–100)</w:t>
            </w:r>
            <w:r>
              <w:rPr>
                <w:rFonts w:ascii="Courier New" w:hAnsi="Courier New"/>
                <w:color w:val="1E3A5F"/>
                <w:sz w:val="17"/>
              </w:rPr>
              <w:br/>
              <w:t>#   ML_Score     — XGBoost fraud probability × 100 (0–100)</w:t>
            </w:r>
            <w:r>
              <w:rPr>
                <w:rFonts w:ascii="Courier New" w:hAnsi="Courier New"/>
                <w:color w:val="1E3A5F"/>
                <w:sz w:val="17"/>
              </w:rPr>
              <w:br/>
              <w:t>#   Graph_Score  — entity network risk score from BFS traversal (0–100)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># Risk tier thresholds:</w:t>
            </w:r>
            <w:r>
              <w:rPr>
                <w:rFonts w:ascii="Courier New" w:hAnsi="Courier New"/>
                <w:color w:val="1E3A5F"/>
                <w:sz w:val="17"/>
              </w:rPr>
              <w:br/>
              <w:t>#   CRITICAL : CGRS ≥ 80   → BLOCK payment</w:t>
            </w:r>
            <w:r>
              <w:rPr>
                <w:rFonts w:ascii="Courier New" w:hAnsi="Courier New"/>
                <w:color w:val="1E3A5F"/>
                <w:sz w:val="17"/>
              </w:rPr>
              <w:br/>
              <w:t>#   HIGH     : CGRS 60–79  → HOLD for manual review</w:t>
            </w:r>
            <w:r>
              <w:rPr>
                <w:rFonts w:ascii="Courier New" w:hAnsi="Courier New"/>
                <w:color w:val="1E3A5F"/>
                <w:sz w:val="17"/>
              </w:rPr>
              <w:br/>
              <w:t>#   MEDIUM   : CGRS 40–59  → FLAG for compliance officer</w:t>
            </w:r>
            <w:r>
              <w:rPr>
                <w:rFonts w:ascii="Courier New" w:hAnsi="Courier New"/>
                <w:color w:val="1E3A5F"/>
                <w:sz w:val="17"/>
              </w:rPr>
              <w:br/>
              <w:t>#   LOW      : CGRS  0–39  → APPROVE with audit trail</w:t>
            </w:r>
          </w:p>
        </w:tc>
      </w:tr>
    </w:tbl>
    <w:p>
      <w:pPr>
        <w:spacing w:after="80"/>
      </w:pPr>
    </w:p>
    <w:p>
      <w:pPr>
        <w:spacing w:before="360" w:after="80"/>
        <w:pBdr>
          <w:bottom w:val="single" w:sz="8" w:space="1" w:color="00275A"/>
        </w:pBdr>
      </w:pPr>
      <w:r>
        <w:rPr>
          <w:rFonts w:ascii="Calibri" w:hAnsi="Calibri"/>
          <w:b/>
          <w:color w:val="00275A"/>
          <w:sz w:val="30"/>
        </w:rPr>
        <w:t>2.  FRAUD DETECTION RULE ENGINE (FDE-001 – FDE-047)</w:t>
      </w:r>
    </w:p>
    <w:p>
      <w:pPr>
        <w:spacing w:before="40" w:after="120"/>
      </w:pPr>
      <w:r>
        <w:rPr>
          <w:rFonts w:ascii="Calibri" w:hAnsi="Calibri"/>
          <w:color w:val="1A1A2E"/>
          <w:sz w:val="21"/>
        </w:rPr>
        <w:t>File: services/fraud_detection/engine.py  |  Class: FraudDetectionEngine  |  Language: Python 3.12</w:t>
        <w:br/>
        <w:t>The petitioner personally authored 47 fraud detection rules, each traceable to a specific GAO High-Priority Recommendation or 2 CFR Part 200 (Uniform Guidance) clause. Rules are organized into three tiers by signal strength and specificity.</w:t>
      </w:r>
    </w:p>
    <w:p>
      <w:pPr>
        <w:spacing w:before="240" w:after="60"/>
      </w:pPr>
      <w:r>
        <w:rPr>
          <w:rFonts w:ascii="Calibri" w:hAnsi="Calibri"/>
          <w:b/>
          <w:color w:val="0070C0"/>
          <w:sz w:val="24"/>
        </w:rPr>
        <w:t>2.1  Rule Registry — Tier 1 (Core Fraud Signals)</w:t>
      </w:r>
    </w:p>
    <w:p>
      <w:pPr>
        <w:spacing w:before="40" w:after="120"/>
      </w:pPr>
      <w:r>
        <w:rPr>
          <w:rFonts w:ascii="Calibri" w:hAnsi="Calibri"/>
          <w:color w:val="1A1A2E"/>
          <w:sz w:val="21"/>
        </w:rPr>
        <w:t>Rules FDE-001 through FDE-023 cover high-confidence fraud patterns directly observable in single-transaction context: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352"/>
            <w:shd w:val="clear" w:color="auto" w:fill="F0F4F8"/>
          </w:tcPr>
          <w:p>
            <w:pPr>
              <w:spacing w:before="80" w:after="80"/>
              <w:ind w:left="115"/>
            </w:pPr>
            <w:r>
              <w:rPr>
                <w:rFonts w:ascii="Courier New" w:hAnsi="Courier New"/>
                <w:color w:val="1E3A5F"/>
                <w:sz w:val="17"/>
              </w:rPr>
              <w:t># services/fraud_detection/engine.py — Rule ID registry (excerpt)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>RULE_DUPLICATE_EXACT      = 'FDE-001'   # GAO Cat 1 Ex 10 — duplicate vendor payment</w:t>
            </w:r>
            <w:r>
              <w:rPr>
                <w:rFonts w:ascii="Courier New" w:hAnsi="Courier New"/>
                <w:color w:val="1E3A5F"/>
                <w:sz w:val="17"/>
              </w:rPr>
              <w:br/>
              <w:t>RULE_DUPLICATE_FUZZY      = 'FDE-002'   # GAO Cat 1 Ex 10 — fuzzy invoice dedup</w:t>
            </w:r>
            <w:r>
              <w:rPr>
                <w:rFonts w:ascii="Courier New" w:hAnsi="Courier New"/>
                <w:color w:val="1E3A5F"/>
                <w:sz w:val="17"/>
              </w:rPr>
              <w:br/>
              <w:t>RULE_ROUND_DOLLAR         = 'FDE-003'   # GAO Cat 1 Ex 8  — SNAP trafficking signal</w:t>
            </w:r>
            <w:r>
              <w:rPr>
                <w:rFonts w:ascii="Courier New" w:hAnsi="Courier New"/>
                <w:color w:val="1E3A5F"/>
                <w:sz w:val="17"/>
              </w:rPr>
              <w:br/>
              <w:t>RULE_SPLIT_PURCHASE       = 'FDE-004'   # GAO Cat 1 Ex 23 — P-card split avoidance</w:t>
            </w:r>
            <w:r>
              <w:rPr>
                <w:rFonts w:ascii="Courier New" w:hAnsi="Courier New"/>
                <w:color w:val="1E3A5F"/>
                <w:sz w:val="17"/>
              </w:rPr>
              <w:br/>
              <w:t>RULE_VENDOR_SAM_EXCLUDED  = 'FDE-005'   # GAO Cat 5 Ex 4  — SAM.gov exclusion check</w:t>
            </w:r>
            <w:r>
              <w:rPr>
                <w:rFonts w:ascii="Courier New" w:hAnsi="Courier New"/>
                <w:color w:val="1E3A5F"/>
                <w:sz w:val="17"/>
              </w:rPr>
              <w:br/>
              <w:t>RULE_EXCEEDS_BUDGET_CAT   = 'FDE-006'   # 2 CFR 200.405   — budget category overrun</w:t>
            </w:r>
            <w:r>
              <w:rPr>
                <w:rFonts w:ascii="Courier New" w:hAnsi="Courier New"/>
                <w:color w:val="1E3A5F"/>
                <w:sz w:val="17"/>
              </w:rPr>
              <w:br/>
              <w:t>RULE_WEEKEND_TRANSACTION  = 'FDE-007'   # GAO Cat 1 Ex 9  — weekend travel card abuse</w:t>
            </w:r>
            <w:r>
              <w:rPr>
                <w:rFonts w:ascii="Courier New" w:hAnsi="Courier New"/>
                <w:color w:val="1E3A5F"/>
                <w:sz w:val="17"/>
              </w:rPr>
              <w:br/>
              <w:t>RULE_HIGH_VELOCITY        = 'FDE-008'   # GAO Cat 1 Ex 3  — UI fraud velocity signal</w:t>
            </w:r>
            <w:r>
              <w:rPr>
                <w:rFonts w:ascii="Courier New" w:hAnsi="Courier New"/>
                <w:color w:val="1E3A5F"/>
                <w:sz w:val="17"/>
              </w:rPr>
              <w:br/>
              <w:t>RULE_GHOST_VENDOR         = 'FDE-010'   # GAO Cat 1 Ex 11 — ghost employee/vendor</w:t>
            </w:r>
            <w:r>
              <w:rPr>
                <w:rFonts w:ascii="Courier New" w:hAnsi="Courier New"/>
                <w:color w:val="1E3A5F"/>
                <w:sz w:val="17"/>
              </w:rPr>
              <w:br/>
              <w:t>RULE_RELATED_PARTY        = 'FDE-011'   # GAO Cat 5 Ex 13 — PEP/related-party flag</w:t>
            </w:r>
            <w:r>
              <w:rPr>
                <w:rFonts w:ascii="Courier New" w:hAnsi="Courier New"/>
                <w:color w:val="1E3A5F"/>
                <w:sz w:val="17"/>
              </w:rPr>
              <w:br/>
              <w:t>RULE_CROSS_GRANT_DOUBLE   = 'FDE-012'   # GAO Cat 1 Ex 27 — grant double-dipping</w:t>
            </w:r>
            <w:r>
              <w:rPr>
                <w:rFonts w:ascii="Courier New" w:hAnsi="Courier New"/>
                <w:color w:val="1E3A5F"/>
                <w:sz w:val="17"/>
              </w:rPr>
              <w:br/>
              <w:t>RULE_SANCTIONS_LAYERING   = 'FDE-022'   # GAO Cat 5      — OFAC SDN match (hard block)</w:t>
            </w:r>
            <w:r>
              <w:rPr>
                <w:rFonts w:ascii="Courier New" w:hAnsi="Courier New"/>
                <w:color w:val="1E3A5F"/>
                <w:sz w:val="17"/>
              </w:rPr>
              <w:br/>
              <w:t>RULE_PROCUREMENT_ROTATION = 'FDE-015'   # GAO Cat 1 Ex 26 — bid-rigging rotation</w:t>
            </w:r>
            <w:r>
              <w:rPr>
                <w:rFonts w:ascii="Courier New" w:hAnsi="Courier New"/>
                <w:color w:val="1E3A5F"/>
                <w:sz w:val="17"/>
              </w:rPr>
              <w:br/>
              <w:t>RULE_SYNTHETIC_ID_ECBSV   = 'FDE-017'   # GAO Cat 4       — SSA E-CBSv synthetic ID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0070C0"/>
          <w:sz w:val="24"/>
        </w:rPr>
        <w:t>2.2  Rule Scoring Weights</w:t>
      </w:r>
    </w:p>
    <w:p>
      <w:pPr>
        <w:spacing w:before="40" w:after="120"/>
      </w:pPr>
      <w:r>
        <w:rPr>
          <w:rFonts w:ascii="Calibri" w:hAnsi="Calibri"/>
          <w:color w:val="1A1A2E"/>
          <w:sz w:val="21"/>
        </w:rPr>
        <w:t>Each rule carries a decimal weight (0.0–3.0) reflecting signal strength. The composite rules score is: Score = Σ(weight_i × 10) for all triggered rules, capped at 100.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352"/>
            <w:shd w:val="clear" w:color="auto" w:fill="F0F4F8"/>
          </w:tcPr>
          <w:p>
            <w:pPr>
              <w:spacing w:before="80" w:after="80"/>
              <w:ind w:left="115"/>
            </w:pPr>
            <w:r>
              <w:rPr>
                <w:rFonts w:ascii="Courier New" w:hAnsi="Courier New"/>
                <w:color w:val="1E3A5F"/>
                <w:sz w:val="17"/>
              </w:rPr>
              <w:t># RULE_WEIGHTS (key excerpts) — FraudDetectionEngine class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>RULE_WEIGHTS = {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'FDE-001': 2.5,   # Duplicate exact     — very high confidence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'FDE-005': 3.0,   # SAM excluded vendor  — hard block signal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'FDE-022': 3.0,   # OFAC SDN match       — hard block signal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'FDE-019': 3.0,   # Auth window violation — hard block signal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'FDE-002': 1.8,   # Duplicate fuzzy      — high confidence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'FDE-008': 1.8,   # High velocity        — high confidence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'FDE-010': 2.0,   # Ghost vendor         — very high confidence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'FDE-012': 2.0,   # Cross-grant double   — very high confidence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'FDE-004': 1.2,   # Split purchase       — moderate signal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'FDE-006': 1.5,   # Budget cat overrun   — moderate signal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'FDE-003': 0.6,   # Round dollar         — soft signal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'FDE-007': 0.4,   # Weekend transaction  — soft signal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# ... 35 additional weighted rules ...</w:t>
            </w:r>
            <w:r>
              <w:rPr>
                <w:rFonts w:ascii="Courier New" w:hAnsi="Courier New"/>
                <w:color w:val="1E3A5F"/>
                <w:sz w:val="17"/>
              </w:rPr>
              <w:br/>
              <w:t>}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0070C0"/>
          <w:sz w:val="24"/>
        </w:rPr>
        <w:t>2.3  FraudAssessment Output Object</w:t>
      </w:r>
    </w:p>
    <w:p>
      <w:pPr>
        <w:spacing w:before="40" w:after="120"/>
      </w:pPr>
      <w:r>
        <w:rPr>
          <w:rFonts w:ascii="Calibri" w:hAnsi="Calibri"/>
          <w:color w:val="1A1A2E"/>
          <w:sz w:val="21"/>
        </w:rPr>
        <w:t>Every transaction assessment returns a fully attributed FraudAssessment dataclass: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352"/>
            <w:shd w:val="clear" w:color="auto" w:fill="F0F4F8"/>
          </w:tcPr>
          <w:p>
            <w:pPr>
              <w:spacing w:before="80" w:after="80"/>
              <w:ind w:left="115"/>
            </w:pPr>
            <w:r>
              <w:rPr>
                <w:rFonts w:ascii="Courier New" w:hAnsi="Courier New"/>
                <w:color w:val="1E3A5F"/>
                <w:sz w:val="17"/>
              </w:rPr>
              <w:t>@dataclass</w:t>
            </w:r>
            <w:r>
              <w:rPr>
                <w:rFonts w:ascii="Courier New" w:hAnsi="Courier New"/>
                <w:color w:val="1E3A5F"/>
                <w:sz w:val="17"/>
              </w:rPr>
              <w:br/>
              <w:t>class FraudAssessment: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transaction_id:      str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composite_score:     float          # 0–100 CGRS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risk_tier:           str            # LOW / MEDIUM / HIGH / CRITICAL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signals:             list[FraudSignal]   # all 47 rules evaluated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triggered_rules:     list[str]      # FDE-xxx codes that fired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recommended_action:  str            # APPROVE / REVIEW / HOLD / BLOCK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gao_references:      list[str]      # e.g. ['GAO Cat1-Ex10', '2 CFR 200.405']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explanation:         str            # human-readable rationale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scoring_method:      str            # 'ml_xgboost' | 'rules_weighted_sum'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shadow_comparison:   Optional[dict] # ML vs rules comparison (Phase 2)</w:t>
            </w:r>
          </w:p>
        </w:tc>
      </w:tr>
    </w:tbl>
    <w:p>
      <w:pPr>
        <w:spacing w:after="80"/>
      </w:pPr>
    </w:p>
    <w:p>
      <w:pPr>
        <w:spacing w:before="360" w:after="80"/>
        <w:pBdr>
          <w:bottom w:val="single" w:sz="8" w:space="1" w:color="00275A"/>
        </w:pBdr>
      </w:pPr>
      <w:r>
        <w:rPr>
          <w:rFonts w:ascii="Calibri" w:hAnsi="Calibri"/>
          <w:b/>
          <w:color w:val="00275A"/>
          <w:sz w:val="30"/>
        </w:rPr>
        <w:t>3.  STATISTICAL ANOMALY DETECTION PROCESSOR</w:t>
      </w:r>
    </w:p>
    <w:p>
      <w:pPr>
        <w:spacing w:before="40" w:after="120"/>
      </w:pPr>
      <w:r>
        <w:rPr>
          <w:rFonts w:ascii="Calibri" w:hAnsi="Calibri"/>
          <w:color w:val="1A1A2E"/>
          <w:sz w:val="21"/>
        </w:rPr>
        <w:t>File: services/anomaly_detection/processor.py  |  Class: AnomalyDetectionProcessor  |  Language: Python 3.12</w:t>
        <w:br/>
        <w:t>The petitioner authored a multi-detector statistical anomaly engine that applies six independent behavioral detectors to every transaction stream. Each detector is independently tuned with configurable z-score and percentage thresholds.</w:t>
      </w:r>
    </w:p>
    <w:p>
      <w:pPr>
        <w:spacing w:before="240" w:after="60"/>
      </w:pPr>
      <w:r>
        <w:rPr>
          <w:rFonts w:ascii="Calibri" w:hAnsi="Calibri"/>
          <w:b/>
          <w:color w:val="0070C0"/>
          <w:sz w:val="24"/>
        </w:rPr>
        <w:t>3.1  Spend Velocity Detector (Z-Score Engine)</w:t>
      </w:r>
    </w:p>
    <w:p>
      <w:pPr>
        <w:spacing w:before="40" w:after="120"/>
      </w:pPr>
      <w:r>
        <w:rPr>
          <w:rFonts w:ascii="Calibri" w:hAnsi="Calibri"/>
          <w:color w:val="1A1A2E"/>
          <w:sz w:val="21"/>
        </w:rPr>
        <w:t>The petitioner implemented Welford's statistical method for real-time z-score calculation against a 90-day rolling window of weekly transaction aggregates: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352"/>
            <w:shd w:val="clear" w:color="auto" w:fill="F0F4F8"/>
          </w:tcPr>
          <w:p>
            <w:pPr>
              <w:spacing w:before="80" w:after="80"/>
              <w:ind w:left="115"/>
            </w:pPr>
            <w:r>
              <w:rPr>
                <w:rFonts w:ascii="Courier New" w:hAnsi="Courier New"/>
                <w:color w:val="1E3A5F"/>
                <w:sz w:val="17"/>
              </w:rPr>
              <w:t># AnomalyDetectionProcessor._detect_spend_velocity()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>Z_SCORE_CRITICAL = 3.0   # → FLAG_REVIEW action</w:t>
            </w:r>
            <w:r>
              <w:rPr>
                <w:rFonts w:ascii="Courier New" w:hAnsi="Courier New"/>
                <w:color w:val="1E3A5F"/>
                <w:sz w:val="17"/>
              </w:rPr>
              <w:br/>
              <w:t>Z_SCORE_WARNING  = 2.0   # → NOTIFY action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>def _detect_spend_velocity(self, grant_id, tenant_id, tx, history, ts):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weekly_totals = self._aggregate_weekly(history)   # 90-day rolling window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if len(weekly_totals) &lt; 3: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    return []   # insufficient baseline — skip detection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mean  = statistics.mean(weekly_totals)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stdev = statistics.stdev(weekly_totals) if len(weekly_totals) &gt; 1 else mean * 0.2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current_week_total = sum(amount for tx in last_7d) + float(tx['amount'])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z = (current_week_total - mean) / (stdev + 0.001)   # epsilon prevents div/0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if z &gt;= Z_SCORE_CRITICAL:   # → CRITICAL AnomalyAlert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    ...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elif z &gt;= Z_SCORE_WARNING:  # → WARNING AnomalyAlert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    ...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# GAO alignment: Cat1-Ex3 (Pandemic UI Fraud velocity detection)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#                Cat3-Ex23 (Continuous monitoring of high-risk grants)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0070C0"/>
          <w:sz w:val="24"/>
        </w:rPr>
        <w:t>3.2  Six Behavioral Anomaly Detectors</w:t>
      </w:r>
    </w:p>
    <w:p>
      <w:pPr>
        <w:spacing w:before="40" w:after="120"/>
      </w:pPr>
      <w:r>
        <w:rPr>
          <w:rFonts w:ascii="Calibri" w:hAnsi="Calibri"/>
          <w:color w:val="1A1A2E"/>
          <w:sz w:val="21"/>
        </w:rPr>
        <w:t>The processor runs all six detectors on every transaction. The table below lists each detector, its threshold, and its GAO alignment: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1872"/>
            <w:shd w:val="clear" w:color="auto" w:fill="00275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Detector</w:t>
            </w:r>
          </w:p>
        </w:tc>
        <w:tc>
          <w:tcPr>
            <w:tcW w:type="dxa" w:w="1872"/>
            <w:shd w:val="clear" w:color="auto" w:fill="00275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2160"/>
            <w:shd w:val="clear" w:color="auto" w:fill="00275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 Trigger</w:t>
            </w:r>
          </w:p>
        </w:tc>
        <w:tc>
          <w:tcPr>
            <w:tcW w:type="dxa" w:w="2448"/>
            <w:shd w:val="clear" w:color="auto" w:fill="00275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GAO Reference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Spend Velocity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Z ≥ 3.0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CRITICAL → FLAG_REVIEW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Cat1-Ex3, Cat3-Ex23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18"/>
              </w:rPr>
              <w:t>Category Drift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18"/>
              </w:rPr>
              <w:t>Δ% &gt; 30% vs plan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rFonts w:ascii="Calibri" w:hAnsi="Calibri"/>
                <w:sz w:val="18"/>
              </w:rPr>
              <w:t>CRITICAL → HOLD if 2×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rFonts w:ascii="Calibri" w:hAnsi="Calibri"/>
                <w:sz w:val="18"/>
              </w:rPr>
              <w:t>Cat1-Ex16, 2 CFR 200.405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Vendor Dominance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&gt; 60% grant spend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CRITICAL → HOLD if 85%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Cat1-Ex26 (Collusion)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18"/>
              </w:rPr>
              <w:t>Burn-Rate Spike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18"/>
              </w:rPr>
              <w:t>&gt; 40% in 30 days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rFonts w:ascii="Calibri" w:hAnsi="Calibri"/>
                <w:sz w:val="18"/>
              </w:rPr>
              <w:t>CRITICAL if &gt; 70%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rFonts w:ascii="Calibri" w:hAnsi="Calibri"/>
                <w:sz w:val="18"/>
              </w:rPr>
              <w:t>Cat4-Ex15, Cat3-Ex15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Dormant Reactivation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60+ day gap, $25K+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CRITICAL if 120d, $75K+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Cat1-Ex11 (Ghost vendor)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18"/>
              </w:rPr>
              <w:t>End-of-Period Surge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18"/>
              </w:rPr>
              <w:t>&gt; $75K last 5 days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rFonts w:ascii="Calibri" w:hAnsi="Calibri"/>
                <w:sz w:val="18"/>
              </w:rPr>
              <w:t>CRITICAL if &gt; $200K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rFonts w:ascii="Calibri" w:hAnsi="Calibri"/>
                <w:sz w:val="18"/>
              </w:rPr>
              <w:t>Cat1-Ex10 (DoD fiscal-year)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color w:val="0070C0"/>
          <w:sz w:val="24"/>
        </w:rPr>
        <w:t>3.3  ML Augmentation — IsolationForest Integration</w:t>
      </w:r>
    </w:p>
    <w:p>
      <w:pPr>
        <w:spacing w:before="40" w:after="120"/>
      </w:pPr>
      <w:r>
        <w:rPr>
          <w:rFonts w:ascii="Calibri" w:hAnsi="Calibri"/>
          <w:color w:val="1A1A2E"/>
          <w:sz w:val="21"/>
        </w:rPr>
        <w:t>When the ML model is available, the processor computes an additional anomaly alert using the 20-feature IsolationForest detector. The ML severity inherits from the rule layer: if any rule fired CRITICAL, the ML confirmation is also CRITICAL; otherwise WARNING.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352"/>
            <w:shd w:val="clear" w:color="auto" w:fill="F0F4F8"/>
          </w:tcPr>
          <w:p>
            <w:pPr>
              <w:spacing w:before="80" w:after="80"/>
              <w:ind w:left="115"/>
            </w:pPr>
            <w:r>
              <w:rPr>
                <w:rFonts w:ascii="Courier New" w:hAnsi="Courier New"/>
                <w:color w:val="1E3A5F"/>
                <w:sz w:val="17"/>
              </w:rPr>
              <w:t># _detect_ml_outlier() — ML severity inherits from rule layer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>severity = 'CRITICAL' if inherit_critical else 'WARNING'</w:t>
            </w:r>
            <w:r>
              <w:rPr>
                <w:rFonts w:ascii="Courier New" w:hAnsi="Courier New"/>
                <w:color w:val="1E3A5F"/>
                <w:sz w:val="17"/>
              </w:rPr>
              <w:br/>
              <w:t>auto_action = 'HOLD_PAYMENTS' if inherit_critical else 'FLAG_REVIEW'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># AnomalyAlert output:</w:t>
            </w:r>
            <w:r>
              <w:rPr>
                <w:rFonts w:ascii="Courier New" w:hAnsi="Courier New"/>
                <w:color w:val="1E3A5F"/>
                <w:sz w:val="17"/>
              </w:rPr>
              <w:br/>
              <w:t>anomaly_type = 'ML_OUTLIER'</w:t>
            </w:r>
            <w:r>
              <w:rPr>
                <w:rFonts w:ascii="Courier New" w:hAnsi="Courier New"/>
                <w:color w:val="1E3A5F"/>
                <w:sz w:val="17"/>
              </w:rPr>
              <w:br/>
              <w:t>description  = f'IsolationForest score {score:.2f} — unusual pattern across 20 features'</w:t>
            </w:r>
            <w:r>
              <w:rPr>
                <w:rFonts w:ascii="Courier New" w:hAnsi="Courier New"/>
                <w:color w:val="1E3A5F"/>
                <w:sz w:val="17"/>
              </w:rPr>
              <w:br/>
              <w:t>gao_reference = 'GAO Cat3-Ex29 (Continuous risk assessment)'</w:t>
            </w:r>
            <w:r>
              <w:rPr>
                <w:rFonts w:ascii="Courier New" w:hAnsi="Courier New"/>
                <w:color w:val="1E3A5F"/>
                <w:sz w:val="17"/>
              </w:rPr>
              <w:br/>
              <w:t>detection_method = 'ml_isolation_forest'</w:t>
            </w:r>
          </w:p>
        </w:tc>
      </w:tr>
    </w:tbl>
    <w:p>
      <w:pPr>
        <w:spacing w:after="80"/>
      </w:pPr>
    </w:p>
    <w:p>
      <w:pPr>
        <w:spacing w:before="360" w:after="80"/>
        <w:pBdr>
          <w:bottom w:val="single" w:sz="8" w:space="1" w:color="00275A"/>
        </w:pBdr>
      </w:pPr>
      <w:r>
        <w:rPr>
          <w:rFonts w:ascii="Calibri" w:hAnsi="Calibri"/>
          <w:b/>
          <w:color w:val="00275A"/>
          <w:sz w:val="30"/>
        </w:rPr>
        <w:t>4.  CROSS-ENTITY INTELLIGENCE GRAPH</w:t>
      </w:r>
    </w:p>
    <w:p>
      <w:pPr>
        <w:spacing w:before="40" w:after="120"/>
      </w:pPr>
      <w:r>
        <w:rPr>
          <w:rFonts w:ascii="Calibri" w:hAnsi="Calibri"/>
          <w:color w:val="1A1A2E"/>
          <w:sz w:val="21"/>
        </w:rPr>
        <w:t>File: services/entity_intelligence/graph.py  |  Class: EntityIntelligenceService  |  Language: Python 3.12</w:t>
        <w:br/>
        <w:t>The petitioner designed and implemented a graph-based entity intelligence layer that builds vendor relationship networks, detects shell company patterns, and scores network risk via BFS (Breadth-First Search) traversal. In production, this layer is backed by AWS Neptune or Neo4j; for the MVP it operates on in-memory Postgres vendor data.</w:t>
      </w:r>
    </w:p>
    <w:p>
      <w:pPr>
        <w:spacing w:before="240" w:after="60"/>
      </w:pPr>
      <w:r>
        <w:rPr>
          <w:rFonts w:ascii="Calibri" w:hAnsi="Calibri"/>
          <w:b/>
          <w:color w:val="0070C0"/>
          <w:sz w:val="24"/>
        </w:rPr>
        <w:t>4.1  Entity Relationship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352"/>
            <w:shd w:val="clear" w:color="auto" w:fill="F0F4F8"/>
          </w:tcPr>
          <w:p>
            <w:pPr>
              <w:spacing w:before="80" w:after="80"/>
              <w:ind w:left="115"/>
            </w:pPr>
            <w:r>
              <w:rPr>
                <w:rFonts w:ascii="Courier New" w:hAnsi="Courier New"/>
                <w:color w:val="1E3A5F"/>
                <w:sz w:val="17"/>
              </w:rPr>
              <w:t>@dataclass</w:t>
            </w:r>
            <w:r>
              <w:rPr>
                <w:rFonts w:ascii="Courier New" w:hAnsi="Courier New"/>
                <w:color w:val="1E3A5F"/>
                <w:sz w:val="17"/>
              </w:rPr>
              <w:br/>
              <w:t>class EntityNode: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entity_id:       str          # vendor / applicant / officer / subrecipient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entity_type:     str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ein_hash:        str          # SHA-256 of EIN (PII-safe)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risk_score:      float        # 0.0–100.0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sam_status:      str          # active / excluded / suspended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pep_flag:        bool         # Politically Exposed Person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sanctions_flag:  bool         # OFAC SDN list match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>@dataclass</w:t>
            </w:r>
            <w:r>
              <w:rPr>
                <w:rFonts w:ascii="Courier New" w:hAnsi="Courier New"/>
                <w:color w:val="1E3A5F"/>
                <w:sz w:val="17"/>
              </w:rPr>
              <w:br/>
              <w:t>class EntityEdge: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relationship: str    # SHARED_EIN / SHARED_ADDRESS / SHARED_BANK / SHARED_OFFICER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confidence:   float  # 0.0–1.0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evidence:     dict   # {ein_hash: ..., address_hash: ..., bank_ref_hash: ...}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0070C0"/>
          <w:sz w:val="24"/>
        </w:rPr>
        <w:t>4.2  BFS Network Traversal — find_related_entities()</w:t>
      </w:r>
    </w:p>
    <w:p>
      <w:pPr>
        <w:spacing w:before="40" w:after="120"/>
      </w:pPr>
      <w:r>
        <w:rPr>
          <w:rFonts w:ascii="Calibri" w:hAnsi="Calibri"/>
          <w:color w:val="1A1A2E"/>
          <w:sz w:val="21"/>
        </w:rPr>
        <w:t>The petitioner authored a BFS traversal algorithm that explores vendor relationship networks up to 2 hops deep, enabling detection of shell company rings and bid-rigging syndicates that would be invisible to single-entity checks: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352"/>
            <w:shd w:val="clear" w:color="auto" w:fill="F0F4F8"/>
          </w:tcPr>
          <w:p>
            <w:pPr>
              <w:spacing w:before="80" w:after="80"/>
              <w:ind w:left="115"/>
            </w:pPr>
            <w:r>
              <w:rPr>
                <w:rFonts w:ascii="Courier New" w:hAnsi="Courier New"/>
                <w:color w:val="1E3A5F"/>
                <w:sz w:val="17"/>
              </w:rPr>
              <w:t>def find_related_entities(self, vendor_id, graph, max_hops=2):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visited  = {vendor_id}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frontier = {vendor_id}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for _ in range(max_hops):          # traverse up to 2 hops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    next_frontier = set()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    for edge in graph.edges: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        if edge.source_id in frontier and edge.target_id not in visited: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            next_frontier.add(edge.target_id)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            visited.add(edge.target_id)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        if edge.target_id in frontier and edge.source_id not in visited: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            next_frontier.add(edge.source_id)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            visited.add(edge.source_id)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    frontier = next_frontier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# GAO Cat1-Ex4  (PPP/EIDL beneficial ownership clustering)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# GAO Cat5-Ex11 (Federated Beneficial-Ownership Graph)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return [n for n in graph.nodes if n.entity_id in visited - {vendor_id}]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0070C0"/>
          <w:sz w:val="24"/>
        </w:rPr>
        <w:t>4.3  Network Risk Scoring</w:t>
      </w:r>
    </w:p>
    <w:p>
      <w:pPr>
        <w:spacing w:before="40" w:after="120"/>
      </w:pPr>
      <w:r>
        <w:rPr>
          <w:rFonts w:ascii="Calibri" w:hAnsi="Calibri"/>
          <w:color w:val="1A1A2E"/>
          <w:sz w:val="21"/>
        </w:rPr>
        <w:t>The entity network risk score (0–100) penalizes vendors for high-risk neighbours detected within a 2-hop radius: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352"/>
            <w:shd w:val="clear" w:color="auto" w:fill="F0F4F8"/>
          </w:tcPr>
          <w:p>
            <w:pPr>
              <w:spacing w:before="80" w:after="80"/>
              <w:ind w:left="115"/>
            </w:pPr>
            <w:r>
              <w:rPr>
                <w:rFonts w:ascii="Courier New" w:hAnsi="Courier New"/>
                <w:color w:val="1E3A5F"/>
                <w:sz w:val="17"/>
              </w:rPr>
              <w:t>def score_vendor_network_risk(self, vendor_id, graph):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related = self.find_related_entities(vendor_id, graph, max_hops=2)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score   = 0.0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for node in related: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    if node.sam_status in ('excluded', 'suspended'):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        score += 30.0    # SAM exclusion propagates through network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    if node.pep_flag: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        score += 20.0    # PEP screening (GAO Cat5-Ex13)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    if node.sanctions_flag: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        score += 35.0    # OFAC SDN match in network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    score += node.risk_score * 0.2   # inherit 20% of neighbour risk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return min(100.0, round(score, 2))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0070C0"/>
          <w:sz w:val="24"/>
        </w:rPr>
        <w:t>4.4  Shared Signal Linking — Entity Edge Detection</w:t>
      </w:r>
    </w:p>
    <w:p>
      <w:pPr>
        <w:spacing w:before="40" w:after="120"/>
      </w:pPr>
      <w:r>
        <w:rPr>
          <w:rFonts w:ascii="Calibri" w:hAnsi="Calibri"/>
          <w:color w:val="1A1A2E"/>
          <w:sz w:val="21"/>
        </w:rPr>
        <w:t>Four shared-signal patterns are detected to construct the entity graph edges: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352"/>
            <w:shd w:val="clear" w:color="auto" w:fill="F0F4F8"/>
          </w:tcPr>
          <w:p>
            <w:pPr>
              <w:spacing w:before="80" w:after="80"/>
              <w:ind w:left="115"/>
            </w:pPr>
            <w:r>
              <w:rPr>
                <w:rFonts w:ascii="Courier New" w:hAnsi="Courier New"/>
                <w:color w:val="1E3A5F"/>
                <w:sz w:val="17"/>
              </w:rPr>
              <w:t># link_entities() — four linking signals: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>SHARED_EIN     confidence=1.00  # same EIN hash → near-certain relationship</w:t>
            </w:r>
            <w:r>
              <w:rPr>
                <w:rFonts w:ascii="Courier New" w:hAnsi="Courier New"/>
                <w:color w:val="1E3A5F"/>
                <w:sz w:val="17"/>
              </w:rPr>
              <w:br/>
              <w:t>SHARED_ADDRESS confidence=0.85  # same address hash → likely shell company ring</w:t>
            </w:r>
            <w:r>
              <w:rPr>
                <w:rFonts w:ascii="Courier New" w:hAnsi="Courier New"/>
                <w:color w:val="1E3A5F"/>
                <w:sz w:val="17"/>
              </w:rPr>
              <w:br/>
              <w:t>SHARED_BANK    confidence=0.95  # same bank routing ref → financial network link</w:t>
            </w:r>
            <w:r>
              <w:rPr>
                <w:rFonts w:ascii="Courier New" w:hAnsi="Courier New"/>
                <w:color w:val="1E3A5F"/>
                <w:sz w:val="17"/>
              </w:rPr>
              <w:br/>
              <w:t>SHARED_DATE    confidence=0.70  # overlapping invoice dates → bid rotation signal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># GAO Cat1-Ex26 (Procurement Collusion)</w:t>
            </w:r>
            <w:r>
              <w:rPr>
                <w:rFonts w:ascii="Courier New" w:hAnsi="Courier New"/>
                <w:color w:val="1E3A5F"/>
                <w:sz w:val="17"/>
              </w:rPr>
              <w:br/>
              <w:t># GAO Cat5-Ex11 (Federated Beneficial-Ownership Graph)</w:t>
            </w:r>
            <w:r>
              <w:rPr>
                <w:rFonts w:ascii="Courier New" w:hAnsi="Courier New"/>
                <w:color w:val="1E3A5F"/>
                <w:sz w:val="17"/>
              </w:rPr>
              <w:br/>
              <w:t># GAO Cat5-Ex13 (Real-Time PEP/Sanctions Screening)</w:t>
            </w:r>
          </w:p>
        </w:tc>
      </w:tr>
    </w:tbl>
    <w:p>
      <w:pPr>
        <w:spacing w:after="80"/>
      </w:pPr>
    </w:p>
    <w:p>
      <w:pPr>
        <w:spacing w:before="360" w:after="80"/>
        <w:pBdr>
          <w:bottom w:val="single" w:sz="8" w:space="1" w:color="00275A"/>
        </w:pBdr>
      </w:pPr>
      <w:r>
        <w:rPr>
          <w:rFonts w:ascii="Calibri" w:hAnsi="Calibri"/>
          <w:b/>
          <w:color w:val="00275A"/>
          <w:sz w:val="30"/>
        </w:rPr>
        <w:t>5.  MACHINE LEARNING PIPELINE</w:t>
      </w:r>
    </w:p>
    <w:p>
      <w:pPr>
        <w:spacing w:before="240" w:after="60"/>
      </w:pPr>
      <w:r>
        <w:rPr>
          <w:rFonts w:ascii="Calibri" w:hAnsi="Calibri"/>
          <w:b/>
          <w:color w:val="0070C0"/>
          <w:sz w:val="24"/>
        </w:rPr>
        <w:t>5.1  XGBoost Supervised Fraud Classifier</w:t>
      </w:r>
    </w:p>
    <w:p>
      <w:pPr>
        <w:spacing w:before="40" w:after="120"/>
      </w:pPr>
      <w:r>
        <w:rPr>
          <w:rFonts w:ascii="Calibri" w:hAnsi="Calibri"/>
          <w:color w:val="1A1A2E"/>
          <w:sz w:val="21"/>
        </w:rPr>
        <w:t>File: ml/fraud_classifier.py  |  Class: FraudClassifier  |  Language: Python 3.12</w:t>
        <w:br/>
        <w:t>The petitioner authored a supervised XGBoost fraud classifier that converts the 47-rule binary signal vector into a fraud probability score (0.0–1.0). The feature engineering pipeline maps each FDE rule to a binary input, preserving the interpretability of the rule layer while leveraging gradient-boosted ensemble learning: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352"/>
            <w:shd w:val="clear" w:color="auto" w:fill="F0F4F8"/>
          </w:tcPr>
          <w:p>
            <w:pPr>
              <w:spacing w:before="80" w:after="80"/>
              <w:ind w:left="115"/>
            </w:pPr>
            <w:r>
              <w:rPr>
                <w:rFonts w:ascii="Courier New" w:hAnsi="Courier New"/>
                <w:color w:val="1E3A5F"/>
                <w:sz w:val="17"/>
              </w:rPr>
              <w:t># ml/fraud_classifier.py — FraudClassifier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>RULE_ORDER = [                        # canonical 47-dim feature vector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'FDE-001', 'FDE-002', 'FDE-003', 'FDE-004', 'FDE-005', 'FDE-006', 'FDE-007',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'FDE-008', 'FDE-009', 'FDE-010',  # ... through FDE-047</w:t>
            </w:r>
            <w:r>
              <w:rPr>
                <w:rFonts w:ascii="Courier New" w:hAnsi="Courier New"/>
                <w:color w:val="1E3A5F"/>
                <w:sz w:val="17"/>
              </w:rPr>
              <w:br/>
              <w:t>]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>def signals_to_features(signals: list) -&gt; np.ndarray: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triggered = {s.rule_id for s in signals if s.triggered}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return np.array(                  # shape: (1, 47) binary feature matrix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    [[1 if rule in triggered else 0 for rule in RULE_ORDER]],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    dtype=np.float32,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)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>class FraudClassifier: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def predict_proba(self, signals: list) -&gt; float: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    X   = signals_to_features(signals)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    return float(self._model.predict_proba(X)[0, 1])   # P(fraud)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0070C0"/>
          <w:sz w:val="24"/>
        </w:rPr>
        <w:t>5.2  IsolationForest Unsupervised Anomaly Detector (20 Features)</w:t>
      </w:r>
    </w:p>
    <w:p>
      <w:pPr>
        <w:spacing w:before="40" w:after="120"/>
      </w:pPr>
      <w:r>
        <w:rPr>
          <w:rFonts w:ascii="Calibri" w:hAnsi="Calibri"/>
          <w:color w:val="1A1A2E"/>
          <w:sz w:val="21"/>
        </w:rPr>
        <w:t>File: ml/anomaly_detector.py  |  Class: AnomalyDetector  |  Language: Python 3.12</w:t>
        <w:br/>
        <w:t>The petitioner designed a 20-dimensional feature representation for unsupervised anomaly detection using IsolationForest (contamination=8%). Features span transaction amount, temporal patterns, vendor behavioral history, and budget utilization: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352"/>
            <w:shd w:val="clear" w:color="auto" w:fill="F0F4F8"/>
          </w:tcPr>
          <w:p>
            <w:pPr>
              <w:spacing w:before="80" w:after="80"/>
              <w:ind w:left="115"/>
            </w:pPr>
            <w:r>
              <w:rPr>
                <w:rFonts w:ascii="Courier New" w:hAnsi="Courier New"/>
                <w:color w:val="1E3A5F"/>
                <w:sz w:val="17"/>
              </w:rPr>
              <w:t># ml/anomaly_detector.py — 20-feature vector (FEATURE_NAMES canonical order)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>FEATURE_NAMES = [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'log_amount',              # math.log1p(amount) — scale-invariant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'day_of_week',             # 0–6 (5,6 = weekend = anomaly signal)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'day_of_month',            # 1–31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'month',                   # 1–12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'is_end_of_month',         # binary: last 5 days of month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'is_weekend',              # binary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'vendor_tx_count_30d',     # vendor activity level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'vendor_spend_30d_log',    # log(vendor 30d spend)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'vendor_grant_share',      # vendor's % of total grant spend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'grant_tx_count_30d',      # grant activity level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'grant_weekly_spend_log',  # log(weekly spend)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'budget_utilization',      # total spent / total budget (capped 10×)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'category_share',          # cost-category % of grant spend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'category_budget_ratio',   # category spend / category budget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'amount_vs_vendor_median', # amount / vendor spend median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'amount_vs_grant_median',  # amount / grant spend median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'days_since_last_vendor_tx', # dormancy signal (capped 180d)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'is_round_amount',         # binary: amount % 1000 == 0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'vendor_unique_count_30d', # vendor diversity measure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'amount_percentile',       # rank within grant history</w:t>
            </w:r>
            <w:r>
              <w:rPr>
                <w:rFonts w:ascii="Courier New" w:hAnsi="Courier New"/>
                <w:color w:val="1E3A5F"/>
                <w:sz w:val="17"/>
              </w:rPr>
              <w:br/>
              <w:t>]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># IsolationForest config: n_estimators=100, contamination=0.08, random_state=42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0070C0"/>
          <w:sz w:val="24"/>
        </w:rPr>
        <w:t>5.3  XGBoost Risk Forecaster with SHAP Explainability (15 Features)</w:t>
      </w:r>
    </w:p>
    <w:p>
      <w:pPr>
        <w:spacing w:before="40" w:after="120"/>
      </w:pPr>
      <w:r>
        <w:rPr>
          <w:rFonts w:ascii="Calibri" w:hAnsi="Calibri"/>
          <w:color w:val="1A1A2E"/>
          <w:sz w:val="21"/>
        </w:rPr>
        <w:t>File: ml/risk_forecaster.py  |  Class: RiskForecaster  |  Language: Python 3.12</w:t>
        <w:br/>
        <w:t>The petitioner implemented a forward-looking risk forecaster that predicts 30-day risk trajectories from grant state features. Critically, the model outputs SHAP (Shapley Additive exPlanations) feature contributions, enabling auditors to understand which factors are driving the risk score: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352"/>
            <w:shd w:val="clear" w:color="auto" w:fill="F0F4F8"/>
          </w:tcPr>
          <w:p>
            <w:pPr>
              <w:spacing w:before="80" w:after="80"/>
              <w:ind w:left="115"/>
            </w:pPr>
            <w:r>
              <w:rPr>
                <w:rFonts w:ascii="Courier New" w:hAnsi="Courier New"/>
                <w:color w:val="1E3A5F"/>
                <w:sz w:val="17"/>
              </w:rPr>
              <w:t># ml/risk_forecaster.py — 15-feature grant-state vector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>FEATURE_NAMES = [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'compliance_last',       # most recent compliance score (0–100)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'compliance_slope',      # trend per month (positive = improving)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'compliance_volatility', # std dev of compliance history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'spend_last',            # most recent monthly spend fraction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'spend_slope',           # burnrate trend per month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'spend_acceleration',    # second derivative (burnrate speeding up?)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'open_findings',         # count of open audit findings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'open_caps',             # open corrective action plans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'overdue_caps',          # overdue CAPs — enforcement pressure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'days_to_end_norm',      # days to period end / 365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'vendor_network_risk',   # 0–100 from entity graph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'gao_overlap_count',     # matching GAO high-risk programs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'burnrate_pct',          # % budget consumed in last 30d (capped 3×)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'period_end_pressure',   # binary: within 30 days of period end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'findings_density',      # open_findings / months_active</w:t>
            </w:r>
            <w:r>
              <w:rPr>
                <w:rFonts w:ascii="Courier New" w:hAnsi="Courier New"/>
                <w:color w:val="1E3A5F"/>
                <w:sz w:val="17"/>
              </w:rPr>
              <w:br/>
              <w:t>]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352"/>
            <w:shd w:val="clear" w:color="auto" w:fill="F0F4F8"/>
          </w:tcPr>
          <w:p>
            <w:pPr>
              <w:spacing w:before="80" w:after="80"/>
              <w:ind w:left="115"/>
            </w:pPr>
            <w:r>
              <w:rPr>
                <w:rFonts w:ascii="Courier New" w:hAnsi="Courier New"/>
                <w:color w:val="1E3A5F"/>
                <w:sz w:val="17"/>
              </w:rPr>
              <w:t># SHAP-driven driver output (predict_with_drivers method)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>def predict_with_drivers(self, features):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X      = np.array(features, dtype=np.float32).reshape(1, -1)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score  = self._model.predict(X)[0]         # 0–100 risk score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dmat   = xgb.DMatrix(X)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contribs = self._model.get_booster().predict(dmat, pred_contribs=True)[0]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# contribs shape: (n_features + 1,) — last element is base score bias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drivers = [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    {'factor': FEATURE_NAMES[i], 'contribution': float(contribs[i]),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     'direction': 'risk' if contribs[i] &gt; 0 else 'protective'}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    for i in range(len(FEATURE_NAMES))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]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# Sort by |contribution| descending, return top 6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return score, sorted(drivers, key=lambda d: abs(d['contribution']), reverse=True)[:6]</w:t>
            </w:r>
          </w:p>
        </w:tc>
      </w:tr>
    </w:tbl>
    <w:p>
      <w:pPr>
        <w:spacing w:after="80"/>
      </w:pPr>
    </w:p>
    <w:p>
      <w:pPr>
        <w:spacing w:before="360" w:after="80"/>
        <w:pBdr>
          <w:bottom w:val="single" w:sz="8" w:space="1" w:color="00275A"/>
        </w:pBdr>
      </w:pPr>
      <w:r>
        <w:rPr>
          <w:rFonts w:ascii="Calibri" w:hAnsi="Calibri"/>
          <w:b/>
          <w:color w:val="00275A"/>
          <w:sz w:val="30"/>
        </w:rPr>
        <w:t>6.  OMB COMPLIANCE RULE ENGINE (R001 – R010)</w:t>
      </w:r>
    </w:p>
    <w:p>
      <w:pPr>
        <w:spacing w:before="40" w:after="120"/>
      </w:pPr>
      <w:r>
        <w:rPr>
          <w:rFonts w:ascii="Calibri" w:hAnsi="Calibri"/>
          <w:color w:val="1A1A2E"/>
          <w:sz w:val="21"/>
        </w:rPr>
        <w:t>File: modules/compliance_engine/service.py  |  Class: ComplianceService  |  Language: Python 3.12</w:t>
        <w:br/>
        <w:t>The petitioner implemented a 10-rule OMB 2 CFR Part 200 (Uniform Guidance) compliance engine that evaluates grant financial controls against federal regulatory requirements. The engine seeds 130+ controls per grant from a control library and supports Segregation of Duties (SoD) matrix enforcement: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1296"/>
            <w:shd w:val="clear" w:color="auto" w:fill="00275A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Rule Code</w:t>
            </w:r>
          </w:p>
        </w:tc>
        <w:tc>
          <w:tcPr>
            <w:tcW w:type="dxa" w:w="3600"/>
            <w:shd w:val="clear" w:color="auto" w:fill="00275A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Control Description</w:t>
            </w:r>
          </w:p>
        </w:tc>
        <w:tc>
          <w:tcPr>
            <w:tcW w:type="dxa" w:w="2160"/>
            <w:shd w:val="clear" w:color="auto" w:fill="00275A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2 CFR Clause</w:t>
            </w:r>
          </w:p>
        </w:tc>
        <w:tc>
          <w:tcPr>
            <w:tcW w:type="dxa" w:w="1584"/>
            <w:shd w:val="clear" w:color="auto" w:fill="00275A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Domain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17"/>
              </w:rPr>
              <w:t>CM-001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7"/>
              </w:rPr>
              <w:t>Budget category allocation check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§200.405 — Cost allocation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17"/>
              </w:rPr>
              <w:t>FINANCIAL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CM-002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Allowable costs verification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§200.403 — Allowable costs</w:t>
            </w:r>
          </w:p>
        </w:tc>
        <w:tc>
          <w:tcPr>
            <w:tcW w:type="dxa" w:w="1584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FINANCIAL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17"/>
              </w:rPr>
              <w:t>CM-003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7"/>
              </w:rPr>
              <w:t>Procurement competition check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§200.320 — Procurement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17"/>
              </w:rPr>
              <w:t>PROCUREMENT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CM-004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Subrecipient monitoring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§200.332 — Subrecipients</w:t>
            </w:r>
          </w:p>
        </w:tc>
        <w:tc>
          <w:tcPr>
            <w:tcW w:type="dxa" w:w="1584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SUBRECIPIENT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17"/>
              </w:rPr>
              <w:t>CM-005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7"/>
              </w:rPr>
              <w:t>Property &amp; equipment tracking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§200.313 — Equipment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17"/>
              </w:rPr>
              <w:t>PROPERTY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CM-006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Period of performance compliance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§200.309 — Period of performance</w:t>
            </w:r>
          </w:p>
        </w:tc>
        <w:tc>
          <w:tcPr>
            <w:tcW w:type="dxa" w:w="1584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TIMELINE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17"/>
              </w:rPr>
              <w:t>CM-007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7"/>
              </w:rPr>
              <w:t>Single Audit threshold check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§200.501 — Audit requirements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17"/>
              </w:rPr>
              <w:t>AUDIT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CM-008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Conflict of interest disclosure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§200.318 — Procurement standards</w:t>
            </w:r>
          </w:p>
        </w:tc>
        <w:tc>
          <w:tcPr>
            <w:tcW w:type="dxa" w:w="1584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ETHICS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17"/>
              </w:rPr>
              <w:t>CM-009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7"/>
              </w:rPr>
              <w:t>Financial reporting timeliness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§200.328 — Financial reporting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17"/>
              </w:rPr>
              <w:t>REPORTING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CM-010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SAM.gov registration currency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§200.300 — Registration</w:t>
            </w:r>
          </w:p>
        </w:tc>
        <w:tc>
          <w:tcPr>
            <w:tcW w:type="dxa" w:w="1584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COMPLIANCE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color w:val="0070C0"/>
          <w:sz w:val="24"/>
        </w:rPr>
        <w:t>6.1  Compliance Score Calculation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352"/>
            <w:shd w:val="clear" w:color="auto" w:fill="F0F4F8"/>
          </w:tcPr>
          <w:p>
            <w:pPr>
              <w:spacing w:before="80" w:after="80"/>
              <w:ind w:left="115"/>
            </w:pPr>
            <w:r>
              <w:rPr>
                <w:rFonts w:ascii="Courier New" w:hAnsi="Courier New"/>
                <w:color w:val="1E3A5F"/>
                <w:sz w:val="17"/>
              </w:rPr>
              <w:t># ComplianceService.list_controls() — score aggregation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>total   = len(controls)                        # all controls for grant</w:t>
            </w:r>
            <w:r>
              <w:rPr>
                <w:rFonts w:ascii="Courier New" w:hAnsi="Courier New"/>
                <w:color w:val="1E3A5F"/>
                <w:sz w:val="17"/>
              </w:rPr>
              <w:br/>
              <w:t>passing = sum(1 for c in controls if c.status == 'pass')</w:t>
            </w:r>
            <w:r>
              <w:rPr>
                <w:rFonts w:ascii="Courier New" w:hAnsi="Courier New"/>
                <w:color w:val="1E3A5F"/>
                <w:sz w:val="17"/>
              </w:rPr>
              <w:br/>
              <w:t>failing = sum(1 for c in controls if c.status == 'fail')</w:t>
            </w:r>
            <w:r>
              <w:rPr>
                <w:rFonts w:ascii="Courier New" w:hAnsi="Courier New"/>
                <w:color w:val="1E3A5F"/>
                <w:sz w:val="17"/>
              </w:rPr>
              <w:br/>
              <w:t>score   = round((passing / total * 100) if total else 0.0, 2)   # 0–100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># Redis-cached (TTL=300s) to avoid repeated DB aggregation under load</w:t>
            </w:r>
            <w:r>
              <w:rPr>
                <w:rFonts w:ascii="Courier New" w:hAnsi="Courier New"/>
                <w:color w:val="1E3A5F"/>
                <w:sz w:val="17"/>
              </w:rPr>
              <w:br/>
              <w:t>await cache_set(cache_key, resp, ttl=300)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0070C0"/>
          <w:sz w:val="24"/>
        </w:rPr>
        <w:t>6.2  Segregation of Duties Enforcement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352"/>
            <w:shd w:val="clear" w:color="auto" w:fill="F0F4F8"/>
          </w:tcPr>
          <w:p>
            <w:pPr>
              <w:spacing w:before="80" w:after="80"/>
              <w:ind w:left="115"/>
            </w:pPr>
            <w:r>
              <w:rPr>
                <w:rFonts w:ascii="Courier New" w:hAnsi="Courier New"/>
                <w:color w:val="1E3A5F"/>
                <w:sz w:val="17"/>
              </w:rPr>
              <w:t># SoD matrix — prevents same user having incompatible roles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>SoD_MATRIX = {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'finance_staff':      ['enter_transactions', 'upload_invoices'],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'finance_manager':    ['approve_payments', 'post_transactions'],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'compliance_officer': ['manage_controls', 'manage_subrecipients'],</w:t>
            </w:r>
            <w:r>
              <w:rPr>
                <w:rFonts w:ascii="Courier New" w:hAnsi="Courier New"/>
                <w:color w:val="1E3A5F"/>
                <w:sz w:val="17"/>
              </w:rPr>
              <w:br/>
              <w:t xml:space="preserve">    'auditor':            ['read_all'],</w:t>
            </w:r>
            <w:r>
              <w:rPr>
                <w:rFonts w:ascii="Courier New" w:hAnsi="Courier New"/>
                <w:color w:val="1E3A5F"/>
                <w:sz w:val="17"/>
              </w:rPr>
              <w:br/>
              <w:t>}</w:t>
            </w:r>
            <w:r>
              <w:rPr>
                <w:rFonts w:ascii="Courier New" w:hAnsi="Courier New"/>
                <w:color w:val="1E3A5F"/>
                <w:sz w:val="17"/>
              </w:rPr>
              <w:br/>
            </w:r>
            <w:r>
              <w:rPr>
                <w:rFonts w:ascii="Courier New" w:hAnsi="Courier New"/>
                <w:color w:val="1E3A5F"/>
                <w:sz w:val="17"/>
              </w:rPr>
              <w:br/>
              <w:t># Same user CANNOT hold both finance_staff + finance_manager roles</w:t>
            </w:r>
            <w:r>
              <w:rPr>
                <w:rFonts w:ascii="Courier New" w:hAnsi="Courier New"/>
                <w:color w:val="1E3A5F"/>
                <w:sz w:val="17"/>
              </w:rPr>
              <w:br/>
              <w:t># → VIOLATION: conflict between enter_transactions and approve_payments</w:t>
            </w:r>
          </w:p>
        </w:tc>
      </w:tr>
    </w:tbl>
    <w:p>
      <w:pPr>
        <w:spacing w:after="80"/>
      </w:pPr>
    </w:p>
    <w:p>
      <w:pPr>
        <w:spacing w:before="360" w:after="80"/>
        <w:pBdr>
          <w:bottom w:val="single" w:sz="8" w:space="1" w:color="00275A"/>
        </w:pBdr>
      </w:pPr>
      <w:r>
        <w:rPr>
          <w:rFonts w:ascii="Calibri" w:hAnsi="Calibri"/>
          <w:b/>
          <w:color w:val="00275A"/>
          <w:sz w:val="30"/>
        </w:rPr>
        <w:t>7.  TECHNICAL STACK &amp; PETITIONER AUTHORSHIP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168"/>
            <w:shd w:val="clear" w:color="auto" w:fill="E8F0FE"/>
          </w:tcPr>
          <w:p>
            <w:r>
              <w:rPr>
                <w:rFonts w:ascii="Calibri" w:hAnsi="Calibri"/>
                <w:b/>
                <w:color w:val="00275A"/>
                <w:sz w:val="19"/>
              </w:rPr>
              <w:t>Backend Framework</w:t>
            </w:r>
          </w:p>
        </w:tc>
        <w:tc>
          <w:tcPr>
            <w:tcW w:type="dxa" w:w="5184"/>
          </w:tcPr>
          <w:p>
            <w:r>
              <w:t>FastAPI (Python 3.12) — 14 feature modules</w:t>
            </w:r>
          </w:p>
        </w:tc>
      </w:tr>
      <w:tr>
        <w:tc>
          <w:tcPr>
            <w:tcW w:type="dxa" w:w="3168"/>
            <w:shd w:val="clear" w:color="auto" w:fill="E8F0FE"/>
          </w:tcPr>
          <w:p>
            <w:r>
              <w:rPr>
                <w:rFonts w:ascii="Calibri" w:hAnsi="Calibri"/>
                <w:b/>
                <w:color w:val="00275A"/>
                <w:sz w:val="19"/>
              </w:rPr>
              <w:t>Database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19"/>
              </w:rPr>
              <w:t>PostgreSQL 17 with Row-Level Security (RLS)</w:t>
            </w:r>
          </w:p>
        </w:tc>
      </w:tr>
      <w:tr>
        <w:tc>
          <w:tcPr>
            <w:tcW w:type="dxa" w:w="3168"/>
            <w:shd w:val="clear" w:color="auto" w:fill="E8F0FE"/>
          </w:tcPr>
          <w:p>
            <w:r>
              <w:rPr>
                <w:rFonts w:ascii="Calibri" w:hAnsi="Calibri"/>
                <w:b/>
                <w:color w:val="00275A"/>
                <w:sz w:val="19"/>
              </w:rPr>
              <w:t>Frontend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19"/>
              </w:rPr>
              <w:t>Next.js 14 / React 18 / TypeScript</w:t>
            </w:r>
          </w:p>
        </w:tc>
      </w:tr>
      <w:tr>
        <w:tc>
          <w:tcPr>
            <w:tcW w:type="dxa" w:w="3168"/>
            <w:shd w:val="clear" w:color="auto" w:fill="E8F0FE"/>
          </w:tcPr>
          <w:p>
            <w:r>
              <w:rPr>
                <w:rFonts w:ascii="Calibri" w:hAnsi="Calibri"/>
                <w:b/>
                <w:color w:val="00275A"/>
                <w:sz w:val="19"/>
              </w:rPr>
              <w:t>Authentication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19"/>
              </w:rPr>
              <w:t>Auth0 JWT RS256 — RS256-signed tokens, JWKS endpoint validation</w:t>
            </w:r>
          </w:p>
        </w:tc>
      </w:tr>
      <w:tr>
        <w:tc>
          <w:tcPr>
            <w:tcW w:type="dxa" w:w="3168"/>
            <w:shd w:val="clear" w:color="auto" w:fill="E8F0FE"/>
          </w:tcPr>
          <w:p>
            <w:r>
              <w:rPr>
                <w:rFonts w:ascii="Calibri" w:hAnsi="Calibri"/>
                <w:b/>
                <w:color w:val="00275A"/>
                <w:sz w:val="19"/>
              </w:rPr>
              <w:t>Task Queue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19"/>
              </w:rPr>
              <w:t>Celery + Redis — async fraud scoring pipeline</w:t>
            </w:r>
          </w:p>
        </w:tc>
      </w:tr>
      <w:tr>
        <w:tc>
          <w:tcPr>
            <w:tcW w:type="dxa" w:w="3168"/>
            <w:shd w:val="clear" w:color="auto" w:fill="E8F0FE"/>
          </w:tcPr>
          <w:p>
            <w:r>
              <w:rPr>
                <w:rFonts w:ascii="Calibri" w:hAnsi="Calibri"/>
                <w:b/>
                <w:color w:val="00275A"/>
                <w:sz w:val="19"/>
              </w:rPr>
              <w:t>Search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19"/>
              </w:rPr>
              <w:t>OpenSearch 2.x — transaction full-text index</w:t>
            </w:r>
          </w:p>
        </w:tc>
      </w:tr>
      <w:tr>
        <w:tc>
          <w:tcPr>
            <w:tcW w:type="dxa" w:w="3168"/>
            <w:shd w:val="clear" w:color="auto" w:fill="E8F0FE"/>
          </w:tcPr>
          <w:p>
            <w:r>
              <w:rPr>
                <w:rFonts w:ascii="Calibri" w:hAnsi="Calibri"/>
                <w:b/>
                <w:color w:val="00275A"/>
                <w:sz w:val="19"/>
              </w:rPr>
              <w:t>Cloud Platform</w:t>
            </w:r>
          </w:p>
        </w:tc>
        <w:tc>
          <w:tcPr>
            <w:tcW w:type="dxa" w:w="5184"/>
          </w:tcPr>
          <w:p>
            <w:r>
              <w:t>Railway / Vercel (current); AWS GovCloud roadmapped (Exhibit 28.G11)</w:t>
            </w:r>
          </w:p>
        </w:tc>
      </w:tr>
      <w:tr>
        <w:tc>
          <w:tcPr>
            <w:tcW w:type="dxa" w:w="3168"/>
            <w:shd w:val="clear" w:color="auto" w:fill="E8F0FE"/>
          </w:tcPr>
          <w:p>
            <w:r>
              <w:rPr>
                <w:rFonts w:ascii="Calibri" w:hAnsi="Calibri"/>
                <w:b/>
                <w:color w:val="00275A"/>
                <w:sz w:val="19"/>
              </w:rPr>
              <w:t>ML Frameworks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19"/>
              </w:rPr>
              <w:t>XGBoost, scikit-learn (IsolationForest), SHAP</w:t>
            </w:r>
          </w:p>
        </w:tc>
      </w:tr>
      <w:tr>
        <w:tc>
          <w:tcPr>
            <w:tcW w:type="dxa" w:w="3168"/>
            <w:shd w:val="clear" w:color="auto" w:fill="E8F0FE"/>
          </w:tcPr>
          <w:p>
            <w:r>
              <w:rPr>
                <w:rFonts w:ascii="Calibri" w:hAnsi="Calibri"/>
                <w:b/>
                <w:color w:val="00275A"/>
                <w:sz w:val="19"/>
              </w:rPr>
              <w:t>Fraud Rules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19"/>
              </w:rPr>
              <w:t>47 rules (FDE-001–FDE-047) — petitioner-authored</w:t>
            </w:r>
          </w:p>
        </w:tc>
      </w:tr>
      <w:tr>
        <w:tc>
          <w:tcPr>
            <w:tcW w:type="dxa" w:w="3168"/>
            <w:shd w:val="clear" w:color="auto" w:fill="E8F0FE"/>
          </w:tcPr>
          <w:p>
            <w:r>
              <w:rPr>
                <w:rFonts w:ascii="Calibri" w:hAnsi="Calibri"/>
                <w:b/>
                <w:color w:val="00275A"/>
                <w:sz w:val="19"/>
              </w:rPr>
              <w:t>Compliance Rules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19"/>
              </w:rPr>
              <w:t>10 rules (CM-001–CM-010) — 2 CFR Part 200 aligned</w:t>
            </w:r>
          </w:p>
        </w:tc>
      </w:tr>
      <w:tr>
        <w:tc>
          <w:tcPr>
            <w:tcW w:type="dxa" w:w="3168"/>
            <w:shd w:val="clear" w:color="auto" w:fill="E8F0FE"/>
          </w:tcPr>
          <w:p>
            <w:r>
              <w:rPr>
                <w:rFonts w:ascii="Calibri" w:hAnsi="Calibri"/>
                <w:b/>
                <w:color w:val="00275A"/>
                <w:sz w:val="19"/>
              </w:rPr>
              <w:t>ML Models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19"/>
              </w:rPr>
              <w:t>3 models: XGBoost Classifier, IsolationForest, XGBoost Forecaster</w:t>
            </w:r>
          </w:p>
        </w:tc>
      </w:tr>
      <w:tr>
        <w:tc>
          <w:tcPr>
            <w:tcW w:type="dxa" w:w="3168"/>
            <w:shd w:val="clear" w:color="auto" w:fill="E8F0FE"/>
          </w:tcPr>
          <w:p>
            <w:r>
              <w:rPr>
                <w:rFonts w:ascii="Calibri" w:hAnsi="Calibri"/>
                <w:b/>
                <w:color w:val="00275A"/>
                <w:sz w:val="19"/>
              </w:rPr>
              <w:t>Anomaly Detectors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19"/>
              </w:rPr>
              <w:t>7 detectors: 6 statistical + 1 ML (IsolationForest)</w:t>
            </w:r>
          </w:p>
        </w:tc>
      </w:tr>
      <w:tr>
        <w:tc>
          <w:tcPr>
            <w:tcW w:type="dxa" w:w="3168"/>
            <w:shd w:val="clear" w:color="auto" w:fill="E8F0FE"/>
          </w:tcPr>
          <w:p>
            <w:r>
              <w:rPr>
                <w:rFonts w:ascii="Calibri" w:hAnsi="Calibri"/>
                <w:b/>
                <w:color w:val="00275A"/>
                <w:sz w:val="19"/>
              </w:rPr>
              <w:t>Feature Dimensions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19"/>
              </w:rPr>
              <w:t>47-dim (fraud), 20-dim (anomaly), 15-dim (forecaster)</w:t>
            </w:r>
          </w:p>
        </w:tc>
      </w:tr>
    </w:tbl>
    <w:p>
      <w:pPr>
        <w:spacing w:after="120"/>
      </w:pPr>
    </w:p>
    <w:p>
      <w:pPr>
        <w:spacing w:before="160" w:after="160"/>
        <w:ind w:left="288"/>
        <w:pBdr>
          <w:left w:val="single" w:sz="32" w:space="8" w:color="C9A02A"/>
        </w:pBdr>
      </w:pPr>
      <w:r>
        <w:rPr>
          <w:rFonts w:ascii="Calibri" w:hAnsi="Calibri"/>
          <w:b/>
          <w:i/>
          <w:color w:val="7A5C00"/>
          <w:sz w:val="20"/>
        </w:rPr>
        <w:t>DHANASAR PRONG 2 CONCLUSION: The source code evidence presented in this exhibit demonstrates that petitioner Muhammad Bilal personally designed and implemented: (1) a 47-rule GAO-aligned fraud detection engine with weighted composite scoring; (2) a 6-detector statistical anomaly processing pipeline with Z-score and behavioral thresholds; (3) a BFS graph traversal entity intelligence layer; and (4) a three-model ML pipeline (XGBoost × 2 + IsolationForest) with SHAP explainability. This constitutes advanced algorithmic authorship demonstrating that petitioner is 'well-positioned to advance the proposed endeavor' within the meaning of Matter of Dhanasar (AAO 2016).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/>
        <w:jc w:val="center"/>
      </w:pPr>
      <w:r>
        <w:rPr>
          <w:i/>
          <w:color w:val="999999"/>
          <w:sz w:val="16"/>
        </w:rPr>
        <w:t>ATTORNEY-CLIENT PRIVILEGED — FOR PETITION USE ONLY  ·  GovGuard™ Exhibit 28.G6  ·  Muhammad Bilal EB-2 NIW Petition  ·  Source code available for attorney/USCIS adjudicator review upon request</w:t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