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28.G8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System API Output Examples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Fraud Assessment | Anomaly Detection | Compliance Monitor | Risk Prediction | Entity Graph</w:t>
      </w:r>
    </w:p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This exhibit presents representative API output from the GovGuard™ v2 REST API. All examples reflect the actual response format returned by the live endpoints as defined in govguard/backend/api/routes/v2/routes.py. These outputs demonstrate the platform's ability to deliver structured, audit-ready, machine-readable compliance and fraud intelligence to any consuming system.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 POST /api/v2/fraud/assess/{tx_id} — Fraud Assessment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Runs the full 47-rule fraud engine plus XGBoost classifier against a transaction. Returns composite score, risk tier, triggered rules with evidence, GAO references, recommended action, and shadow model comparison.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"assessment": {</w:t>
        <w:br/>
        <w:t xml:space="preserve">    "transaction_id":   "a4f82c1d-9b3e-4a72-bc51-3e8f9c0d2a17",</w:t>
        <w:br/>
        <w:t xml:space="preserve">    "composite_score":  78.5,</w:t>
        <w:br/>
        <w:t xml:space="preserve">    "risk_tier":        "CRITICAL",</w:t>
        <w:br/>
        <w:t xml:space="preserve">    "scoring_method":   "ml_xgboost",</w:t>
        <w:br/>
        <w:t xml:space="preserve">    "triggered_rules":  ["FDE-001", "FDE-005", "FDE-012"],</w:t>
        <w:br/>
        <w:t xml:space="preserve">    "recommended_action": "BLOCK",</w:t>
        <w:br/>
        <w:t xml:space="preserve">    "gao_references": [</w:t>
        <w:br/>
        <w:t xml:space="preserve">      "GAO Cat1-Ex10 (Duplicate Vendor Payments in DoD)",</w:t>
        <w:br/>
        <w:t xml:space="preserve">      "GAO Cat5-Ex4 (Manual SAM.gov Exclusion Checks)",</w:t>
        <w:br/>
        <w:t xml:space="preserve">      "GAO Cat1-Ex27 (Federal Grant Double-Dipping)"</w:t>
        <w:br/>
        <w:t xml:space="preserve">    ],</w:t>
        <w:br/>
        <w:t xml:space="preserve">    "explanation": "Score 78.5/100. Top signals: Exact duplicate invoice; Vendor on SAM.gov exclusion list; Potential cross-grant double charge. 3 of 47 rules triggered. Full signal detail in signal_detail array.",</w:t>
        <w:br/>
        <w:t xml:space="preserve">    "signal_detail": [</w:t>
        <w:br/>
        <w:t xml:space="preserve">      {"rule":"FDE-001","triggered":true, "weight":2.5,"evidence":{"matched_tx":"b2c9...","invoice_ref":"INV-2026-0441"}},</w:t>
        <w:br/>
        <w:t xml:space="preserve">      {"rule":"FDE-005","triggered":true, "weight":3.0,"evidence":{"sam_status":"excluded"}},</w:t>
        <w:br/>
        <w:t xml:space="preserve">      {"rule":"FDE-012","triggered":true, "weight":2.0,"evidence":{"duplicate_grant_count":2,"cost_category":"personnel"}},</w:t>
        <w:br/>
        <w:t xml:space="preserve">      {"rule":"FDE-002","triggered":false,"weight":1.8,"evidence":{}},</w:t>
        <w:br/>
        <w:t xml:space="preserve">      ...</w:t>
        <w:br/>
        <w:t xml:space="preserve">    ]</w:t>
        <w:br/>
        <w:t xml:space="preserve">  },</w:t>
        <w:br/>
        <w:t xml:space="preserve">  "shadow_comparison": {</w:t>
        <w:br/>
        <w:t xml:space="preserve">    "rules_score":  72.0,</w:t>
        <w:br/>
        <w:t xml:space="preserve">    "ml_score":     78.5,</w:t>
        <w:br/>
        <w:t xml:space="preserve">    "rules_action": "BLOCK",</w:t>
        <w:br/>
        <w:t xml:space="preserve">    "ml_action":    "BLOCK",</w:t>
        <w:br/>
        <w:t xml:space="preserve">    "agreement":    true,</w:t>
        <w:br/>
        <w:t xml:space="preserve">    "delta":        6.5</w:t>
        <w:br/>
        <w:t xml:space="preserve">  },</w:t>
        <w:br/>
        <w:t xml:space="preserve">  "auto_actions_triggered": ["PAYMENT_BLOCK"],</w:t>
        <w:br/>
        <w:t xml:space="preserve">  "version": "v2"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 POST /api/v2/anomaly/detect/{grant_id} — Anomaly Detection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Runs all six statistical detectors plus the IsolationForest 20-feature ML outlier detector against the submitted transaction in the context of the grant's 90-day transaction history.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"grant_id":    "3f8a1c2e-7d4b-4e19-a321-9c6b8e0f5d2a",</w:t>
        <w:br/>
        <w:t xml:space="preserve">  "alert_count": 2,</w:t>
        <w:br/>
        <w:t xml:space="preserve">  "detection_method": "ml_isolation_forest+rules_statistical",</w:t>
        <w:br/>
        <w:t xml:space="preserve">  "ml_detector_available": true,</w:t>
        <w:br/>
        <w:t xml:space="preserve">  "ml_score": 0.7823,</w:t>
        <w:br/>
        <w:t xml:space="preserve">  "ml_flagged": true,</w:t>
        <w:br/>
        <w:t xml:space="preserve">  "alerts": [</w:t>
        <w:br/>
        <w:t xml:space="preserve">    {</w:t>
        <w:br/>
        <w:t xml:space="preserve">      "alert_id":   "e8f20a3c-...",</w:t>
        <w:br/>
        <w:t xml:space="preserve">      "type":       "BURNRATE_SPIKE",</w:t>
        <w:br/>
        <w:t xml:space="preserve">      "severity":   "CRITICAL",</w:t>
        <w:br/>
        <w:t xml:space="preserve">      "score":      73.4,</w:t>
        <w:br/>
        <w:t xml:space="preserve">      "description":"73.4% of total budget consumed in last 30 days",</w:t>
        <w:br/>
        <w:t xml:space="preserve">      "auto_action":"HOLD_PAYMENTS",</w:t>
        <w:br/>
        <w:t xml:space="preserve">      "gao_reference":"GAO Cat4-Ex15 (HHS Grant Compliance Coverage)"</w:t>
        <w:br/>
        <w:t xml:space="preserve">    },</w:t>
        <w:br/>
        <w:t xml:space="preserve">    {</w:t>
        <w:br/>
        <w:t xml:space="preserve">      "alert_id":   "c1d4e9f7-...",</w:t>
        <w:br/>
        <w:t xml:space="preserve">      "type":       "ML_OUTLIER",</w:t>
        <w:br/>
        <w:t xml:space="preserve">      "severity":   "CRITICAL",</w:t>
        <w:br/>
        <w:t xml:space="preserve">      "score":      0.7823,</w:t>
        <w:br/>
        <w:t xml:space="preserve">      "description":"IsolationForest anomaly score 0.78 — transaction exhibits unusual pattern across 20 behavioral features",</w:t>
        <w:br/>
        <w:t xml:space="preserve">      "auto_action":"HOLD_PAYMENTS",</w:t>
        <w:br/>
        <w:t xml:space="preserve">      "gao_reference":"GAO Cat3-Ex29 (Continuous risk assessment); Cat3-Ex23",</w:t>
        <w:br/>
        <w:t xml:space="preserve">      "detection_method":"ml_isolation_forest"</w:t>
        <w:br/>
        <w:t xml:space="preserve">    }</w:t>
        <w:br/>
        <w:t xml:space="preserve">  ],</w:t>
        <w:br/>
        <w:t xml:space="preserve">  "version": "v2"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 GET /api/v2/compliance/monitor/{grant_id} — Compliance Monitor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Runs all 10 OMB 2 CFR 200-mapped compliance rules against the grant's current state. Returns violations with CFR citation, GAO reference, severity, remediation guidance, and auto-CAP creation status.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"grant_id":         "3f8a1c2e-7d4b-4e19-a321-9c6b8e0f5d2a",</w:t>
        <w:br/>
        <w:t xml:space="preserve">  "violation_count":  2,</w:t>
        <w:br/>
        <w:t xml:space="preserve">  "auto_caps_created":1,</w:t>
        <w:br/>
        <w:t xml:space="preserve">  "violations": [</w:t>
        <w:br/>
        <w:t xml:space="preserve">    {</w:t>
        <w:br/>
        <w:t xml:space="preserve">      "rule_id":       "CM-004",</w:t>
        <w:br/>
        <w:t xml:space="preserve">      "grant_id":      "3f8a1c2e-...",</w:t>
        <w:br/>
        <w:t xml:space="preserve">      "severity":      "MATERIAL_WEAKNESS",</w:t>
        <w:br/>
        <w:t xml:space="preserve">      "cfr_citation":  "2 CFR 200.320",</w:t>
        <w:br/>
        <w:t xml:space="preserve">      "gao_reference": "GAO Cat1-Ex26 (Procurement Collusion — vendor rotation)",</w:t>
        <w:br/>
        <w:t xml:space="preserve">      "title":         "Competition Requirements",</w:t>
        <w:br/>
        <w:t xml:space="preserve">      "evidence":      {"transaction_id":"a4f8...","amount":47500.00,"method":"sole_source"},</w:t>
        <w:br/>
        <w:t xml:space="preserve">      "recommended_remediation":"Justify sole-source procurement or conduct competition per 2 CFR 200.320.",</w:t>
        <w:br/>
        <w:t xml:space="preserve">      "auto_cap_trigger": true,</w:t>
        <w:br/>
        <w:t xml:space="preserve">      "detected_at":   "2026-05-22T14:33:07"</w:t>
        <w:br/>
        <w:t xml:space="preserve">    },</w:t>
        <w:br/>
        <w:t xml:space="preserve">    {</w:t>
        <w:br/>
        <w:t xml:space="preserve">      "rule_id":       "CM-007",</w:t>
        <w:br/>
        <w:t xml:space="preserve">      "severity":      "FINDING",</w:t>
        <w:br/>
        <w:t xml:space="preserve">      "cfr_citation":  "2 CFR 200.344",</w:t>
        <w:br/>
        <w:t xml:space="preserve">      "gao_reference": "GAO Cat3-Ex23 (Continuous Monitoring of High-Risk Grants)",</w:t>
        <w:br/>
        <w:t xml:space="preserve">      "title":         "Grant Closeout",</w:t>
        <w:br/>
        <w:t xml:space="preserve">      "evidence":      {"period_end":"2026-01-15","days_overdue":127},</w:t>
        <w:br/>
        <w:t xml:space="preserve">      "recommended_remediation":"Grant closeout overdue by 127 days. Submit final financial report immediately.",</w:t>
        <w:br/>
        <w:t xml:space="preserve">      "auto_cap_trigger": false,</w:t>
        <w:br/>
        <w:t xml:space="preserve">      "detected_at":   "2026-05-22T14:33:07"</w:t>
        <w:br/>
        <w:t xml:space="preserve">    }</w:t>
        <w:br/>
        <w:t xml:space="preserve">  ],</w:t>
        <w:br/>
        <w:t xml:space="preserve">  "version": "v2"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4. GET /api/v2/risk/predict/{grant_id} — Predictive Risk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Returns a 30-day forward risk score with XGBoost SHAP drivers, compliance trend, GAO High-Risk program overlaps, and actionable recommendations.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"grant_id":             "3f8a1c2e-7d4b-4e19-a321-9c6b8e0f5d2a",</w:t>
        <w:br/>
        <w:t xml:space="preserve">  "predicted_risk_score": 68.4,</w:t>
        <w:br/>
        <w:t xml:space="preserve">  "current_risk_score":   52.1,</w:t>
        <w:br/>
        <w:t xml:space="preserve">  "trend":                "DETERIORATING",</w:t>
        <w:br/>
        <w:t xml:space="preserve">  "confidence":           0.82,</w:t>
        <w:br/>
        <w:t xml:space="preserve">  "prediction_method":    "ml_xgboost",</w:t>
        <w:br/>
        <w:t xml:space="preserve">  "risk_drivers": [</w:t>
        <w:br/>
        <w:t xml:space="preserve">    {"factor":"overdue_caps",        "contribution":18.2, "direction":"increasing_risk"},</w:t>
        <w:br/>
        <w:t xml:space="preserve">    {"factor":"compliance_slope",    "contribution":-12.4,"direction":"reducing_risk"},</w:t>
        <w:br/>
        <w:t xml:space="preserve">    {"factor":"vendor_network_risk", "contribution":9.7,  "direction":"increasing_risk"},</w:t>
        <w:br/>
        <w:t xml:space="preserve">    {"factor":"burnrate_pct",        "contribution":7.3,  "direction":"increasing_risk"},</w:t>
        <w:br/>
        <w:t xml:space="preserve">    {"factor":"open_findings",       "contribution":5.8,  "direction":"increasing_risk"},</w:t>
        <w:br/>
        <w:t xml:space="preserve">    {"factor":"period_end_pressure", "contribution":3.2,  "direction":"increasing_risk"}</w:t>
        <w:br/>
        <w:t xml:space="preserve">  ],</w:t>
        <w:br/>
        <w:t xml:space="preserve">  "recommended_actions": [</w:t>
        <w:br/>
        <w:t xml:space="preserve">    "Close 2 overdue CAP(s) before period end",</w:t>
        <w:br/>
        <w:t xml:space="preserve">    "Review vendor entity graph for conflict-of-interest links",</w:t>
        <w:br/>
        <w:t xml:space="preserve">    "Begin closeout checklist — period end within 30 days"</w:t>
        <w:br/>
        <w:t xml:space="preserve">  ],</w:t>
        <w:br/>
        <w:t xml:space="preserve">  "gao_high_risk_overlap": ["Medicaid — $50B+/year improper payments"],</w:t>
        <w:br/>
        <w:t xml:space="preserve">  "prediction_horizon_days": 30,</w:t>
        <w:br/>
        <w:t xml:space="preserve">  "version": "v2"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5. GET /api/v2/entity/graph — Entity Intelligence Graph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Returns the beneficial ownership and vendor relationship graph for the authenticated tenant, with conflict detection and risk summary.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"node_count":     12,</w:t>
        <w:br/>
        <w:t xml:space="preserve">  "edge_count":     7,</w:t>
        <w:br/>
        <w:t xml:space="preserve">  "conflict_count": 2,</w:t>
        <w:br/>
        <w:t xml:space="preserve">  "risk_summary": {</w:t>
        <w:br/>
        <w:t xml:space="preserve">    "total_nodes":       12,</w:t>
        <w:br/>
        <w:t xml:space="preserve">    "total_edges":       7,</w:t>
        <w:br/>
        <w:t xml:space="preserve">    "excluded_nodes":    1,</w:t>
        <w:br/>
        <w:t xml:space="preserve">    "high_risk_nodes":   2,</w:t>
        <w:br/>
        <w:t xml:space="preserve">    "conflict_count":    2,</w:t>
        <w:br/>
        <w:t xml:space="preserve">    "critical_conflicts":1</w:t>
        <w:br/>
        <w:t xml:space="preserve">  },</w:t>
        <w:br/>
        <w:t xml:space="preserve">  "nodes": [</w:t>
        <w:br/>
        <w:t xml:space="preserve">    {"id":"v-001","name":"Acme Consulting LLC","risk_score":82.0,"sam_status":"excluded"},</w:t>
        <w:br/>
        <w:t xml:space="preserve">    {"id":"v-002","name":"BetaCorp Services",  "risk_score":31.0,"sam_status":"active"},</w:t>
        <w:br/>
        <w:t xml:space="preserve">    ...</w:t>
        <w:br/>
        <w:t xml:space="preserve">  ],</w:t>
        <w:br/>
        <w:t xml:space="preserve">  "edges": [</w:t>
        <w:br/>
        <w:t xml:space="preserve">    {"source":"v-001","target":"v-002","type":"SHARED_EIN",       "confidence":1.0},</w:t>
        <w:br/>
        <w:t xml:space="preserve">    {"source":"v-002","target":"v-005","type":"SYNCHRONIZED_BILLING","confidence":0.7},</w:t>
        <w:br/>
        <w:t xml:space="preserve">    ...</w:t>
        <w:br/>
        <w:t xml:space="preserve">  ],</w:t>
        <w:br/>
        <w:t xml:space="preserve">  "conflict_flags": [</w:t>
        <w:br/>
        <w:t xml:space="preserve">    {</w:t>
        <w:br/>
        <w:t xml:space="preserve">      "conflict_type":  "EXCLUDED_ENTITY_LINK",</w:t>
        <w:br/>
        <w:t xml:space="preserve">      "edge":           {"source":"v-001","target":"v-002","type":"SHARED_EIN"},</w:t>
        <w:br/>
        <w:t xml:space="preserve">      "gao_reference":  "GAO Cat5-Ex4 (SAM.gov Exclusion Checks)",</w:t>
        <w:br/>
        <w:t xml:space="preserve">      "severity":       "CRITICAL"</w:t>
        <w:br/>
        <w:t xml:space="preserve">    }</w:t>
        <w:br/>
        <w:t xml:space="preserve">  ],</w:t>
        <w:br/>
        <w:t xml:space="preserve">  "version": "v2"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6. GET /api/v2/fraud/drift-report — Model Drift Monitor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"psi":    0.08,</w:t>
        <w:br/>
        <w:t xml:space="preserve">  "status": "stable",</w:t>
        <w:br/>
        <w:t xml:space="preserve">  "baseline_n": 312,</w:t>
        <w:br/>
        <w:t xml:space="preserve">  "recent_n":   47,</w:t>
        <w:br/>
        <w:t xml:space="preserve">  "bucket_labels":           ["0-10","10-20","20-30","30-40","40-50","50-60","60-70","70-80","80-90","90-100"],</w:t>
        <w:br/>
        <w:t xml:space="preserve">  "baseline_distribution":   [0.421, 0.187, 0.134, 0.089, 0.062, 0.041, 0.031, 0.019, 0.011, 0.005],</w:t>
        <w:br/>
        <w:t xml:space="preserve">  "current_distribution":    [0.409, 0.194, 0.141, 0.092, 0.058, 0.044, 0.033, 0.017, 0.008, 0.004],</w:t>
        <w:br/>
        <w:t xml:space="preserve">  "interpretation":          "PSI &lt; 0.10 — model distribution unchanged",</w:t>
        <w:br/>
        <w:t xml:space="preserve">  "baseline_window_days":    30,</w:t>
        <w:br/>
        <w:t xml:space="preserve">  "recent_window_days":      7,</w:t>
        <w:br/>
        <w:t xml:space="preserve">  "version": "v2"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