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36B"/>
          <w:sz w:val="32"/>
        </w:rPr>
        <w:t>EXHIBIT 18</w:t>
      </w:r>
    </w:p>
    <w:p>
      <w:pPr>
        <w:jc w:val="center"/>
      </w:pPr>
      <w:r>
        <w:rPr>
          <w:rFonts w:ascii="Times New Roman" w:hAnsi="Times New Roman"/>
          <w:b/>
          <w:sz w:val="28"/>
        </w:rPr>
        <w:t>GovGuard™ Compliance Dashboard and KPI Interface</w:t>
      </w:r>
    </w:p>
    <w:p>
      <w:pPr>
        <w:jc w:val="center"/>
      </w:pPr>
      <w:r>
        <w:rPr>
          <w:rFonts w:ascii="Times New Roman" w:hAnsi="Times New Roman"/>
          <w:i/>
          <w:sz w:val="22"/>
        </w:rPr>
        <w:t>Real-Time Compliance Monitoring, KPI Tiles, and Alert Management</w:t>
      </w:r>
    </w:p>
    <w:p>
      <w:r>
        <w:rPr>
          <w:rFonts w:ascii="Times New Roman" w:hAnsi="Times New Roman"/>
          <w:sz w:val="18"/>
        </w:rPr>
        <w:t>──────────────────────────────────────────────────────────────────────────────────────────</w:t>
      </w:r>
    </w:p>
    <w:p>
      <w:pPr>
        <w:spacing w:after="120"/>
        <w:ind w:left="0" w:firstLine="432"/>
        <w:jc w:val="both"/>
      </w:pPr>
      <w:r>
        <w:rPr>
          <w:rFonts w:ascii="Times New Roman" w:hAnsi="Times New Roman"/>
          <w:sz w:val="24"/>
        </w:rPr>
        <w:t>This exhibit documents the GovGuard™ Compliance Dashboard — the primary operational interface through which grantor oversight personnel and grantee compliance officers monitor grant health, manage compliance controls, and triage fraud and anomaly alerts in real time. The dashboard is implemented as a Next.js 14 application with SWR-based live data polling, providing continuously updated metrics without requiring page refresh.</w:t>
      </w:r>
    </w:p>
    <w:p>
      <w:pPr>
        <w:spacing w:before="200" w:after="80"/>
      </w:pPr>
      <w:r>
        <w:rPr>
          <w:rFonts w:ascii="Times New Roman" w:hAnsi="Times New Roman"/>
          <w:b/>
          <w:color w:val="1A3A5C"/>
          <w:sz w:val="24"/>
        </w:rPr>
        <w:t>1. Dashboard KPI Tiles</w:t>
      </w:r>
    </w:p>
    <w:p>
      <w:pPr>
        <w:spacing w:after="120"/>
        <w:ind w:left="0" w:firstLine="432"/>
        <w:jc w:val="both"/>
      </w:pPr>
      <w:r>
        <w:rPr>
          <w:rFonts w:ascii="Times New Roman" w:hAnsi="Times New Roman"/>
          <w:sz w:val="24"/>
        </w:rPr>
        <w:t>The top section of the dashboard displays four KPI tiles aggregated from the GET /api/v1/dashboard/kpis endpoint (5-minute Redis cache). The KPIs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KPI Tile</w:t>
            </w:r>
          </w:p>
        </w:tc>
        <w:tc>
          <w:tcPr>
            <w:tcW w:type="dxa" w:w="2880"/>
          </w:tcPr>
          <w:p>
            <w:r>
              <w:rPr>
                <w:rFonts w:ascii="Times New Roman" w:hAnsi="Times New Roman"/>
                <w:b/>
                <w:sz w:val="22"/>
              </w:rPr>
              <w:t>Definition</w:t>
            </w:r>
          </w:p>
        </w:tc>
        <w:tc>
          <w:tcPr>
            <w:tcW w:type="dxa" w:w="2880"/>
          </w:tcPr>
          <w:p>
            <w:r>
              <w:rPr>
                <w:rFonts w:ascii="Times New Roman" w:hAnsi="Times New Roman"/>
                <w:b/>
                <w:sz w:val="22"/>
              </w:rPr>
              <w:t>Color Thresholds</w:t>
            </w:r>
          </w:p>
        </w:tc>
      </w:tr>
      <w:tr>
        <w:tc>
          <w:tcPr>
            <w:tcW w:type="dxa" w:w="2880"/>
          </w:tcPr>
          <w:p>
            <w:r>
              <w:rPr>
                <w:rFonts w:ascii="Times New Roman" w:hAnsi="Times New Roman"/>
                <w:sz w:val="20"/>
              </w:rPr>
              <w:t>Improper Payment Rate</w:t>
            </w:r>
          </w:p>
        </w:tc>
        <w:tc>
          <w:tcPr>
            <w:tcW w:type="dxa" w:w="2880"/>
          </w:tcPr>
          <w:p>
            <w:r>
              <w:rPr>
                <w:rFonts w:ascii="Times New Roman" w:hAnsi="Times New Roman"/>
                <w:sz w:val="20"/>
              </w:rPr>
              <w:t>% of transactions flagged (not approved/rejected) / total transactions in period</w:t>
            </w:r>
          </w:p>
        </w:tc>
        <w:tc>
          <w:tcPr>
            <w:tcW w:type="dxa" w:w="2880"/>
          </w:tcPr>
          <w:p>
            <w:r>
              <w:rPr>
                <w:rFonts w:ascii="Times New Roman" w:hAnsi="Times New Roman"/>
                <w:sz w:val="20"/>
              </w:rPr>
              <w:t>Red &gt; 10%; Amber 5–10%; Green &lt; 5%</w:t>
            </w:r>
          </w:p>
        </w:tc>
      </w:tr>
      <w:tr>
        <w:tc>
          <w:tcPr>
            <w:tcW w:type="dxa" w:w="2880"/>
          </w:tcPr>
          <w:p>
            <w:r>
              <w:rPr>
                <w:rFonts w:ascii="Times New Roman" w:hAnsi="Times New Roman"/>
                <w:sz w:val="20"/>
              </w:rPr>
              <w:t>Average Compliance Score</w:t>
            </w:r>
          </w:p>
        </w:tc>
        <w:tc>
          <w:tcPr>
            <w:tcW w:type="dxa" w:w="2880"/>
          </w:tcPr>
          <w:p>
            <w:r>
              <w:rPr>
                <w:rFonts w:ascii="Times New Roman" w:hAnsi="Times New Roman"/>
                <w:sz w:val="20"/>
              </w:rPr>
              <w:t>Mean compliance_score across all active grants with a recorded score</w:t>
            </w:r>
          </w:p>
        </w:tc>
        <w:tc>
          <w:tcPr>
            <w:tcW w:type="dxa" w:w="2880"/>
          </w:tcPr>
          <w:p>
            <w:r>
              <w:rPr>
                <w:rFonts w:ascii="Times New Roman" w:hAnsi="Times New Roman"/>
                <w:sz w:val="20"/>
              </w:rPr>
              <w:t>Red &lt; 50; Amber 50–74; Green ≥ 75</w:t>
            </w:r>
          </w:p>
        </w:tc>
      </w:tr>
      <w:tr>
        <w:tc>
          <w:tcPr>
            <w:tcW w:type="dxa" w:w="2880"/>
          </w:tcPr>
          <w:p>
            <w:r>
              <w:rPr>
                <w:rFonts w:ascii="Times New Roman" w:hAnsi="Times New Roman"/>
                <w:sz w:val="20"/>
              </w:rPr>
              <w:t>Open Findings</w:t>
            </w:r>
          </w:p>
        </w:tc>
        <w:tc>
          <w:tcPr>
            <w:tcW w:type="dxa" w:w="2880"/>
          </w:tcPr>
          <w:p>
            <w:r>
              <w:rPr>
                <w:rFonts w:ascii="Times New Roman" w:hAnsi="Times New Roman"/>
                <w:sz w:val="20"/>
              </w:rPr>
              <w:t>Count of audit findings with status = 'open' across all active grants</w:t>
            </w:r>
          </w:p>
        </w:tc>
        <w:tc>
          <w:tcPr>
            <w:tcW w:type="dxa" w:w="2880"/>
          </w:tcPr>
          <w:p>
            <w:r>
              <w:rPr>
                <w:rFonts w:ascii="Times New Roman" w:hAnsi="Times New Roman"/>
                <w:sz w:val="20"/>
              </w:rPr>
              <w:t>Red &gt; 20; Amber 10–20; Green &lt; 10</w:t>
            </w:r>
          </w:p>
        </w:tc>
      </w:tr>
      <w:tr>
        <w:tc>
          <w:tcPr>
            <w:tcW w:type="dxa" w:w="2880"/>
          </w:tcPr>
          <w:p>
            <w:r>
              <w:rPr>
                <w:rFonts w:ascii="Times New Roman" w:hAnsi="Times New Roman"/>
                <w:sz w:val="20"/>
              </w:rPr>
              <w:t>Flagged Transactions (30d)</w:t>
            </w:r>
          </w:p>
        </w:tc>
        <w:tc>
          <w:tcPr>
            <w:tcW w:type="dxa" w:w="2880"/>
          </w:tcPr>
          <w:p>
            <w:r>
              <w:rPr>
                <w:rFonts w:ascii="Times New Roman" w:hAnsi="Times New Roman"/>
                <w:sz w:val="20"/>
              </w:rPr>
              <w:t>Count of transactions with flag_status NOT IN ('approved','rejected') in last 30 days</w:t>
            </w:r>
          </w:p>
        </w:tc>
        <w:tc>
          <w:tcPr>
            <w:tcW w:type="dxa" w:w="2880"/>
          </w:tcPr>
          <w:p>
            <w:r>
              <w:rPr>
                <w:rFonts w:ascii="Times New Roman" w:hAnsi="Times New Roman"/>
                <w:sz w:val="20"/>
              </w:rPr>
              <w:t>Absolute count with period-over-period trend arrow</w:t>
            </w:r>
          </w:p>
        </w:tc>
      </w:tr>
    </w:tbl>
    <w:p/>
    <w:p>
      <w:pPr>
        <w:spacing w:before="160" w:after="80"/>
        <w:jc w:val="center"/>
      </w:pPr>
      <w:r>
        <w:rPr>
          <w:rFonts w:ascii="Courier New" w:hAnsi="Courier New"/>
          <w:color w:val="222299"/>
          <w:sz w:val="18"/>
        </w:rPr>
        <w:t>╔════════════════════════════════════════════════════════════════╗</w:t>
        <w:br/>
        <w:t>║                                                                ║</w:t>
        <w:br/>
        <w:t>║                   [ SCREENSHOT PLACEHOLDER ]                   ║</w:t>
        <w:br/>
        <w:t>║              SCREENSHOT: Dashboard KPI Tiles Row               ║</w:t>
        <w:br/>
        <w:t>║ 4 tiles side by side: [Improper Payment Rate 3.2%] [Compliance ║</w:t>
        <w:br/>
        <w:t>║                                                                ║</w:t>
        <w:br/>
        <w:t>╚════════════════════════════════════════════════════════════════╝</w:t>
      </w:r>
    </w:p>
    <w:p>
      <w:pPr>
        <w:spacing w:before="40" w:after="240"/>
        <w:jc w:val="center"/>
      </w:pPr>
      <w:r>
        <w:rPr>
          <w:rFonts w:ascii="Times New Roman" w:hAnsi="Times New Roman"/>
          <w:i/>
          <w:color w:val="444444"/>
          <w:sz w:val="20"/>
        </w:rPr>
        <w:t>Figure: Dashboard KPI Tiles — Four real-time KPI tiles with color coding and trend indicators; data source: GET /api/v1/dashboard/kpis (govguard/frontend/components/dashboard/KPITile.tsx)</w:t>
      </w:r>
    </w:p>
    <w:p>
      <w:pPr>
        <w:spacing w:before="200" w:after="80"/>
      </w:pPr>
      <w:r>
        <w:rPr>
          <w:rFonts w:ascii="Times New Roman" w:hAnsi="Times New Roman"/>
          <w:b/>
          <w:color w:val="1A3A5C"/>
          <w:sz w:val="24"/>
        </w:rPr>
        <w:t>2. Risk Leaderboard</w:t>
      </w:r>
    </w:p>
    <w:p>
      <w:pPr>
        <w:spacing w:after="120"/>
        <w:ind w:left="0" w:firstLine="432"/>
        <w:jc w:val="both"/>
      </w:pPr>
      <w:r>
        <w:rPr>
          <w:rFonts w:ascii="Times New Roman" w:hAnsi="Times New Roman"/>
          <w:sz w:val="24"/>
        </w:rPr>
        <w:t>Below the KPI tiles, the Risk Leaderboard displays up to 10 active grants ranked by compliance score (ascending — worst first). This allows oversight officers to immediately identify the highest-risk grants requiring attention without reviewing the entire portfolio.</w:t>
      </w:r>
    </w:p>
    <w:p>
      <w:pPr>
        <w:spacing w:before="160" w:after="80"/>
        <w:jc w:val="center"/>
      </w:pPr>
      <w:r>
        <w:rPr>
          <w:rFonts w:ascii="Courier New" w:hAnsi="Courier New"/>
          <w:color w:val="222299"/>
          <w:sz w:val="18"/>
        </w:rPr>
        <w:t>╔════════════════════════════════════════════════════════════════╗</w:t>
        <w:br/>
        <w:t>║                                                                ║</w:t>
        <w:br/>
        <w:t>║                   [ SCREENSHOT PLACEHOLDER ]                   ║</w:t>
        <w:br/>
        <w:t>║            SCREENSHOT: Risk Leaderboard — Full View            ║</w:t>
        <w:br/>
        <w:t>║ Table with columns: Rank | Award Number | Agency | Compliance  ║</w:t>
        <w:br/>
        <w:t>║                                                                ║</w:t>
        <w:br/>
        <w:t>╚════════════════════════════════════════════════════════════════╝</w:t>
      </w:r>
    </w:p>
    <w:p>
      <w:pPr>
        <w:spacing w:before="40" w:after="240"/>
        <w:jc w:val="center"/>
      </w:pPr>
      <w:r>
        <w:rPr>
          <w:rFonts w:ascii="Times New Roman" w:hAnsi="Times New Roman"/>
          <w:i/>
          <w:color w:val="444444"/>
          <w:sz w:val="20"/>
        </w:rPr>
        <w:t>Figure: Risk Leaderboard — Active grants sorted worst-first; compliance score ring and risk tier badge per row; click to navigate to full compliance view (govguard/frontend/components/dashboard/RiskLeaderboard.tsx)</w:t>
      </w:r>
    </w:p>
    <w:p>
      <w:pPr>
        <w:spacing w:before="200" w:after="80"/>
      </w:pPr>
      <w:r>
        <w:rPr>
          <w:rFonts w:ascii="Times New Roman" w:hAnsi="Times New Roman"/>
          <w:b/>
          <w:color w:val="1A3A5C"/>
          <w:sz w:val="24"/>
        </w:rPr>
        <w:t>3. Alert Triage Queue</w:t>
      </w:r>
    </w:p>
    <w:p>
      <w:pPr>
        <w:spacing w:after="120"/>
        <w:ind w:left="0" w:firstLine="432"/>
        <w:jc w:val="both"/>
      </w:pPr>
      <w:r>
        <w:rPr>
          <w:rFonts w:ascii="Times New Roman" w:hAnsi="Times New Roman"/>
          <w:sz w:val="24"/>
        </w:rPr>
        <w:t>The Alert Triage panel surfaces all open fraud and anomaly alerts (risk_score &gt;= 75, flag_status not cleared), ordered by recency. Each alert shows type, severity badge, timestamp, and a direct navigation link to the flagged transaction or grant record.</w:t>
      </w:r>
    </w:p>
    <w:p>
      <w:pPr>
        <w:spacing w:before="160" w:after="80"/>
        <w:jc w:val="center"/>
      </w:pPr>
      <w:r>
        <w:rPr>
          <w:rFonts w:ascii="Courier New" w:hAnsi="Courier New"/>
          <w:color w:val="222299"/>
          <w:sz w:val="18"/>
        </w:rPr>
        <w:t>╔════════════════════════════════════════════════════════════════╗</w:t>
        <w:br/>
        <w:t>║                                                                ║</w:t>
        <w:br/>
        <w:t>║                   [ SCREENSHOT PLACEHOLDER ]                   ║</w:t>
        <w:br/>
        <w:t>║                 SCREENSHOT: Alert Triage Queue                 ║</w:t>
        <w:br/>
        <w:t>║ List of alerts: [CRITICAL FRAUD_FLAG - tx a4f8... - 2 min ago] ║</w:t>
        <w:br/>
        <w:t>║                                                                ║</w:t>
        <w:br/>
        <w:t>╚════════════════════════════════════════════════════════════════╝</w:t>
      </w:r>
    </w:p>
    <w:p>
      <w:pPr>
        <w:spacing w:before="40" w:after="240"/>
        <w:jc w:val="center"/>
      </w:pPr>
      <w:r>
        <w:rPr>
          <w:rFonts w:ascii="Times New Roman" w:hAnsi="Times New Roman"/>
          <w:i/>
          <w:color w:val="444444"/>
          <w:sz w:val="20"/>
        </w:rPr>
        <w:t>Figure: Alert Triage Queue — Live-polled (10-second interval via useAlertFeed hook) open alerts with severity badges and direct navigation links (govguard/frontend/lib/hooks/useAlertFeed.ts)</w:t>
      </w:r>
    </w:p>
    <w:p>
      <w:pPr>
        <w:spacing w:before="200" w:after="80"/>
      </w:pPr>
      <w:r>
        <w:rPr>
          <w:rFonts w:ascii="Times New Roman" w:hAnsi="Times New Roman"/>
          <w:b/>
          <w:color w:val="1A3A5C"/>
          <w:sz w:val="24"/>
        </w:rPr>
        <w:t>4. Per-Grant Compliance Dashboard</w:t>
      </w:r>
    </w:p>
    <w:p>
      <w:pPr>
        <w:spacing w:after="120"/>
        <w:ind w:left="0" w:firstLine="432"/>
        <w:jc w:val="both"/>
      </w:pPr>
      <w:r>
        <w:rPr>
          <w:rFonts w:ascii="Times New Roman" w:hAnsi="Times New Roman"/>
          <w:sz w:val="24"/>
        </w:rPr>
        <w:t>Navigating to a specific grant opens its detailed compliance view, which provides the Compliance Score Ring, a structured accordion of all 10 compliance controls, and the Corrective Action Plan management interface.</w:t>
      </w:r>
    </w:p>
    <w:p>
      <w:pPr>
        <w:spacing w:before="160" w:after="80"/>
        <w:jc w:val="center"/>
      </w:pPr>
      <w:r>
        <w:rPr>
          <w:rFonts w:ascii="Courier New" w:hAnsi="Courier New"/>
          <w:color w:val="222299"/>
          <w:sz w:val="18"/>
        </w:rPr>
        <w:t>╔════════════════════════════════════════════════════════════════╗</w:t>
        <w:br/>
        <w:t>║                                                                ║</w:t>
        <w:br/>
        <w:t>║                   [ SCREENSHOT PLACEHOLDER ]                   ║</w:t>
        <w:br/>
        <w:t>║ SCREENSHOT: Per-Grant Compliance View — Score Ring + Controls  ║</w:t>
        <w:br/>
        <w:t>║ Compliance score ring (e.g., 68/100 AMBER) on left; right pane ║</w:t>
        <w:br/>
        <w:t>║                                                                ║</w:t>
        <w:br/>
        <w:t>╚════════════════════════════════════════════════════════════════╝</w:t>
      </w:r>
    </w:p>
    <w:p>
      <w:pPr>
        <w:spacing w:before="40" w:after="240"/>
        <w:jc w:val="center"/>
      </w:pPr>
      <w:r>
        <w:rPr>
          <w:rFonts w:ascii="Times New Roman" w:hAnsi="Times New Roman"/>
          <w:i/>
          <w:color w:val="444444"/>
          <w:sz w:val="20"/>
        </w:rPr>
        <w:t>Figure: Per-Grant Compliance Overview — Score ring with numeric value and color state; control accordion listing all 10 CFR-mapped controls (govguard/frontend/app/(app)/grants/[id]/compliance/page.tsx)</w:t>
      </w:r>
    </w:p>
    <w:p>
      <w:pPr>
        <w:spacing w:before="160" w:after="80"/>
        <w:jc w:val="center"/>
      </w:pPr>
      <w:r>
        <w:rPr>
          <w:rFonts w:ascii="Courier New" w:hAnsi="Courier New"/>
          <w:color w:val="222299"/>
          <w:sz w:val="18"/>
        </w:rPr>
        <w:t>╔════════════════════════════════════════════════════════════════╗</w:t>
        <w:br/>
        <w:t>║                                                                ║</w:t>
        <w:br/>
        <w:t>║                   [ SCREENSHOT PLACEHOLDER ]                   ║</w:t>
        <w:br/>
        <w:t>║        SCREENSHOT: Control Accordion — Expanded CM-004         ║</w:t>
        <w:br/>
        <w:t>║ Expanded control row: CFR citation '2 CFR 200.320', GAO refere ║</w:t>
        <w:br/>
        <w:t>║                                                                ║</w:t>
        <w:br/>
        <w:t>╚════════════════════════════════════════════════════════════════╝</w:t>
      </w:r>
    </w:p>
    <w:p>
      <w:pPr>
        <w:spacing w:before="40" w:after="240"/>
        <w:jc w:val="center"/>
      </w:pPr>
      <w:r>
        <w:rPr>
          <w:rFonts w:ascii="Times New Roman" w:hAnsi="Times New Roman"/>
          <w:i/>
          <w:color w:val="444444"/>
          <w:sz w:val="20"/>
        </w:rPr>
        <w:t>Figure: Control Detail — Expanded compliance control showing CFR clause, GAO reference, current status, evidence attachment slot, remediation notes, and last-tested timestamp (govguard/frontend/components/compliance/ControlAccordion.tsx)</w:t>
      </w:r>
    </w:p>
    <w:p>
      <w:pPr>
        <w:spacing w:before="200" w:after="80"/>
      </w:pPr>
      <w:r>
        <w:rPr>
          <w:rFonts w:ascii="Times New Roman" w:hAnsi="Times New Roman"/>
          <w:b/>
          <w:color w:val="1A3A5C"/>
          <w:sz w:val="24"/>
        </w:rPr>
        <w:t>5. Corrective Action Plan (CAP) Management</w:t>
      </w:r>
    </w:p>
    <w:p>
      <w:pPr>
        <w:spacing w:after="120"/>
        <w:ind w:left="0" w:firstLine="432"/>
        <w:jc w:val="both"/>
      </w:pPr>
      <w:r>
        <w:rPr>
          <w:rFonts w:ascii="Times New Roman" w:hAnsi="Times New Roman"/>
          <w:sz w:val="24"/>
        </w:rPr>
        <w:t>When a material weakness violation is detected, GovGuard™ automatically creates a CAP record and surfaces it in the compliance interface. Grant managers can assign the CAP, track its status, and receive automated reminders at 30, 60, and 90 days.</w:t>
      </w:r>
    </w:p>
    <w:p>
      <w:pPr>
        <w:spacing w:before="160" w:after="80"/>
        <w:jc w:val="center"/>
      </w:pPr>
      <w:r>
        <w:rPr>
          <w:rFonts w:ascii="Courier New" w:hAnsi="Courier New"/>
          <w:color w:val="222299"/>
          <w:sz w:val="18"/>
        </w:rPr>
        <w:t>╔════════════════════════════════════════════════════════════════╗</w:t>
        <w:br/>
        <w:t>║                                                                ║</w:t>
        <w:br/>
        <w:t>║                   [ SCREENSHOT PLACEHOLDER ]                   ║</w:t>
        <w:br/>
        <w:t>║          SCREENSHOT: Corrective Action Plans Section           ║</w:t>
        <w:br/>
        <w:t>║ CAP table: Finding Ref | CFR Citation | Severity (MATERIAL_WEA ║</w:t>
        <w:br/>
        <w:t>║                                                                ║</w:t>
        <w:br/>
        <w:t>╚════════════════════════════════════════════════════════════════╝</w:t>
      </w:r>
    </w:p>
    <w:p>
      <w:pPr>
        <w:spacing w:before="40" w:after="240"/>
        <w:jc w:val="center"/>
      </w:pPr>
      <w:r>
        <w:rPr>
          <w:rFonts w:ascii="Times New Roman" w:hAnsi="Times New Roman"/>
          <w:i/>
          <w:color w:val="444444"/>
          <w:sz w:val="20"/>
        </w:rPr>
        <w:t>Figure: CAP Management — Automatically created Corrective Action Plans with assignee, due date, 30/60/90-day reminder tracking, and resolution note (govguard/backend/core/models.py CorrectiveActionPlan)</w:t>
      </w:r>
    </w:p>
    <w:p>
      <w:pPr>
        <w:spacing w:before="200" w:after="80"/>
      </w:pPr>
      <w:r>
        <w:rPr>
          <w:rFonts w:ascii="Times New Roman" w:hAnsi="Times New Roman"/>
          <w:b/>
          <w:color w:val="1A3A5C"/>
          <w:sz w:val="24"/>
        </w:rPr>
        <w:t>6. Spend Heatmap by Cost Category</w:t>
      </w:r>
    </w:p>
    <w:p>
      <w:pPr>
        <w:spacing w:after="120"/>
        <w:ind w:left="0" w:firstLine="432"/>
        <w:jc w:val="both"/>
      </w:pPr>
      <w:r>
        <w:rPr>
          <w:rFonts w:ascii="Times New Roman" w:hAnsi="Times New Roman"/>
          <w:sz w:val="24"/>
        </w:rPr>
        <w:t>The spend heatmap view (GET /api/v1/dashboard/heatmap) breaks down grant expenditure by cost category, comparing actual spend against approved budget for each category. Category-level budget overruns are highlighted in amber or red, providing instant visibility into 2 CFR 200.405 allowable cost issues.</w:t>
      </w:r>
    </w:p>
    <w:p>
      <w:pPr>
        <w:spacing w:before="160" w:after="80"/>
        <w:jc w:val="center"/>
      </w:pPr>
      <w:r>
        <w:rPr>
          <w:rFonts w:ascii="Courier New" w:hAnsi="Courier New"/>
          <w:color w:val="222299"/>
          <w:sz w:val="18"/>
        </w:rPr>
        <w:t>╔════════════════════════════════════════════════════════════════╗</w:t>
        <w:br/>
        <w:t>║                                                                ║</w:t>
        <w:br/>
        <w:t>║                   [ SCREENSHOT PLACEHOLDER ]                   ║</w:t>
        <w:br/>
        <w:t>║         SCREENSHOT: Spend Heatmap — Cost Category View         ║</w:t>
        <w:br/>
        <w:t>║ Heatmap grid: rows = cost categories (personnel, equipment, tr ║</w:t>
        <w:br/>
        <w:t>║                                                                ║</w:t>
        <w:br/>
        <w:t>╚════════════════════════════════════════════════════════════════╝</w:t>
      </w:r>
    </w:p>
    <w:p>
      <w:pPr>
        <w:spacing w:before="40" w:after="240"/>
        <w:jc w:val="center"/>
      </w:pPr>
      <w:r>
        <w:rPr>
          <w:rFonts w:ascii="Times New Roman" w:hAnsi="Times New Roman"/>
          <w:i/>
          <w:color w:val="444444"/>
          <w:sz w:val="20"/>
        </w:rPr>
        <w:t>Figure: Spend Heatmap — Category-level budget utilization; red cells indicate categories exceeding approved budget; data source: GET /api/v1/dashboard/heatmap (govguard/backend/modules/dashboard/service.py)</w:t>
      </w:r>
    </w:p>
    <w:p>
      <w:pPr>
        <w:spacing w:before="200" w:after="80"/>
      </w:pPr>
      <w:r>
        <w:rPr>
          <w:rFonts w:ascii="Times New Roman" w:hAnsi="Times New Roman"/>
          <w:b/>
          <w:color w:val="1A3A5C"/>
          <w:sz w:val="24"/>
        </w:rPr>
        <w:t>7. Data Sources and Refresh Logic</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Interface Component</w:t>
            </w:r>
          </w:p>
        </w:tc>
        <w:tc>
          <w:tcPr>
            <w:tcW w:type="dxa" w:w="2880"/>
          </w:tcPr>
          <w:p>
            <w:r>
              <w:rPr>
                <w:rFonts w:ascii="Times New Roman" w:hAnsi="Times New Roman"/>
                <w:b/>
                <w:sz w:val="22"/>
              </w:rPr>
              <w:t>API Endpoint</w:t>
            </w:r>
          </w:p>
        </w:tc>
        <w:tc>
          <w:tcPr>
            <w:tcW w:type="dxa" w:w="2880"/>
          </w:tcPr>
          <w:p>
            <w:r>
              <w:rPr>
                <w:rFonts w:ascii="Times New Roman" w:hAnsi="Times New Roman"/>
                <w:b/>
                <w:sz w:val="22"/>
              </w:rPr>
              <w:t>Refresh Logic</w:t>
            </w:r>
          </w:p>
        </w:tc>
      </w:tr>
      <w:tr>
        <w:tc>
          <w:tcPr>
            <w:tcW w:type="dxa" w:w="2880"/>
          </w:tcPr>
          <w:p>
            <w:r>
              <w:rPr>
                <w:rFonts w:ascii="Times New Roman" w:hAnsi="Times New Roman"/>
                <w:sz w:val="20"/>
              </w:rPr>
              <w:t>KPI Tiles</w:t>
            </w:r>
          </w:p>
        </w:tc>
        <w:tc>
          <w:tcPr>
            <w:tcW w:type="dxa" w:w="2880"/>
          </w:tcPr>
          <w:p>
            <w:r>
              <w:rPr>
                <w:rFonts w:ascii="Times New Roman" w:hAnsi="Times New Roman"/>
                <w:sz w:val="20"/>
              </w:rPr>
              <w:t>GET /api/v1/dashboard/kpis</w:t>
            </w:r>
          </w:p>
        </w:tc>
        <w:tc>
          <w:tcPr>
            <w:tcW w:type="dxa" w:w="2880"/>
          </w:tcPr>
          <w:p>
            <w:r>
              <w:rPr>
                <w:rFonts w:ascii="Times New Roman" w:hAnsi="Times New Roman"/>
                <w:sz w:val="20"/>
              </w:rPr>
              <w:t>5-minute Redis cache; useKPIs SWR hook polls every 60 seconds</w:t>
            </w:r>
          </w:p>
        </w:tc>
      </w:tr>
      <w:tr>
        <w:tc>
          <w:tcPr>
            <w:tcW w:type="dxa" w:w="2880"/>
          </w:tcPr>
          <w:p>
            <w:r>
              <w:rPr>
                <w:rFonts w:ascii="Times New Roman" w:hAnsi="Times New Roman"/>
                <w:sz w:val="20"/>
              </w:rPr>
              <w:t>Alert Triage</w:t>
            </w:r>
          </w:p>
        </w:tc>
        <w:tc>
          <w:tcPr>
            <w:tcW w:type="dxa" w:w="2880"/>
          </w:tcPr>
          <w:p>
            <w:r>
              <w:rPr>
                <w:rFonts w:ascii="Times New Roman" w:hAnsi="Times New Roman"/>
                <w:sz w:val="20"/>
              </w:rPr>
              <w:t>GET /api/v1/dashboard/alerts</w:t>
            </w:r>
          </w:p>
        </w:tc>
        <w:tc>
          <w:tcPr>
            <w:tcW w:type="dxa" w:w="2880"/>
          </w:tcPr>
          <w:p>
            <w:r>
              <w:rPr>
                <w:rFonts w:ascii="Times New Roman" w:hAnsi="Times New Roman"/>
                <w:sz w:val="20"/>
              </w:rPr>
              <w:t>No cache; useAlertFeed hook polls every 10 seconds</w:t>
            </w:r>
          </w:p>
        </w:tc>
      </w:tr>
      <w:tr>
        <w:tc>
          <w:tcPr>
            <w:tcW w:type="dxa" w:w="2880"/>
          </w:tcPr>
          <w:p>
            <w:r>
              <w:rPr>
                <w:rFonts w:ascii="Times New Roman" w:hAnsi="Times New Roman"/>
                <w:sz w:val="20"/>
              </w:rPr>
              <w:t>Risk Leaderboard</w:t>
            </w:r>
          </w:p>
        </w:tc>
        <w:tc>
          <w:tcPr>
            <w:tcW w:type="dxa" w:w="2880"/>
          </w:tcPr>
          <w:p>
            <w:r>
              <w:rPr>
                <w:rFonts w:ascii="Times New Roman" w:hAnsi="Times New Roman"/>
                <w:sz w:val="20"/>
              </w:rPr>
              <w:t>Included in KPI response</w:t>
            </w:r>
          </w:p>
        </w:tc>
        <w:tc>
          <w:tcPr>
            <w:tcW w:type="dxa" w:w="2880"/>
          </w:tcPr>
          <w:p>
            <w:r>
              <w:rPr>
                <w:rFonts w:ascii="Times New Roman" w:hAnsi="Times New Roman"/>
                <w:sz w:val="20"/>
              </w:rPr>
              <w:t>5-minute Redis cache; refreshes with KPI tile data</w:t>
            </w:r>
          </w:p>
        </w:tc>
      </w:tr>
      <w:tr>
        <w:tc>
          <w:tcPr>
            <w:tcW w:type="dxa" w:w="2880"/>
          </w:tcPr>
          <w:p>
            <w:r>
              <w:rPr>
                <w:rFonts w:ascii="Times New Roman" w:hAnsi="Times New Roman"/>
                <w:sz w:val="20"/>
              </w:rPr>
              <w:t>Compliance Controls</w:t>
            </w:r>
          </w:p>
        </w:tc>
        <w:tc>
          <w:tcPr>
            <w:tcW w:type="dxa" w:w="2880"/>
          </w:tcPr>
          <w:p>
            <w:r>
              <w:rPr>
                <w:rFonts w:ascii="Times New Roman" w:hAnsi="Times New Roman"/>
                <w:sz w:val="20"/>
              </w:rPr>
              <w:t>GET /api/v1/compliance/controls?grant_id=X</w:t>
            </w:r>
          </w:p>
        </w:tc>
        <w:tc>
          <w:tcPr>
            <w:tcW w:type="dxa" w:w="2880"/>
          </w:tcPr>
          <w:p>
            <w:r>
              <w:rPr>
                <w:rFonts w:ascii="Times New Roman" w:hAnsi="Times New Roman"/>
                <w:sz w:val="20"/>
              </w:rPr>
              <w:t>No cache; useCompliance hook, refreshes on navigation</w:t>
            </w:r>
          </w:p>
        </w:tc>
      </w:tr>
      <w:tr>
        <w:tc>
          <w:tcPr>
            <w:tcW w:type="dxa" w:w="2880"/>
          </w:tcPr>
          <w:p>
            <w:r>
              <w:rPr>
                <w:rFonts w:ascii="Times New Roman" w:hAnsi="Times New Roman"/>
                <w:sz w:val="20"/>
              </w:rPr>
              <w:t>Spend Heatmap</w:t>
            </w:r>
          </w:p>
        </w:tc>
        <w:tc>
          <w:tcPr>
            <w:tcW w:type="dxa" w:w="2880"/>
          </w:tcPr>
          <w:p>
            <w:r>
              <w:rPr>
                <w:rFonts w:ascii="Times New Roman" w:hAnsi="Times New Roman"/>
                <w:sz w:val="20"/>
              </w:rPr>
              <w:t>GET /api/v1/dashboard/heatmap</w:t>
            </w:r>
          </w:p>
        </w:tc>
        <w:tc>
          <w:tcPr>
            <w:tcW w:type="dxa" w:w="2880"/>
          </w:tcPr>
          <w:p>
            <w:r>
              <w:rPr>
                <w:rFonts w:ascii="Times New Roman" w:hAnsi="Times New Roman"/>
                <w:sz w:val="20"/>
              </w:rPr>
              <w:t>5-minute Redis cache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