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G-2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Fraud Detection Engine</w:t>
      </w:r>
    </w:p>
    <w:p>
      <w:pPr>
        <w:jc w:val="center"/>
      </w:pPr>
      <w:r>
        <w:rPr>
          <w:rFonts w:ascii="Times New Roman" w:hAnsi="Times New Roman"/>
          <w:i/>
          <w:sz w:val="22"/>
        </w:rPr>
        <w:t>Complete Rule Library — 47 Rules with GAO Category Mapping and 2 CFR Citations</w:t>
      </w:r>
    </w:p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ind w:firstLine="360"/>
        <w:jc w:val="both"/>
      </w:pPr>
      <w:r>
        <w:rPr>
          <w:rFonts w:ascii="Times New Roman" w:hAnsi="Times New Roman"/>
          <w:sz w:val="22"/>
        </w:rPr>
        <w:t>The GovGuard™ Fraud Detection Engine evaluates every transaction against a library of 47 fraud detection rules (FDE-001 through FDE-047). Each rule is traceable to a specific GAO High-Risk program category or regulatory citation. Rules are evaluated in a stateless, deterministic sequence; triggered rules contribute a weighted score to the composite fraud score (0–100). The XGBoost classifier then converts the 47-dimensional binary signal vector to a calibrated fraud probability. Actions: APPROVE (score 0–24) / REVIEW (25–49) / HOLD (50–69) / BLOCK (70+). SAM exclusion (FDE-005) and OFAC sanctions (FDE-022) trigger automatic BLOCK regardless of composite score.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2"/>
        </w:rPr>
        <w:t>Rule Library by GAO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008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576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Rule Name</w:t>
            </w:r>
          </w:p>
        </w:tc>
        <w:tc>
          <w:tcPr>
            <w:tcW w:type="dxa" w:w="2880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GAO Reference</w:t>
            </w:r>
          </w:p>
        </w:tc>
        <w:tc>
          <w:tcPr>
            <w:tcW w:type="dxa" w:w="1584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Reg. Citation</w:t>
            </w:r>
          </w:p>
        </w:tc>
        <w:tc>
          <w:tcPr>
            <w:tcW w:type="dxa" w:w="576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Wt.</w:t>
            </w:r>
          </w:p>
        </w:tc>
        <w:tc>
          <w:tcPr>
            <w:tcW w:type="dxa" w:w="3168"/>
            <w:shd w:fill="002366" w:color="auto" w:val="clear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Trigger Logic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FDE-001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Exact Duplicate Invoice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Cat1-Ex10 — DoD Duplicate Vendor Payments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 CFR 200.405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Same invoice_ref + amount + vendor within 30 days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FDE-002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Fuzzy Duplicate Invoice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Cat1-Ex10 — DoD Duplicate Vendor Payments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200.405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1.8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Same amount + vendor, invoice edit-distance ≤ 2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FDE-003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Round Dollar Amount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Cat1-Ex8 — SNAP Retailer Trafficking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0.6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Amount ≥ $500 and divisible by $500 or $1,000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FDE-004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Split Purchase Evasion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Cat1-Ex23 — Federal P-Card Split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200.318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1.2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Same vendor, same day, sub-threshold amounts combine &gt; SAT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FDE-005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SAM.gov Excluded Vendor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Cat5-Ex4 — Manual Exclusion Checks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 CFR 200.213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3.0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Vendor sam_status = 'excluded' or 'suspended' → BLOCK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FDE-006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Exceeds Budget Category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200.405 — Allowable Costs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200.405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1.5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Cost category not in approved budget or amount &gt; approved ceiling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FDE-007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Weekend Transaction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Cat1-Ex9 — Travel Card Abuse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0.4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Transaction date is Saturday or Sunday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FDE-008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High Vendor Velocity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Cat1-Ex3 — Pandemic UI Fraud Velocity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1.8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Vendor 30-day spend &gt; $250,000 including current tx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FDE-009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Large Single Transaction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Cat1-Ex24 — T&amp;M Contract Overbilling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FAR 52.232-7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1.0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Single transaction &gt; $100,000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FDE-010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Ghost Vendor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Cat1-Ex11 — Ghost Employee Analog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200.318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No prior invoices + vendor risk_tier = 'high'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FDE-011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Related Party / COI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Cat5-Ex13 — PEP/Sanctions Screening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 CFR 200.318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1.6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related_party_flag = True on transaction record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FDE-012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Cross-Grant Double Charge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Cat1-Ex27 — Grant Double-Dipping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200.405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Same vendor + same cost category charged to ≥ 2 active grants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FDE-013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Labor Category Mismatch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Cat2 — T&amp;M Labor Misclassification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FAR 16.601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Resume YOE &lt; 50% of LCAT minimum or NLP match score &lt; 0.25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FDE-014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Acquisition Cost Overrun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Cat6-Ex36 — MDAP EVM Cost Growth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DFARS 252.234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CPI &lt; 0.85 AND SPI &lt; 0.85, or overrun_pct &gt; 15%, or P65/baseline &gt; 1.2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FDE-015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Procurement Vendor Rotation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Cat1-Ex26 — Procurement Collusion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 CFR 200.319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Rotation chi-square p &lt; 0.05 AND proposal cosine &gt; 0.70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FDE-016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Device Fingerprint Ring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Cat4 — PPP/Pell Device Ring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Device matches &gt; 5× unique applicants, or prior fraud link, or entropy &lt; 0.2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FDE-017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Synthetic Identity (E-CBSv)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Cat4 — SSA E-CBSv Synthetic ID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31 U.S.C. 3321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SSA E-CBSv no-match on thin-file (credit age &lt; 12 months)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FDE-018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OIG Cross-Entity Link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Cat5 — HHS/SSA OIG Entity Link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Entity matches open OIG investigation, exclusion, or case record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FDE-019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Auth Window Violation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Cat3 — Healthcare Prior-Auth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42 CFR 424.535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3.0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Date of service &gt; auth_valid_until date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FDE-020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Crypto Gain Underreport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Cat5 — On-Chain vs. Reported Gap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26 U.S.C. 6045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On-chain realized gain &gt; 50% above reported gain (attribution conf &gt; 0.70)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FDE-021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Order Spoofing Pattern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 — Order Spoofing/Layering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15 U.S.C. 78j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Cancel rate &gt; 90% with &gt; 20 orders placed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FDE-022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OFAC Sanctions Layering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Cat5 — OFAC/SDN Entity Match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31 CFR 501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3.0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SDN party match, or shell layers ≥ 2 with common beneficial owner → BLOCK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FDE-023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Risk-Adjustment Upcoding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Cat3 — RA Upcoding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42 CFR 422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Encounter support pct &lt; 30% with RA payment impact &gt; $1M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FDE-024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EITC Cross-Claim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Cat2 — EITC Dual-Filer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26 U.S.C. 32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Same child claimed by filer_a AND filer_b with no SSA dependency match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FDE-025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Disaster Aid Duplication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Cat3 — Stafford FEMA/SBA Overlap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44 CFR 206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FEMA + SBA + NFIP total &gt; documented loss × 1.10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FDE-026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DME Geographic Outlier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Cat2 — DME Medicare Fraud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42 CFR 424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Beneficiary states &gt; 20 AND single prescriber NPI pct &gt; 60%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FDE-027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Hospice LOS Outlier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Cat2 — Hospice Live-Discharge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42 CFR 418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Live discharge rate &gt; 30% AND median LOS &gt; 180 days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FDE-028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Volume Spike Scheme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Cat2 — CGx Emerging Scheme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42 CFR 410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Wave/baseline daily volume &gt; 10× AND prescriber prior orders &lt; 1%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FDE-029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Duplicate Inspection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 — FSIS/FDA Overlap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21 U.S.C. 601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Jaccard scope overlap between FSIS and FDA inspections &gt; 0.40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FDE-030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Incident Dedup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Cat5 — TSA/CISA IOC Dedup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6 U.S.C. 121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IOC overlap &gt; 70% AND narrative cosine &gt; 0.60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FDE-031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Data Call Overlap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 — Regulatory Data Call Duplication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Paperwork Reduction Act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Field overlap &gt; 70% across ≥ 2 simultaneous data calls to same entity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FDE-032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STEM Grant Attribution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Cat3 — STEM Grant Overlap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 CFR 200.303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Intervention overlap &gt; 6 months + no attribution method + ≥ 2 programs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FDE-033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Duplicate Homeless Intake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Cat4 — HMIS/VA Homes Dedup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42 U.S.C. 11386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Same individual in HMIS and VA Homes within 30 days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FDE-034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Stale GAO Recommendation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 — Priority Rec. Stagnation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Zero milestones in 12 months AND owner role vacant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FDE-035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IRS Recon Drift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Cat1 — IRS Legacy System Drift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26 U.S.C. 7602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Reconciliation drift &gt; 2× SLA threshold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FDE-036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VA Wait-Time Divergence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 — VA Reporting Divergence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38 U.S.C. 1710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Telemetry wait &gt; 2× reported wait AND sigma &gt; 3.0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FDE-037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FAFSA Exception Spike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Cat3 — FAFSA Exception Regression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20 U.S.C. 1090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Current exception rate &gt; 3× baseline after software release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FDE-038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FISMA Cyber Backlog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 — FISMA High-Impact Findings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FISMA 2014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High-impact findings with no evidence &gt; 50 AND median age &gt; 365 days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FDE-039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Foreign Passthrough Flow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 — Offshore Terminal Entities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26 U.S.C. 6038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Terminal foreign entities ≥ 2 AND U.S. source income reported = $0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FDE-040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Title IV Institution Risk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Cat3 — CDR/90-10 Ratio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20 U.S.C. 1085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Cohort default rate &gt; 15% AND 90/10 revenue ratio &gt; 85%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FDE-041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Import Transshipment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 — UFLPA Rerouting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19 U.S.C. 1307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China imports down 70%+, Vietnam up 200%+, satellite supplier match &gt; 60%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FDE-042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Federal Property Underutil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 — Real Property Management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40 U.S.C. 121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Mean occupancy &lt; 30% for federal facility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FDE-043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SAM.gov Seat True-Down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Cat6 — License Optimization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FAR 4.11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Inactive accounts (30d) &gt; 30% of total seat count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FDE-044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Clearance Financial Risk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Cat4 — Security Clearance Risk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5 CFR 732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TS/SCI + foreign travel flag + ≥ 3 new financial delinquencies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FDE-045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Whistleblower Tip Cluster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Cat5 — Corroborated Tip Signal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41 U.S.C. 4712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Tip cluster cosine &gt; 0.60 AND top tip score &gt; 0.70</w:t>
            </w:r>
          </w:p>
        </w:tc>
      </w:tr>
      <w:tr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FDE-046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CPARS Performance Risk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GAO Cat6 — Cross-Agency CPARS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FAR 42.15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</w:tcPr>
          <w:p>
            <w:r>
              <w:rPr>
                <w:rFonts w:ascii="Times New Roman" w:hAnsi="Times New Roman"/>
                <w:sz w:val="17"/>
              </w:rPr>
              <w:t>Unsatisfactory CPARS count ≥ 1 AND sentiment slope &lt; –0.10</w:t>
            </w:r>
          </w:p>
        </w:tc>
      </w:tr>
      <w:tr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FDE-047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T2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Multi-Program Fraud Ring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GAO Cat4 — Cross-Program Ring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N/A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378"/>
            <w:shd w:fill="EEF2F7" w:val="clear"/>
          </w:tcPr>
          <w:p>
            <w:r>
              <w:rPr>
                <w:rFonts w:ascii="Times New Roman" w:hAnsi="Times New Roman"/>
                <w:sz w:val="17"/>
              </w:rPr>
              <w:t>Shared device fingerprints ≥ 3 AND shared ABA routing numbers ≥ 3</w:t>
            </w:r>
          </w:p>
        </w:tc>
      </w:tr>
    </w:tbl>
    <w:p/>
    <w:p>
      <w:pPr>
        <w:spacing w:after="100"/>
        <w:ind w:firstLine="360"/>
        <w:jc w:val="both"/>
      </w:pPr>
      <w:r>
        <w:rPr>
          <w:rFonts w:ascii="Times New Roman" w:hAnsi="Times New Roman"/>
          <w:sz w:val="22"/>
        </w:rPr>
        <w:t>Notes: Weight column represents the rule's contribution coefficient (points = weight × 10) toward the 100-point composite score. Tier T1 = core fraud rules; T2 = extended GAO-mapped rules. Rules FDE-005 (SAM.gov exclusion) and FDE-022 (OFAC sanctions) are hard-block signals — they force BLOCK action and CRITICAL risk tier regardless of composite score. The XGBoost classifier model (fraud_classifier_v1.pkl) ingests the full 47-dimensional binary signal vector as its feature set.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