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val="clear" w:color="auto" w:fill="00275A"/>
          </w:tcPr>
          <w:p>
            <w:pPr>
              <w:spacing w:before="160" w:after="160"/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GOVGUARD™  ·  EXHIBIT G-6</w:t>
            </w:r>
          </w:p>
          <w:p>
            <w:pPr>
              <w:spacing w:before="40" w:after="160"/>
              <w:jc w:val="center"/>
            </w:pPr>
            <w:r>
              <w:rPr>
                <w:rFonts w:ascii="Calibri" w:hAnsi="Calibri"/>
                <w:color w:val="B0CCFF"/>
                <w:sz w:val="22"/>
              </w:rPr>
              <w:t>Source Code &amp; Algorithmic Architecture — Technical Authorship Evidence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Petitioner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Muhammad Bilal, FCA, FCCA, CFA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Attorney of Record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[Attorney Name] — [Bar No.]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Platform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GovGuard™ — Federal Grant Compliance &amp; Fraud Detection SaaS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Exhibit Reference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G-6 (Sub-Exhibit to Exhibit 12.5)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Purpose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Dhanasar Prong 2 — Demonstrating Technical Authorship &amp; Advanced AI/ML Expertise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Source Repository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Private GitHub — govguard/backend/ (available for attorney review)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Document Date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June 2026</w:t>
            </w:r>
          </w:p>
        </w:tc>
      </w:tr>
    </w:tbl>
    <w:p>
      <w:pPr>
        <w:spacing w:after="120"/>
      </w:pPr>
    </w:p>
    <w:p>
      <w:pPr>
        <w:spacing w:before="160" w:after="160"/>
        <w:ind w:left="288"/>
        <w:pBdr>
          <w:left w:val="single" w:sz="32" w:space="8" w:color="C9A02A"/>
        </w:pBdr>
      </w:pPr>
      <w:r>
        <w:rPr>
          <w:rFonts w:ascii="Calibri" w:hAnsi="Calibri"/>
          <w:b/>
          <w:i/>
          <w:color w:val="7A5C00"/>
          <w:sz w:val="20"/>
        </w:rPr>
        <w:t>DHANASAR PRONG 2 RELEVANCE: This exhibit proves that petitioner personally designed, authored, and implemented a novel hybrid AI/ML fraud detection engine — establishing the 'well-positioned to advance the endeavor' prong of the Matter of Dhanasar (AAO 2016) three-prong framework through direct technical evidence.</w:t>
      </w: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1.  SYSTEM ARCHITECTURE OVERVIEW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GovGuard™ is a multi-layered federal grant compliance and fraud detection SaaS platform built on FastAPI (Python 3.12), PostgreSQL 17 with Row-Level Security, Next.js 14 / React 18 (TypeScript), Celery + Redis, OpenSearch 2.x, and Auth0 JWT RS256 authentication, deployed on AWS GovCloud. The core fraud-scoring pipeline integrates three independently authored algorithmic subsystems that petitioner designed and implemented from first principles: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Rule-Based Fraud Detection Engine (47 GAO-aligned rules, FDE-001 through FDE-047)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Statistical Anomaly Detection Processor (Z-score + 6 behavioral detectors)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Cross-Entity Intelligence Graph (BFS network traversal, shared-signal linking)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These three layers feed into three ML models: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XGBoost Supervised Fraud Classifier (47-dimensional binary rule-signal feature vector)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IsolationForest Unsupervised Anomaly Detector (20-feature transaction representation)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sz w:val="20"/>
        </w:rPr>
        <w:t>XGBoost Risk Forecaster with SHAP Explainability (15-feature grant-state prediction)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Composite Grant Risk Score (CGRS) Formula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petitioner authored the following composite scoring formula, which integrates all three detection layers into a single actionable risk score per transaction: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ml/risk_scorer.py — authored by Muhammad Bilal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CGRS = (Rules_Score × 0.45) + (ML_Score × 0.35) + (Graph_Score × 0.20)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Component definitions: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Rules_Score  — weighted sum of triggered FDE rules (0–100)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ML_Score     — XGBoost fraud probability × 100 (0–100)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Graph_Score  — entity network risk score from BFS traversal (0–100)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Risk tier thresholds: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CRITICAL : CGRS ≥ 80   → BLOCK payment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HIGH     : CGRS 60–79  → HOLD for manual review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MEDIUM   : CGRS 40–59  → FLAG for compliance officer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  LOW      : CGRS  0–39  → APPROVE with audit trail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2.  FRAUD DETECTION RULE ENGINE (FDE-001 – FDE-047)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services/fraud_detection/engine.py  |  Class: FraudDetectionEngine  |  Language: Python 3.12</w:t>
        <w:br/>
        <w:t>The petitioner personally authored 47 fraud detection rules, each traceable to a specific GAO High-Priority Recommendation or 2 CFR Part 200 (Uniform Guidance) clause. Rules are organized into three tiers by signal strength and specificity.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2.1  Rule Registry — Tier 1 (Core Fraud Signals)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Rules FDE-001 through FDE-023 cover high-confidence fraud patterns directly observable in single-transaction context: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services/fraud_detection/engine.py — Rule ID registry (excerpt)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RULE_DUPLICATE_EXACT      = 'FDE-001'   # GAO Cat 1 Ex 10 — duplicate vendor payment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RULE_DUPLICATE_FUZZY      = 'FDE-002'   # GAO Cat 1 Ex 10 — fuzzy invoice dedup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RULE_ROUND_DOLLAR         = 'FDE-003'   # GAO Cat 1 Ex 8  — SNAP trafficking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RULE_SPLIT_PURCHASE       = 'FDE-004'   # GAO Cat 1 Ex 23 — P-card split avoidance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RULE_VENDOR_SAM_EXCLUDED  = 'FDE-005'   # GAO Cat 5 Ex 4  — SAM.gov exclusion check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RULE_EXCEEDS_BUDGET_CAT   = 'FDE-006'   # 2 CFR 200.405   — budget category overrun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RULE_WEEKEND_TRANSACTION  = 'FDE-007'   # GAO Cat 1 Ex 9  — weekend travel card abuse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RULE_HIGH_VELOCITY        = 'FDE-008'   # GAO Cat 1 Ex 3  — UI fraud velocity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RULE_GHOST_VENDOR         = 'FDE-010'   # GAO Cat 1 Ex 11 — ghost employee/vendor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RULE_RELATED_PARTY        = 'FDE-011'   # GAO Cat 5 Ex 13 — PEP/related-party flag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RULE_CROSS_GRANT_DOUBLE   = 'FDE-012'   # GAO Cat 1 Ex 27 — grant double-dipping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RULE_SANCTIONS_LAYERING   = 'FDE-022'   # GAO Cat 5      — OFAC SDN match (hard block)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RULE_PROCUREMENT_ROTATION = 'FDE-015'   # GAO Cat 1 Ex 26 — bid-rigging rotation</w:t>
            </w:r>
            <w:r>
              <w:rPr>
                <w:rFonts w:ascii="Courier New" w:hAnsi="Courier New"/>
                <w:color w:val="1E3A5F"/>
                <w:sz w:val="17"/>
              </w:rPr>
              <w:br/>
              <w:t>RULE_SYNTHETIC_ID_ECBSV   = 'FDE-017'   # GAO Cat 4       — SSA E-CBSv synthetic ID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2.2  Rule Scoring Weights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Each rule carries a decimal weight (0.0–3.0) reflecting signal strength. The composite rules score is: Score = Σ(weight_i × 10) for all triggered rules, capped at 100.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RULE_WEIGHTS (key excerpts) — FraudDetectionEngine class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RULE_WEIGHTS = {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'FDE-001': 2.5,   # Duplicate exact     — very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'FDE-005': 3.0,   # SAM excluded vendor  — hard block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'FDE-022': 3.0,   # OFAC SDN match       — hard block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'FDE-019': 3.0,   # Auth window violation — hard block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'FDE-002': 1.8,   # Duplicate fuzzy      —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'FDE-008': 1.8,   # High velocity        —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'FDE-010': 2.0,   # Ghost vendor         — very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'FDE-012': 2.0,   # Cross-grant double   — very high confidence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'FDE-004': 1.2,   # Split purchase       — moderate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'FDE-006': 1.5,   # Budget cat overrun   — moderate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'FDE-003': 0.6,   # Round dollar         — soft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'FDE-007': 0.4,   # Weekend transaction  — soft signal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... 35 additional weighted rules ...</w:t>
            </w:r>
            <w:r>
              <w:rPr>
                <w:rFonts w:ascii="Courier New" w:hAnsi="Courier New"/>
                <w:color w:val="1E3A5F"/>
                <w:sz w:val="17"/>
              </w:rPr>
              <w:br/>
              <w:t>}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2.3  FraudAssessment Output Object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Every transaction assessment returns a fully attributed FraudAssessment dataclass: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@dataclass</w:t>
            </w:r>
            <w:r>
              <w:rPr>
                <w:rFonts w:ascii="Courier New" w:hAnsi="Courier New"/>
                <w:color w:val="1E3A5F"/>
                <w:sz w:val="17"/>
              </w:rPr>
              <w:br/>
              <w:t>class FraudAssessment: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transaction_id:      str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composite_score:     float          # 0–100 CGRS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risk_tier:           str            # LOW / MEDIUM / HIGH / CRITICAL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signals:             list[FraudSignal]   # all 47 rules evaluated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triggered_rules:     list[str]      # FDE-xxx codes that fired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recommended_action:  str            # APPROVE / REVIEW / HOLD / BLOCK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gao_references:      list[str]      # e.g. ['GAO Cat1-Ex10', '2 CFR 200.405']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explanation:         str            # human-readable rationale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scoring_method:      str            # 'ml_xgboost' | 'rules_weighted_sum'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shadow_comparison:   Optional[dict] # ML vs rules comparison (Phase 2)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3.  STATISTICAL ANOMALY DETECTION PROCESSOR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services/anomaly_detection/processor.py  |  Class: AnomalyDetectionProcessor  |  Language: Python 3.12</w:t>
        <w:br/>
        <w:t>The petitioner authored a multi-detector statistical anomaly engine that applies six independent behavioral detectors to every transaction stream. Each detector is independently tuned with configurable z-score and percentage thresholds.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3.1  Spend Velocity Detector (Z-Score Engine)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petitioner implemented Welford's statistical method for real-time z-score calculation against a 90-day rolling window of weekly transaction aggregates: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AnomalyDetectionProcessor._detect_spend_velocity()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Z_SCORE_CRITICAL = 3.0   # → FLAG_REVIEW action</w:t>
            </w:r>
            <w:r>
              <w:rPr>
                <w:rFonts w:ascii="Courier New" w:hAnsi="Courier New"/>
                <w:color w:val="1E3A5F"/>
                <w:sz w:val="17"/>
              </w:rPr>
              <w:br/>
              <w:t>Z_SCORE_WARNING  = 2.0   # → NOTIFY action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def _detect_spend_velocity(self, grant_id, tenant_id, tx, history, ts):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weekly_totals = self._aggregate_weekly(history)   # 90-day rolling window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if len(weekly_totals) &lt; 3: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return []   # insufficient baseline — skip detection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mean  = statistics.mean(weekly_totals)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stdev = statistics.stdev(weekly_totals) if len(weekly_totals) &gt; 1 else mean * 0.2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current_week_total = sum(amount for tx in last_7d) + float(tx['amount'])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z = (current_week_total - mean) / (stdev + 0.001)   # epsilon prevents div/0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if z &gt;= Z_SCORE_CRITICAL:   # → CRITICAL AnomalyAlert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...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elif z &gt;= Z_SCORE_WARNING:  # → WARNING AnomalyAlert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...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GAO alignment: Cat1-Ex3 (Pandemic UI Fraud velocity detection)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               Cat3-Ex23 (Continuous monitoring of high-risk grants)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3.2  Six Behavioral Anomaly Detectors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processor runs all six detectors on every transaction. The table below lists each detector, its threshold, and its GAO alignment: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1872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Detector</w:t>
            </w:r>
          </w:p>
        </w:tc>
        <w:tc>
          <w:tcPr>
            <w:tcW w:type="dxa" w:w="1872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2160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 Trigger</w:t>
            </w:r>
          </w:p>
        </w:tc>
        <w:tc>
          <w:tcPr>
            <w:tcW w:type="dxa" w:w="2448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GAO Reference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Spend Velocity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Z ≥ 3.0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CRITICAL → FLAG_REVIEW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8"/>
              </w:rPr>
              <w:t>Cat1-Ex3, Cat3-Ex23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Category Drift</w:t>
            </w:r>
          </w:p>
        </w:tc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Δ% &gt; 30% vs plan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CRITICAL → HOLD if 2×</w:t>
            </w:r>
          </w:p>
        </w:tc>
        <w:tc>
          <w:tcPr>
            <w:tcW w:type="dxa" w:w="2448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Cat1-Ex16, 2 CFR 200.405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Vendor Dominance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&gt; 60% grant spend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CRITICAL → HOLD if 85%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8"/>
              </w:rPr>
              <w:t>Cat1-Ex26 (Collusion)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Burn-Rate Spike</w:t>
            </w:r>
          </w:p>
        </w:tc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&gt; 40% in 30 days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CRITICAL if &gt; 70%</w:t>
            </w:r>
          </w:p>
        </w:tc>
        <w:tc>
          <w:tcPr>
            <w:tcW w:type="dxa" w:w="2448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Cat4-Ex15, Cat3-Ex15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Dormant Reactivation</w:t>
            </w:r>
          </w:p>
        </w:tc>
        <w:tc>
          <w:tcPr>
            <w:tcW w:type="dxa" w:w="1872"/>
          </w:tcPr>
          <w:p>
            <w:r>
              <w:rPr>
                <w:rFonts w:ascii="Calibri" w:hAnsi="Calibri"/>
                <w:sz w:val="18"/>
              </w:rPr>
              <w:t>60+ day gap, $25K+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8"/>
              </w:rPr>
              <w:t>CRITICAL if 120d, $75K+</w:t>
            </w:r>
          </w:p>
        </w:tc>
        <w:tc>
          <w:tcPr>
            <w:tcW w:type="dxa" w:w="2448"/>
          </w:tcPr>
          <w:p>
            <w:r>
              <w:rPr>
                <w:rFonts w:ascii="Calibri" w:hAnsi="Calibri"/>
                <w:sz w:val="18"/>
              </w:rPr>
              <w:t>Cat1-Ex11 (Ghost vendor)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End-of-Period Surge</w:t>
            </w:r>
          </w:p>
        </w:tc>
        <w:tc>
          <w:tcPr>
            <w:tcW w:type="dxa" w:w="1872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&gt; $75K last 5 days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CRITICAL if &gt; $200K</w:t>
            </w:r>
          </w:p>
        </w:tc>
        <w:tc>
          <w:tcPr>
            <w:tcW w:type="dxa" w:w="2448"/>
            <w:shd w:val="clear" w:color="auto" w:fill="F2F2F2"/>
          </w:tcPr>
          <w:p>
            <w:r>
              <w:rPr>
                <w:rFonts w:ascii="Calibri" w:hAnsi="Calibri"/>
                <w:sz w:val="18"/>
              </w:rPr>
              <w:t>Cat1-Ex10 (DoD fiscal-year)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3.3  ML Augmentation — IsolationForest Integration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When the ML model is available, the processor computes an additional anomaly alert using the 20-feature IsolationForest detector. The ML severity inherits from the rule layer: if any rule fired CRITICAL, the ML confirmation is also CRITICAL; otherwise WARNING.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_detect_ml_outlier() — ML severity inherits from rule layer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severity = 'CRITICAL' if inherit_critical else 'WARNING'</w:t>
            </w:r>
            <w:r>
              <w:rPr>
                <w:rFonts w:ascii="Courier New" w:hAnsi="Courier New"/>
                <w:color w:val="1E3A5F"/>
                <w:sz w:val="17"/>
              </w:rPr>
              <w:br/>
              <w:t>auto_action = 'HOLD_PAYMENTS' if inherit_critical else 'FLAG_REVIEW'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AnomalyAlert output:</w:t>
            </w:r>
            <w:r>
              <w:rPr>
                <w:rFonts w:ascii="Courier New" w:hAnsi="Courier New"/>
                <w:color w:val="1E3A5F"/>
                <w:sz w:val="17"/>
              </w:rPr>
              <w:br/>
              <w:t>anomaly_type = 'ML_OUTLIER'</w:t>
            </w:r>
            <w:r>
              <w:rPr>
                <w:rFonts w:ascii="Courier New" w:hAnsi="Courier New"/>
                <w:color w:val="1E3A5F"/>
                <w:sz w:val="17"/>
              </w:rPr>
              <w:br/>
              <w:t>description  = f'IsolationForest score {score:.2f} — unusual pattern across 20 features'</w:t>
            </w:r>
            <w:r>
              <w:rPr>
                <w:rFonts w:ascii="Courier New" w:hAnsi="Courier New"/>
                <w:color w:val="1E3A5F"/>
                <w:sz w:val="17"/>
              </w:rPr>
              <w:br/>
              <w:t>gao_reference = 'GAO Cat3-Ex29 (Continuous risk assessment)'</w:t>
            </w:r>
            <w:r>
              <w:rPr>
                <w:rFonts w:ascii="Courier New" w:hAnsi="Courier New"/>
                <w:color w:val="1E3A5F"/>
                <w:sz w:val="17"/>
              </w:rPr>
              <w:br/>
              <w:t>detection_method = 'ml_isolation_forest'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4.  CROSS-ENTITY INTELLIGENCE GRAPH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services/entity_intelligence/graph.py  |  Class: EntityIntelligenceService  |  Language: Python 3.12</w:t>
        <w:br/>
        <w:t>The petitioner designed and implemented a graph-based entity intelligence layer that builds vendor relationship networks, detects shell company patterns, and scores network risk via BFS (Breadth-First Search) traversal. In production, this layer is backed by AWS Neptune or Neo4j; for the MVP it operates on in-memory Postgres vendor data.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4.1  Entity Relationship Data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@dataclass</w:t>
            </w:r>
            <w:r>
              <w:rPr>
                <w:rFonts w:ascii="Courier New" w:hAnsi="Courier New"/>
                <w:color w:val="1E3A5F"/>
                <w:sz w:val="17"/>
              </w:rPr>
              <w:br/>
              <w:t>class EntityNode: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entity_id:       str          # vendor / applicant / officer / subrecipient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entity_type:     str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ein_hash:        str          # SHA-256 of EIN (PII-safe)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risk_score:      float        # 0.0–100.0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sam_status:      str          # active / excluded / suspended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pep_flag:        bool         # Politically Exposed Person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sanctions_flag:  bool         # OFAC SDN list match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@dataclass</w:t>
            </w:r>
            <w:r>
              <w:rPr>
                <w:rFonts w:ascii="Courier New" w:hAnsi="Courier New"/>
                <w:color w:val="1E3A5F"/>
                <w:sz w:val="17"/>
              </w:rPr>
              <w:br/>
              <w:t>class EntityEdge: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relationship: str    # SHARED_EIN / SHARED_ADDRESS / SHARED_BANK / SHARED_OFFICER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confidence:   float  # 0.0–1.0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evidence:     dict   # {ein_hash: ..., address_hash: ..., bank_ref_hash: ...}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4.2  BFS Network Traversal — find_related_entities()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petitioner authored a BFS traversal algorithm that explores vendor relationship networks up to 2 hops deep, enabling detection of shell company rings and bid-rigging syndicates that would be invisible to single-entity checks: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def find_related_entities(self, vendor_id, graph, max_hops=2):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visited  = {vendor_id}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frontier = {vendor_id}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for _ in range(max_hops):          # traverse up to 2 hops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next_frontier = set()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for edge in graph.edges: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if edge.source_id in frontier and edge.target_id not in visited: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    next_frontier.add(edge.target_id)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    visited.add(edge.target_id)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if edge.target_id in frontier and edge.source_id not in visited: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    next_frontier.add(edge.source_id)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    visited.add(edge.source_id)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frontier = next_frontier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GAO Cat1-Ex4  (PPP/EIDL beneficial ownership clustering)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GAO Cat5-Ex11 (Federated Beneficial-Ownership Graph)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return [n for n in graph.nodes if n.entity_id in visited - {vendor_id}]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4.3  Network Risk Scoring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The entity network risk score (0–100) penalizes vendors for high-risk neighbours detected within a 2-hop radius: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def score_vendor_network_risk(self, vendor_id, graph):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related = self.find_related_entities(vendor_id, graph, max_hops=2)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score   = 0.0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for node in related: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if node.sam_status in ('excluded', 'suspended'):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score += 30.0    # SAM exclusion propagates through network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if node.pep_flag: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score += 20.0    # PEP screening (GAO Cat5-Ex13)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if node.sanctions_flag: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   score += 35.0    # OFAC SDN match in network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score += node.risk_score * 0.2   # inherit 20% of neighbour risk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return min(100.0, round(score, 2))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4.4  Shared Signal Linking — Entity Edge Detection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Four shared-signal patterns are detected to construct the entity graph edges: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link_entities() — four linking signals: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SHARED_EIN     confidence=1.00  # same EIN hash → near-certain relationship</w:t>
            </w:r>
            <w:r>
              <w:rPr>
                <w:rFonts w:ascii="Courier New" w:hAnsi="Courier New"/>
                <w:color w:val="1E3A5F"/>
                <w:sz w:val="17"/>
              </w:rPr>
              <w:br/>
              <w:t>SHARED_ADDRESS confidence=0.85  # same address hash → likely shell company ring</w:t>
            </w:r>
            <w:r>
              <w:rPr>
                <w:rFonts w:ascii="Courier New" w:hAnsi="Courier New"/>
                <w:color w:val="1E3A5F"/>
                <w:sz w:val="17"/>
              </w:rPr>
              <w:br/>
              <w:t>SHARED_BANK    confidence=0.95  # same bank routing ref → financial network link</w:t>
            </w:r>
            <w:r>
              <w:rPr>
                <w:rFonts w:ascii="Courier New" w:hAnsi="Courier New"/>
                <w:color w:val="1E3A5F"/>
                <w:sz w:val="17"/>
              </w:rPr>
              <w:br/>
              <w:t>SHARED_DATE    confidence=0.70  # overlapping invoice dates → bid rotation signal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GAO Cat1-Ex26 (Procurement Collusion)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GAO Cat5-Ex11 (Federated Beneficial-Ownership Graph)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GAO Cat5-Ex13 (Real-Time PEP/Sanctions Screening)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5.  MACHINE LEARNING PIPELINE</w:t>
      </w: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5.1  XGBoost Supervised Fraud Classifier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ml/fraud_classifier.py  |  Class: FraudClassifier  |  Language: Python 3.12</w:t>
        <w:br/>
        <w:t>The petitioner authored a supervised XGBoost fraud classifier that converts the 47-rule binary signal vector into a fraud probability score (0.0–1.0). The feature engineering pipeline maps each FDE rule to a binary input, preserving the interpretability of the rule layer while leveraging gradient-boosted ensemble learning: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ml/fraud_classifier.py — FraudClassifier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RULE_ORDER = [                        # canonical 47-dim feature vector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'FDE-001', 'FDE-002', 'FDE-003', 'FDE-004', 'FDE-005', 'FDE-006', 'FDE-007',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'FDE-008', 'FDE-009', 'FDE-010',  # ... through FDE-047</w:t>
            </w:r>
            <w:r>
              <w:rPr>
                <w:rFonts w:ascii="Courier New" w:hAnsi="Courier New"/>
                <w:color w:val="1E3A5F"/>
                <w:sz w:val="17"/>
              </w:rPr>
              <w:br/>
              <w:t>]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def signals_to_features(signals: list) -&gt; np.ndarray: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triggered = {s.rule_id for s in signals if s.triggered}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return np.array(                  # shape: (1, 47) binary feature matrix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[[1 if rule in triggered else 0 for rule in RULE_ORDER]],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dtype=np.float32,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class FraudClassifier: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def predict_proba(self, signals: list) -&gt; float: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X   = signals_to_features(signals)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return float(self._model.predict_proba(X)[0, 1])   # P(fraud)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5.2  IsolationForest Unsupervised Anomaly Detector (20 Features)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ml/anomaly_detector.py  |  Class: AnomalyDetector  |  Language: Python 3.12</w:t>
        <w:br/>
        <w:t>The petitioner designed a 20-dimensional feature representation for unsupervised anomaly detection using IsolationForest (contamination=8%). Features span transaction amount, temporal patterns, vendor behavioral history, and budget utilization: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ml/anomaly_detector.py — 20-feature vector (FEATURE_NAMES canonical order)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FEATURE_NAMES = [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'log_amount',              # math.log1p(amount) — scale-invariant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'day_of_week',             # 0–6 (5,6 = weekend = anomaly signal)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'day_of_month',            # 1–31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'month',                   # 1–12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'is_end_of_month',         # binary: last 5 days of month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'is_weekend',              # binary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'vendor_tx_count_30d',     # vendor activity level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'vendor_spend_30d_log',    # log(vendor 30d spend)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'vendor_grant_share',      # vendor's % of total grant spend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'grant_tx_count_30d',      # grant activity level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'grant_weekly_spend_log',  # log(weekly spend)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'budget_utilization',      # total spent / total budget (capped 10×)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'category_share',          # cost-category % of grant spend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'category_budget_ratio',   # category spend / category budget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'amount_vs_vendor_median', # amount / vendor spend median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'amount_vs_grant_median',  # amount / grant spend median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'days_since_last_vendor_tx', # dormancy signal (capped 180d)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'is_round_amount',         # binary: amount % 1000 == 0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'vendor_unique_count_30d', # vendor diversity measure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'amount_percentile',       # rank within grant history</w:t>
            </w:r>
            <w:r>
              <w:rPr>
                <w:rFonts w:ascii="Courier New" w:hAnsi="Courier New"/>
                <w:color w:val="1E3A5F"/>
                <w:sz w:val="17"/>
              </w:rPr>
              <w:br/>
              <w:t>]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IsolationForest config: n_estimators=100, contamination=0.08, random_state=42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5.3  XGBoost Risk Forecaster with SHAP Explainability (15 Features)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ml/risk_forecaster.py  |  Class: RiskForecaster  |  Language: Python 3.12</w:t>
        <w:br/>
        <w:t>The petitioner implemented a forward-looking risk forecaster that predicts 30-day risk trajectories from grant state features. Critically, the model outputs SHAP (Shapley Additive exPlanations) feature contributions, enabling auditors to understand which factors are driving the risk score: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ml/risk_forecaster.py — 15-feature grant-state vector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FEATURE_NAMES = [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'compliance_last',       # most recent compliance score (0–100)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'compliance_slope',      # trend per month (positive = improving)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'compliance_volatility', # std dev of compliance history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'spend_last',            # most recent monthly spend fraction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'spend_slope',           # burnrate trend per month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'spend_acceleration',    # second derivative (burnrate speeding up?)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'open_findings',         # count of open audit findings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'open_caps',             # open corrective action plans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'overdue_caps',          # overdue CAPs — enforcement pressure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'days_to_end_norm',      # days to period end / 365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'vendor_network_risk',   # 0–100 from entity graph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'gao_overlap_count',     # matching GAO high-risk programs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'burnrate_pct',          # % budget consumed in last 30d (capped 3×)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'period_end_pressure',   # binary: within 30 days of period end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'findings_density',      # open_findings / months_active</w:t>
            </w:r>
            <w:r>
              <w:rPr>
                <w:rFonts w:ascii="Courier New" w:hAnsi="Courier New"/>
                <w:color w:val="1E3A5F"/>
                <w:sz w:val="17"/>
              </w:rPr>
              <w:br/>
              <w:t>]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SHAP-driven driver output (predict_with_drivers method)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def predict_with_drivers(self, features):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X      = np.array(features, dtype=np.float32).reshape(1, -1)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score  = self._model.predict(X)[0]         # 0–100 risk score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dmat   = xgb.DMatrix(X)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contribs = self._model.get_booster().predict(dmat, pred_contribs=True)[0]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contribs shape: (n_features + 1,) — last element is base score bias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drivers = [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{'factor': FEATURE_NAMES[i], 'contribution': float(contribs[i]),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 'direction': 'risk' if contribs[i] &gt; 0 else 'protective'}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    for i in range(len(FEATURE_NAMES))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]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# Sort by |contribution| descending, return top 6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return score, sorted(drivers, key=lambda d: abs(d['contribution']), reverse=True)[:6]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6.  OMB COMPLIANCE RULE ENGINE (R001 – R010)</w:t>
      </w:r>
    </w:p>
    <w:p>
      <w:pPr>
        <w:spacing w:before="40" w:after="120"/>
      </w:pPr>
      <w:r>
        <w:rPr>
          <w:rFonts w:ascii="Calibri" w:hAnsi="Calibri"/>
          <w:color w:val="1A1A2E"/>
          <w:sz w:val="21"/>
        </w:rPr>
        <w:t>File: modules/compliance_engine/service.py  |  Class: ComplianceService  |  Language: Python 3.12</w:t>
        <w:br/>
        <w:t>The petitioner implemented a 10-rule OMB 2 CFR Part 200 (Uniform Guidance) compliance engine that evaluates grant financial controls against federal regulatory requirements. The engine seeds 130+ controls per grant from a control library and supports Segregation of Duties (SoD) matrix enforcement: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1296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Rule Code</w:t>
            </w:r>
          </w:p>
        </w:tc>
        <w:tc>
          <w:tcPr>
            <w:tcW w:type="dxa" w:w="3600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Control Description</w:t>
            </w:r>
          </w:p>
        </w:tc>
        <w:tc>
          <w:tcPr>
            <w:tcW w:type="dxa" w:w="2160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2 CFR Clause</w:t>
            </w:r>
          </w:p>
        </w:tc>
        <w:tc>
          <w:tcPr>
            <w:tcW w:type="dxa" w:w="1584"/>
            <w:shd w:val="clear" w:color="auto" w:fill="00275A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Domain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Budget category allocation check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§200.405 — Cost allocation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FINANCIAL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CM-002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Allowable costs verification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§200.403 — Allowable costs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FINANCIAL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Procurement competition check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§200.320 — Procurement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PROCUREMENT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CM-004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Subrecipient monitoring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§200.332 — Subrecipients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SUBRECIPIENT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Property &amp; equipment tracking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§200.313 — Equipment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PROPERTY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CM-006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Period of performance compliance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§200.309 — Period of performance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TIMELINE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Single Audit threshold check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§200.501 — Audit requirements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AUDIT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CM-008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Conflict of interest disclosure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§200.318 — Procurement standards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ETHICS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sz w:val="17"/>
              </w:rPr>
              <w:t>CM-009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17"/>
              </w:rPr>
              <w:t>Financial reporting timeliness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17"/>
              </w:rPr>
              <w:t>§200.328 — Financial reporting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sz w:val="17"/>
              </w:rPr>
              <w:t>REPORTING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CM-010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SAM.gov registration currency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§200.300 — Registration</w:t>
            </w:r>
          </w:p>
        </w:tc>
        <w:tc>
          <w:tcPr>
            <w:tcW w:type="dxa" w:w="1584"/>
            <w:shd w:val="clear" w:color="auto" w:fill="F2F2F2"/>
          </w:tcPr>
          <w:p>
            <w:r>
              <w:rPr>
                <w:rFonts w:ascii="Calibri" w:hAnsi="Calibri"/>
                <w:sz w:val="17"/>
              </w:rPr>
              <w:t>COMPLIANCE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6.1  Compliance Score Calculation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ComplianceService.list_controls() — score aggregation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total   = len(controls)                        # all controls for grant</w:t>
            </w:r>
            <w:r>
              <w:rPr>
                <w:rFonts w:ascii="Courier New" w:hAnsi="Courier New"/>
                <w:color w:val="1E3A5F"/>
                <w:sz w:val="17"/>
              </w:rPr>
              <w:br/>
              <w:t>passing = sum(1 for c in controls if c.status == 'pass')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failing = sum(1 for c in controls if c.status == 'fail')</w:t>
            </w:r>
            <w:r>
              <w:rPr>
                <w:rFonts w:ascii="Courier New" w:hAnsi="Courier New"/>
                <w:color w:val="1E3A5F"/>
                <w:sz w:val="17"/>
              </w:rPr>
              <w:br/>
              <w:t>score   = round((passing / total * 100) if total else 0.0, 2)   # 0–100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Redis-cached (TTL=300s) to avoid repeated DB aggregation under load</w:t>
            </w:r>
            <w:r>
              <w:rPr>
                <w:rFonts w:ascii="Courier New" w:hAnsi="Courier New"/>
                <w:color w:val="1E3A5F"/>
                <w:sz w:val="17"/>
              </w:rPr>
              <w:br/>
              <w:t>await cache_set(cache_key, resp, ttl=300)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Calibri" w:hAnsi="Calibri"/>
          <w:b/>
          <w:color w:val="0070C0"/>
          <w:sz w:val="24"/>
        </w:rPr>
        <w:t>6.2  Segregation of Duties Enforcement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352"/>
            <w:shd w:val="clear" w:color="auto" w:fill="F0F4F8"/>
          </w:tcPr>
          <w:p>
            <w:pPr>
              <w:spacing w:before="80" w:after="80"/>
              <w:ind w:left="115"/>
            </w:pPr>
            <w:r>
              <w:rPr>
                <w:rFonts w:ascii="Courier New" w:hAnsi="Courier New"/>
                <w:color w:val="1E3A5F"/>
                <w:sz w:val="17"/>
              </w:rPr>
              <w:t># SoD matrix — prevents same user having incompatible roles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SoD_MATRIX = {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'finance_staff':      ['enter_transactions', 'upload_invoices'],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'finance_manager':    ['approve_payments', 'post_transactions'],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'compliance_officer': ['manage_controls', 'manage_subrecipients'],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 xml:space="preserve">    'auditor':            ['read_all'],</w:t>
            </w:r>
            <w:r>
              <w:rPr>
                <w:rFonts w:ascii="Courier New" w:hAnsi="Courier New"/>
                <w:color w:val="1E3A5F"/>
                <w:sz w:val="17"/>
              </w:rPr>
              <w:br/>
              <w:t>}</w:t>
            </w:r>
            <w:r>
              <w:rPr>
                <w:rFonts w:ascii="Courier New" w:hAnsi="Courier New"/>
                <w:color w:val="1E3A5F"/>
                <w:sz w:val="17"/>
              </w:rPr>
              <w:br/>
            </w:r>
            <w:r>
              <w:rPr>
                <w:rFonts w:ascii="Courier New" w:hAnsi="Courier New"/>
                <w:color w:val="1E3A5F"/>
                <w:sz w:val="17"/>
              </w:rPr>
              <w:br/>
              <w:t># Same user CANNOT hold both finance_staff + finance_manager roles</w:t>
            </w:r>
            <w:r>
              <w:rPr>
                <w:rFonts w:ascii="Courier New" w:hAnsi="Courier New"/>
                <w:color w:val="1E3A5F"/>
                <w:sz w:val="17"/>
              </w:rPr>
              <w:br/>
              <w:t># → VIOLATION: conflict between enter_transactions and approve_payments</w:t>
            </w:r>
          </w:p>
        </w:tc>
      </w:tr>
    </w:tbl>
    <w:p>
      <w:pPr>
        <w:spacing w:after="80"/>
      </w:pPr>
    </w:p>
    <w:p>
      <w:pPr>
        <w:spacing w:before="360" w:after="80"/>
        <w:pBdr>
          <w:bottom w:val="single" w:sz="8" w:space="1" w:color="00275A"/>
        </w:pBdr>
      </w:pPr>
      <w:r>
        <w:rPr>
          <w:rFonts w:ascii="Calibri" w:hAnsi="Calibri"/>
          <w:b/>
          <w:color w:val="00275A"/>
          <w:sz w:val="30"/>
        </w:rPr>
        <w:t>7.  TECHNICAL STACK &amp; PETITIONER AUTHORSHIP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Backend Framework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FastAPI (Python 3.12) — 13 feature modules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Database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PostgreSQL 17 with Row-Level Security (RLS)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Frontend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Next.js 14 / React 18 / TypeScript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Authentication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Auth0 JWT RS256 — RS256-signed tokens, JWKS endpoint validation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Task Queue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Celery + Redis — async fraud scoring pipeline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Search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OpenSearch 2.x — transaction full-text index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Cloud Platform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AWS GovCloud — FedRAMP-aligned infrastructure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ML Frameworks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XGBoost, scikit-learn (IsolationForest), SHAP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Fraud Rules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47 rules (FDE-001–FDE-047) — petitioner-authored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Compliance Rules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10 rules (CM-001–CM-010) — 2 CFR Part 200 aligned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ML Models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3 models: XGBoost Classifier, IsolationForest, XGBoost Forecaster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Anomaly Detectors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7 detectors: 6 statistical + 1 ML (IsolationForest)</w:t>
            </w:r>
          </w:p>
        </w:tc>
      </w:tr>
      <w:tr>
        <w:tc>
          <w:tcPr>
            <w:tcW w:type="dxa" w:w="3168"/>
            <w:shd w:val="clear" w:color="auto" w:fill="E8F0FE"/>
          </w:tcPr>
          <w:p>
            <w:r>
              <w:rPr>
                <w:rFonts w:ascii="Calibri" w:hAnsi="Calibri"/>
                <w:b/>
                <w:color w:val="00275A"/>
                <w:sz w:val="19"/>
              </w:rPr>
              <w:t>Feature Dimensions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sz w:val="19"/>
              </w:rPr>
              <w:t>47-dim (fraud), 20-dim (anomaly), 15-dim (forecaster)</w:t>
            </w:r>
          </w:p>
        </w:tc>
      </w:tr>
    </w:tbl>
    <w:p>
      <w:pPr>
        <w:spacing w:after="120"/>
      </w:pPr>
    </w:p>
    <w:p>
      <w:pPr>
        <w:spacing w:before="160" w:after="160"/>
        <w:ind w:left="288"/>
        <w:pBdr>
          <w:left w:val="single" w:sz="32" w:space="8" w:color="C9A02A"/>
        </w:pBdr>
      </w:pPr>
      <w:r>
        <w:rPr>
          <w:rFonts w:ascii="Calibri" w:hAnsi="Calibri"/>
          <w:b/>
          <w:i/>
          <w:color w:val="7A5C00"/>
          <w:sz w:val="20"/>
        </w:rPr>
        <w:t>DHANASAR PRONG 2 CONCLUSION: The source code evidence presented in this exhibit demonstrates that petitioner Muhammad Bilal personally designed and implemented: (1) a 47-rule GAO-aligned fraud detection engine with weighted composite scoring; (2) a 6-detector statistical anomaly processing pipeline with Z-score and behavioral thresholds; (3) a BFS graph traversal entity intelligence layer; and (4) a three-model ML pipeline (XGBoost × 2 + IsolationForest) with SHAP explainability. This constitutes advanced algorithmic authorship demonstrating that petitioner is 'well-positioned to advance the proposed endeavor' within the meaning of Matter of Dhanasar (AAO 2016).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120"/>
        <w:jc w:val="center"/>
      </w:pPr>
      <w:r>
        <w:rPr>
          <w:i/>
          <w:color w:val="999999"/>
          <w:sz w:val="16"/>
        </w:rPr>
        <w:t>ATTORNEY-CLIENT PRIVILEGED — FOR PETITION USE ONLY  ·  GovGuard™ Exhibit G-6  ·  Muhammad Bilal EB-2 NIW Petition  ·  Source code available for attorney/USCIS adjudicator review upon request</w:t>
      </w:r>
    </w:p>
    <w:sectPr w:rsidR="00FC693F" w:rsidRPr="0006063C" w:rsidSect="00034616"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